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information contained in this Current Report on Form 8-K (including the exhibits hereto) shall not be deemed “filed”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18 of the Securities Exchange Act of 1934, as amended (the “Exchange Act”), or incorporated by reference in any filing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1933, as amended, or the Exchange Act, except as shall be expressly set forth by specific reference in any such filing.</w:t>
      </w:r>
    </w:p>
    <w:p>
      <w:pPr>
        <w:spacing w:after="0" w:line="35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On February 17, 2021, Community Health Systems, Inc. (the “Company”) announced operating results for the fourth quarter and year ended December 31, 2020. A copy of the press release making this announcement is attached as Exhibit 99.1 to this Current Report on Form 8-K and is incorporated by reference into this Item 2.02.</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press release referred to in Item 2.02 above also includes the Company’s 2021 annual earnings guidance. The 2021 guidance is based on the Company’s historical operating performance, current trends and other assumptions the Company believes are reasonable at this time as set forth on pages 18, 19, 20 and 21 of the press release. A copy of the press release making this announcement is attached as Exhibit 99.1 to this Current Report on Form 8-K and is incorporated by reference into this Item 7.01.</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furnished herewith:</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90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Community Health Systems, Inc. Press Release, dated February 17, 2021.</w:t>
        </w:r>
      </w:hyperlink>
    </w:p>
    <w:p>
      <w:pPr>
        <w:spacing w:after="0" w:line="101" w:lineRule="exact"/>
        <w:rPr>
          <w:sz w:val="20"/>
          <w:szCs w:val="20"/>
          <w:color w:val="auto"/>
        </w:rPr>
      </w:pPr>
    </w:p>
    <w:p>
      <w:pPr>
        <w:ind w:left="5460" w:right="4260" w:hanging="5374"/>
        <w:spacing w:after="0" w:line="449" w:lineRule="auto"/>
        <w:tabs>
          <w:tab w:leader="none" w:pos="9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1000"/>
          </w:cols>
          <w:pgMar w:left="440" w:top="30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 February 17,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ind w:left="74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4"/>
                <w:szCs w:val="24"/>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Tim L. Hingtgen</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 L. Hingtgen</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600" w:type="dxa"/>
            <w:vAlign w:val="bottom"/>
          </w:tcPr>
          <w:p>
            <w:pPr>
              <w:spacing w:after="0"/>
              <w:rPr>
                <w:sz w:val="24"/>
                <w:szCs w:val="24"/>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Kevin J. Hammons</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Hammons</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45"/>
        </w:trPr>
        <w:tc>
          <w:tcPr>
            <w:tcW w:w="3600" w:type="dxa"/>
            <w:vAlign w:val="bottom"/>
          </w:tcPr>
          <w:p>
            <w:pPr>
              <w:spacing w:after="0"/>
              <w:rPr>
                <w:sz w:val="24"/>
                <w:szCs w:val="24"/>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Jason K. Johnson</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K. Johnson</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Accounting Officer (principal</w:t>
            </w:r>
          </w:p>
        </w:tc>
      </w:t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365"/>
        </w:trPr>
        <w:tc>
          <w:tcPr>
            <w:tcW w:w="3600" w:type="dxa"/>
            <w:vAlign w:val="bottom"/>
          </w:tcPr>
          <w:p>
            <w:pPr>
              <w:spacing w:after="0"/>
              <w:rPr>
                <w:sz w:val="24"/>
                <w:szCs w:val="24"/>
                <w:color w:val="auto"/>
              </w:rPr>
            </w:pPr>
          </w:p>
        </w:tc>
        <w:tc>
          <w:tcPr>
            <w:tcW w:w="2460" w:type="dxa"/>
            <w:vAlign w:val="bottom"/>
          </w:tcPr>
          <w:p>
            <w:pPr>
              <w:ind w:left="186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301"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350583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5835" cy="48006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99.1</w:t>
      </w:r>
    </w:p>
    <w:p>
      <w:pPr>
        <w:sectPr>
          <w:pgSz w:w="11900" w:h="16838" w:orient="portrait"/>
          <w:cols w:equalWidth="0" w:num="1">
            <w:col w:w="11020"/>
          </w:cols>
          <w:pgMar w:left="440" w:top="125" w:right="4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Kevin Hammons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(615) 465-7000</w:t>
      </w:r>
    </w:p>
    <w:p>
      <w:pPr>
        <w:spacing w:after="0" w:line="200" w:lineRule="exact"/>
        <w:rPr>
          <w:sz w:val="20"/>
          <w:szCs w:val="20"/>
          <w:color w:val="auto"/>
        </w:rPr>
      </w:pPr>
    </w:p>
    <w:p>
      <w:pPr>
        <w:sectPr>
          <w:pgSz w:w="11900" w:h="16838" w:orient="portrait"/>
          <w:cols w:equalWidth="0" w:num="2">
            <w:col w:w="1240" w:space="640"/>
            <w:col w:w="9140"/>
          </w:cols>
          <w:pgMar w:left="440" w:top="125" w:right="439" w:bottom="1440" w:gutter="0" w:footer="0" w:header="0"/>
          <w:type w:val="continuous"/>
        </w:sectPr>
      </w:pP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COMMUNITY HEALTH SYSTEMS, INC. ANNOUNCES FOURTH QUARTER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YEAR ENDED DECEMBER 31, 2020 RESULTS AND 2021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type w:val="continuous"/>
        </w:sectPr>
      </w:pPr>
    </w:p>
    <w:p>
      <w:pPr>
        <w:spacing w:after="0" w:line="2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FRANKLIN, Tenn. (February 17, 2021) – Community Health Systems, Inc. (NYSE: CYH) (the “Company”) today announced financial and operating results for the three months and year ended December 31,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highlights the financial and operating results for the three months ended December 31, 2020.</w:t>
      </w:r>
    </w:p>
    <w:p>
      <w:pPr>
        <w:spacing w:after="0" w:line="127"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revenues totaled $3.119 billion.</w:t>
      </w:r>
    </w:p>
    <w:p>
      <w:pPr>
        <w:spacing w:after="0" w:line="130" w:lineRule="exact"/>
        <w:rPr>
          <w:rFonts w:ascii="Arial" w:cs="Arial" w:eastAsia="Arial" w:hAnsi="Arial"/>
          <w:sz w:val="18"/>
          <w:szCs w:val="18"/>
          <w:b w:val="1"/>
          <w:bCs w:val="1"/>
          <w:color w:val="auto"/>
        </w:rPr>
      </w:pPr>
    </w:p>
    <w:p>
      <w:pPr>
        <w:ind w:left="1420" w:right="160" w:hanging="439"/>
        <w:spacing w:after="0" w:line="303" w:lineRule="auto"/>
        <w:tabs>
          <w:tab w:leader="none" w:pos="14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attributable to Community Health Systems, Inc. common stockholders was $311 million, or $2.57 per share (diluted), compared with net loss of $(373) million, or $(3.27) per share (diluted), for the same period in 2019. Excluding the adjusting items as presented in the table in footnote (e) on page 17, net income attributable to Community Health Systems, Inc. common stockholders was $0.96 per share (diluted), compared to $0.40 per share (diluted) for the same period in 2019.</w:t>
      </w:r>
    </w:p>
    <w:p>
      <w:pPr>
        <w:spacing w:after="0" w:line="56" w:lineRule="exact"/>
        <w:rPr>
          <w:rFonts w:ascii="Arial" w:cs="Arial" w:eastAsia="Arial" w:hAnsi="Arial"/>
          <w:sz w:val="16"/>
          <w:szCs w:val="16"/>
          <w:b w:val="1"/>
          <w:bCs w:val="1"/>
          <w:color w:val="auto"/>
        </w:rPr>
      </w:pPr>
    </w:p>
    <w:p>
      <w:pPr>
        <w:ind w:left="1420" w:hanging="439"/>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Adjusted EBITDA was $614 million, compared with $447 million for the same period in 2019.</w:t>
      </w:r>
    </w:p>
    <w:p>
      <w:pPr>
        <w:spacing w:after="0" w:line="130" w:lineRule="exact"/>
        <w:rPr>
          <w:rFonts w:ascii="Arial" w:cs="Arial" w:eastAsia="Arial" w:hAnsi="Arial"/>
          <w:sz w:val="18"/>
          <w:szCs w:val="18"/>
          <w:b w:val="1"/>
          <w:bCs w:val="1"/>
          <w:color w:val="auto"/>
        </w:rPr>
      </w:pPr>
    </w:p>
    <w:p>
      <w:pPr>
        <w:ind w:left="1420" w:right="720" w:hanging="439"/>
        <w:spacing w:after="0" w:line="282"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$153 million of pandemic relief funds were recognized during the three months ended December 31, 2020, as further discussed below.</w:t>
      </w:r>
    </w:p>
    <w:p>
      <w:pPr>
        <w:spacing w:after="0" w:line="67" w:lineRule="exact"/>
        <w:rPr>
          <w:rFonts w:ascii="Arial" w:cs="Arial" w:eastAsia="Arial" w:hAnsi="Arial"/>
          <w:sz w:val="18"/>
          <w:szCs w:val="18"/>
          <w:b w:val="1"/>
          <w:bCs w:val="1"/>
          <w:color w:val="auto"/>
        </w:rPr>
      </w:pPr>
    </w:p>
    <w:p>
      <w:pPr>
        <w:ind w:left="1420" w:right="100" w:hanging="439"/>
        <w:spacing w:after="0" w:line="266"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cash provided by operating activities was $76 million, which included repayments of Medicare accelerated payments in the amount of approximately $55 million as well as $50 million paid to settle a professional liability claim. Net cash provided by operating activities was $194 million for the same period in 2019.</w:t>
      </w:r>
    </w:p>
    <w:p>
      <w:pPr>
        <w:spacing w:after="0" w:line="81" w:lineRule="exact"/>
        <w:rPr>
          <w:rFonts w:ascii="Arial" w:cs="Arial" w:eastAsia="Arial" w:hAnsi="Arial"/>
          <w:sz w:val="18"/>
          <w:szCs w:val="18"/>
          <w:b w:val="1"/>
          <w:bCs w:val="1"/>
          <w:color w:val="auto"/>
        </w:rPr>
      </w:pPr>
    </w:p>
    <w:p>
      <w:pPr>
        <w:ind w:left="1420" w:right="20" w:hanging="439"/>
        <w:spacing w:after="0" w:line="282"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Extinguished $787 million principal value of outstanding notes for cash payments of $478 million and 10 million newly issued shares of the Company’s common stock.</w:t>
      </w:r>
    </w:p>
    <w:p>
      <w:pPr>
        <w:spacing w:after="0" w:line="67" w:lineRule="exact"/>
        <w:rPr>
          <w:rFonts w:ascii="Arial" w:cs="Arial" w:eastAsia="Arial" w:hAnsi="Arial"/>
          <w:sz w:val="18"/>
          <w:szCs w:val="18"/>
          <w:b w:val="1"/>
          <w:bCs w:val="1"/>
          <w:color w:val="auto"/>
        </w:rPr>
      </w:pPr>
    </w:p>
    <w:p>
      <w:pPr>
        <w:ind w:left="1420" w:right="160" w:hanging="439"/>
        <w:spacing w:after="0" w:line="282"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On a same-store basis, admissions decreased 3.4 percent and adjusted admissions decreased 9.5 percent, compared with the same period in 2019.</w:t>
      </w:r>
    </w:p>
    <w:p>
      <w:pPr>
        <w:spacing w:after="0" w:line="166"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Net operating revenues for the three months ended December 31, 2020, totaled $3.119 billion, a 5.1 percent decrease compared with $3.286 billion for the same period in 2019.</w:t>
      </w:r>
    </w:p>
    <w:p>
      <w:pPr>
        <w:spacing w:after="0" w:line="170"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Net income attributable to Community Health Systems, Inc. common stockholders was $311 million, or $2.57 per share (diluted), for the three months ended December 31, 2020, compared with net loss of $(373) million, or $(3.27) per share (diluted), for the same period in 2019. Excluding the adjusting items as presented in the table in footnote (e) on page 17, net income attributable to Community Health Systems, Inc. common stockholders was $0.96 per share (diluted) for the three months ended December 31, 2020, compared to $0.40 per share (diluted) for the same period in 2019. Payments received by the Company through the Public Health and Social Services Emergency Fund (the “PHSSEF”), as more specifically described below, had a positive impact on net income attributable to Community Health Systems, Inc. common stockholders (both on a consolidated and adjusted basis) of approximately $115 million, or $0.95 on a per share (diluted) basis, for the three months ended December 31, 2020. Weighted-average shares outstanding (diluted) were 121 million and 114 million for the three months ended December 31, 2020 and 2019, respectively.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5"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359"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Adjusted EBITDA for the three months ended December 31, 2020, was $614 million compared with $447 million for the same period in 2019. Payments received through the PHSSEF had a positive impact on Adjusted EBITDA for the three months ended December 31, 2020 in the amount of $153 million.</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consolidated operating results for the three months ended December 31, 2020, reflect a 12.9 percent decrease in admissions and a 17.8 percent decrease in adjusted admissions, compared with the same period in 2019. On a same-store basis, admissions decreased 3.4 percent and adjusted admissions decreased 9.5 percent for the three months ended December 31, 2020, compared with the same period in 2019. While volumes for the current year have not returned to pre-pandemic levels, they have improved from their lows in March and April 2020. On a same-store basis, net operating revenues increased 4.5 percent for the three months ended December 31, 2020, compared with the same period in 2019, primarily reflecting COVID-19 pandemic-induced changes in the mix of services provided and payor mix compared to the prior period.</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Net operating revenues for the year ended December 31, 2020, totaled $11.789 billion, a 10.8 percent decrease compared with $13.210 billion for the same period in 2019.</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Net income attributable to Community Health Systems, Inc. common stockholders was $511 million, or $4.39 per share (diluted), for the year ended December 31, 2020, compared with net loss of $(675) million, or $(5.93) per share (diluted), for the same period in 2019. Excluding the adjusting items as presented in the table in footnote (e) on page 17, net income attributable to Community Health Systems, Inc. common stockholders was $0.45 per share (diluted), for the year ended December 31, 2020, compared to net loss of $(0.89) per share (diluted) for the same period in 2019. The change in tax valuation allowance (which was one of the above mentioned adjusting items) had a positive impact of $240 million, or $2.06 per share (diluted), on net income attributable to Community Health Systems, Inc. common stockholders, and arose from discrete tax benefits related to the release of federal and state valuation allowances on IRC Section 163(j) interest carryforwards as a result of an increase to the deductible interest expense allowed for 2019 and 2020 under the Coronavirus Aid, Relief and Economic Security Act (the “CARES Act”) that was enacted during the year ended December 31, 2020. In addition, payments received by the Company through the PHSSEF, as more specifically described below, had a positive impact on net income attributable to Community Health Systems, Inc. common stockholders (both on a consolidated and adjusted basis) of approximately $452 million, or $3.88 on a per share (diluted) basis, for the year ended December 31, 2020. Weighted-average shares outstanding (diluted) were 117 million and 114 million for the year ended December 31, 2020 and 2019, respectively.</w:t>
      </w:r>
    </w:p>
    <w:p>
      <w:pPr>
        <w:spacing w:after="0" w:line="179" w:lineRule="exact"/>
        <w:rPr>
          <w:sz w:val="20"/>
          <w:szCs w:val="20"/>
          <w:color w:val="auto"/>
        </w:rPr>
      </w:pPr>
    </w:p>
    <w:p>
      <w:pPr>
        <w:ind w:right="720" w:firstLine="440"/>
        <w:spacing w:after="0" w:line="263" w:lineRule="auto"/>
        <w:rPr>
          <w:sz w:val="20"/>
          <w:szCs w:val="20"/>
          <w:color w:val="auto"/>
        </w:rPr>
      </w:pPr>
      <w:r>
        <w:rPr>
          <w:rFonts w:ascii="Arial" w:cs="Arial" w:eastAsia="Arial" w:hAnsi="Arial"/>
          <w:sz w:val="18"/>
          <w:szCs w:val="18"/>
          <w:color w:val="auto"/>
        </w:rPr>
        <w:t>Adjusted EBITDA for the year ended December 31, 2020, was $1.809 billion compared with $1.628 billion for the same period in 2019. Payments received through the PHSSEF had a positive impact on Adjusted EBITDA for the year ended December 31, 2020 in the amount of $601 million.</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consolidated operating results for the year ended December 31, 2020, reflect a 15.7 percent decrease in admissions and a 19.4 percent decrease in adjusted admissions, compared with the same period in 2019. On a same-store basis, admissions decreased 8.0 percent and adjusted admissions decreased 12.5 percent for the year ended December 31, 2020, compared with the same period in 2019. On a same-store basis, net operating revenues decreased 3.4 percent for the year ended December 31, 2020, compared with the same period in 2019.</w:t>
      </w:r>
    </w:p>
    <w:p>
      <w:pPr>
        <w:spacing w:after="0" w:line="171" w:lineRule="exact"/>
        <w:rPr>
          <w:sz w:val="20"/>
          <w:szCs w:val="20"/>
          <w:color w:val="auto"/>
        </w:rPr>
      </w:pPr>
    </w:p>
    <w:p>
      <w:pPr>
        <w:ind w:right="320" w:firstLine="440"/>
        <w:spacing w:after="0" w:line="273" w:lineRule="auto"/>
        <w:rPr>
          <w:sz w:val="20"/>
          <w:szCs w:val="20"/>
          <w:color w:val="auto"/>
        </w:rPr>
      </w:pPr>
      <w:r>
        <w:rPr>
          <w:rFonts w:ascii="Arial" w:cs="Arial" w:eastAsia="Arial" w:hAnsi="Arial"/>
          <w:sz w:val="17"/>
          <w:szCs w:val="17"/>
          <w:color w:val="auto"/>
        </w:rPr>
        <w:t>Commenting on the results, Tim L. Hingtgen, chief executive officer of Community Health Systems, Inc., said, “Throughout the COVID-19 pandemic, I have been incredibly proud of everyone across our entire organization. Our caregivers and medical staffs have ensured that their communities have access to essential, high-quality health services. Our management teams have adapted to constantly changing dynamics and effectively executed our cost management efforts. As a result, we ended the year with strong financial results, momentum around our key strategic initiatives, and optimism about the future of our Company. We look forward to what lies ahead, as we believe we are well-positioned for growth and long-term success that will deliver value for all of our stakeholders.”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recognized a net, pre-tax gain from early extinguishment of debt of approximately $207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as a result of the following financing transactions:</w:t>
      </w:r>
    </w:p>
    <w:p>
      <w:pPr>
        <w:spacing w:after="0" w:line="116" w:lineRule="exact"/>
        <w:rPr>
          <w:sz w:val="20"/>
          <w:szCs w:val="20"/>
          <w:color w:val="auto"/>
        </w:rPr>
      </w:pPr>
    </w:p>
    <w:p>
      <w:pPr>
        <w:ind w:left="1420" w:right="380" w:hanging="439"/>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a tender offer for various series of outstanding notes resulting in extinguishment of approximately $87 million of principal value of outstanding notes for cash payments of approximately $78 million.</w:t>
      </w:r>
    </w:p>
    <w:p>
      <w:pPr>
        <w:spacing w:after="0" w:line="75" w:lineRule="exact"/>
        <w:rPr>
          <w:rFonts w:ascii="Arial" w:cs="Arial" w:eastAsia="Arial" w:hAnsi="Arial"/>
          <w:sz w:val="18"/>
          <w:szCs w:val="18"/>
          <w:color w:val="auto"/>
        </w:rPr>
      </w:pPr>
    </w:p>
    <w:p>
      <w:pPr>
        <w:ind w:left="1420" w:right="180" w:hanging="439"/>
        <w:spacing w:after="0" w:line="263"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agreement with multi-asset investment manager for the exchange of $700 million aggregate principal value of 6.875% Senior Unsecured Notes due 2028 for consideration of $400 million of cash and 10 million newly issued shares of the Company’s common stock.</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Completion of private offerings of $1.9 billion aggregate principal amount of 5.625% Senior Secured Notes due 2027 and</w:t>
      </w:r>
    </w:p>
    <w:p>
      <w:pPr>
        <w:spacing w:after="0" w:line="34" w:lineRule="exact"/>
        <w:rPr>
          <w:rFonts w:ascii="Arial" w:cs="Arial" w:eastAsia="Arial" w:hAnsi="Arial"/>
          <w:sz w:val="17"/>
          <w:szCs w:val="17"/>
          <w:color w:val="auto"/>
        </w:rPr>
      </w:pPr>
    </w:p>
    <w:p>
      <w:pPr>
        <w:ind w:left="1420" w:right="240"/>
        <w:spacing w:after="0" w:line="253" w:lineRule="auto"/>
        <w:rPr>
          <w:rFonts w:ascii="Arial" w:cs="Arial" w:eastAsia="Arial" w:hAnsi="Arial"/>
          <w:sz w:val="17"/>
          <w:szCs w:val="17"/>
          <w:color w:val="auto"/>
        </w:rPr>
      </w:pPr>
      <w:r>
        <w:rPr>
          <w:rFonts w:ascii="Arial" w:cs="Arial" w:eastAsia="Arial" w:hAnsi="Arial"/>
          <w:sz w:val="18"/>
          <w:szCs w:val="18"/>
          <w:color w:val="auto"/>
        </w:rPr>
        <w:t>$900 million aggregate principal amount of 6.000% Senior Secured Notes due 2029. The proceeds of these offerings were used to repurchase approximately $2.579 billion of the outstanding principal amount of 6.250% Senior Secured Notes due 2023 that were validly tendered and not validly withdrawn as of December 24, 2020. The remaining balance of the 6.250% Senior Secured Notes due 2023 of approximately $95 million was redeemed using cash on hand on January 28, 2021, pursuant to a redemption notice issued December 28, 2020.</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 ended December 31, 2020, there was a net pre-tax gain from early extinguishment of debt of approximately $317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 – 19 Pandemic:</w:t>
      </w:r>
    </w:p>
    <w:p>
      <w:pPr>
        <w:spacing w:after="0" w:line="117"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The COVID-19 pandemic adversely affected the Company’s operations and financial results for the year ended December 31, 2020 resulting in decreases in net operating revenues driven primarily by declines in patient volumes, as noted above, and increases in expenses related to supply chain and other expenditures.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CARES Act, which was enacted on March 27, 2020, the Paycheck Protection Program and Health Care Enhancement Act (the “PPPHCE Act”), which was enacted on April 24, 2020 and the Consolidated Appropriations Act, 2021 (the “CAA”), which was enacted on December 27, 2020. Together, the CARES Act, PPPHCE Act and the CAA includes $178 billion in funding to be distributed to eligible providers through the PHSSEF. In addition, the CARES Act provided for an expansion of the Medicare Accelerated and Advance Payment Program. Various other state and local programs also exist to provide relief, either independently or through distribution of monies received via the CARES Act. The Company has been a beneficiary of these stimulus measures.</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During the year ended December 31, 2020, the Company received approximately $705 million in payments through the PHSSEF and various state and local programs, net of amounts that have been or will be repaid to the U.S. Department of Health and Human Services (“HHS”) and various state and local agencies either voluntarily or in relation to entities that were previously divested. PHSSEF payments are intended to compensate healthcare providers for lost revenues and incremental expenses, as defined by HHS, incurred in response to the COVID-19 pandemic and are not required to be repaid provided that recipients attest to and comply with certain terms and conditions, including limitations on balance billing and not using funds received from the PHSSEF to reimburse eligible expenses or lost revenues, as defined by HHS, that other sources have or may be obligated to reimburse.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The Company recognized approximately $153 million and $601 million of the PHSSEF and various state and local program payments eligible to be claimed as a reduction in operating costs and expenses during the three months and year ended December 31, 2020, respectively. During the three months ended December 31, 2020, the Company’s estimate of the amount of payments received through the PHSSEF or state and local programs for which the Company is reasonably assured of meeting the underlying terms and conditions was updated based on, among other things, the CAA, Post-Payment Notice of Reporting Requirements issued by HHS in October 2020, November 2020, and January 2021, responses to frequently asked questions as published by HHS, as well as expenses incurred attributable to the coronavirus during such period and the Company’s results of operations during such period as compared to the Company’s budget. Amounts received through the PHSSEF or state and local programs that have not been recognized as a reduction to operating costs and expenses and otherwise have not been refunded to HHS or state and local agencies as of December 31, 2020, are reflected within accrued liabilities-other in the condensed consolidated balance sheet, and such unrecognized amounts may be recognized as a reduction in operating costs and expenses in future periods if the underlying conditions for recognition are reasonably assured of having been met.</w:t>
      </w:r>
    </w:p>
    <w:p>
      <w:pPr>
        <w:spacing w:after="0" w:line="16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HHS’ interpretation of the underlying terms and conditions of such PHSSEF payments, including auditing and reporting requirements, continues to evolve. Additional guidance or new and amended interpretations of existing guidance on the terms and conditions of such PHSSEF payments may result in the Company’s inability to recognize certain PHSSEF payments, changes in the estimate of amounts recognized, or the derecognition of amounts previously recognized, which (in any such case) may be material.</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Medicare accelerated payments of approximately $1.2 billion were received during April 2020. No additional Medicare accelerated payments have been received by the Company since such time, including during the three months ended December 31, 2020 and approximately $77 million of amounts previously received was repaid to the Centers for Medicare and Medicaid Services (“CMS”) or assumed by buyers during the year ended December 31, 2020 related to divested entities. Effective October 8, 2020, CMS is no longer accepting new applications for accelerated payments. Accordingly, the Company does not expect to receive additional Medicare accelerated payments. Payments under the Medicare Accelerated and Advance Payment program are advances that must be repaid. Providers are required to repay accelerated payments beginning one year after the payment was issued. After such one-year period, Medicare payments owed to providers will be recouped according to the repayment terms. The repayment terms specify that for the first 11 months after repayment begins, repayment will occur through an automatic recoupment of 25% of Medicare payments otherwise owed to the provider during such time. At the end of the eleven-month period, recoupment will increase to 50% for six months. At the end of the six months (or 29 months from the receipt of the initial accelerated payment), Medicare will issue a letter for full repayment of any remaining balance, as applicable. In such event, if payment is not received within 30 days, interest will accrue at the rate of 4% per annum from the date the letter was issued and will be assessed for each full 30-day period that the balance remains unpaid. As of December 31, 2020, approximately $425 million of Medicare accelerated payments are reflected within accrued liabilities-other in the condensed consolidated balance sheet while the remaining approximately $656 million are included within other long-term liabilities.</w:t>
      </w:r>
    </w:p>
    <w:p>
      <w:pPr>
        <w:spacing w:after="0" w:line="17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PHSSEF payments received to date as noted above and payments which the Company may receive in the future under the CARES Act and other stimulus legislation have been and may continue to be beneficial in partially mitigating the impact of the COVID-19 pandemic on the Company’s results of operations and financial position. Additionally, the federal government may consider additional stimulus and relief efforts, but the Company is unable to predict whether additional stimulus measures will be enacted or their impact, if any. The Company is unable to assess the extent to which anticipated ongoing negative impacts on the Company arising from the COVID-19 pandemic will be offset by benefits which the Company may recognize or receive in the future under the CARES Act, the PPPHCE Act, the CAA or any future stimulus measures.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Divestitures and hospital closures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completed the following divestitures during the year ended December 31, 2020:</w:t>
      </w:r>
    </w:p>
    <w:p>
      <w:pPr>
        <w:spacing w:after="0" w:line="131" w:lineRule="exact"/>
        <w:rPr>
          <w:sz w:val="20"/>
          <w:szCs w:val="20"/>
          <w:color w:val="auto"/>
        </w:rPr>
      </w:pPr>
    </w:p>
    <w:p>
      <w:pPr>
        <w:ind w:left="1420" w:right="220" w:hanging="439"/>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hospitals on January 1, 2020 (in respect of which the Company received proceeds at a preliminary closing on December 31, 2019)</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hospitals on May 1, 2020</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 hospitals on July 1, 2020 (in respect of which the Company received proceeds at a preliminary closing on June 30, 2020)</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hospital on August 1, 2020</w:t>
      </w:r>
    </w:p>
    <w:p>
      <w:pPr>
        <w:spacing w:after="0" w:line="130" w:lineRule="exact"/>
        <w:rPr>
          <w:rFonts w:ascii="Arial" w:cs="Arial" w:eastAsia="Arial" w:hAnsi="Arial"/>
          <w:sz w:val="18"/>
          <w:szCs w:val="18"/>
          <w:color w:val="auto"/>
        </w:rPr>
      </w:pPr>
    </w:p>
    <w:p>
      <w:pPr>
        <w:ind w:left="1420" w:right="360" w:hanging="439"/>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hospital on October 1, 2020 (in respect of which the Company received proceeds at a preliminary closing on September 30, 2020)</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hospital on October 24, 2020</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hospitals on October 27, 2020</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hospital on December 1, 2020</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these 13 divestitures, the Company terminated a lease and permanently ceased operations for one hospital effective September 30, 2020. Additionally, the Company has completed the divestiture of four hospitals during 2021 (including the divestiture of three hospitals which were completed on January 1, 2021, in respect of which the Company received proceeds at preliminary closings on December 31, 2020). The Company has entered into a definitive agreement to sell one additional hospital, the sale of which is expected to be completed in 2021. There can be no assurance that this potential divestiture subject to a definitive agreement will be completed, or if it is completed, the ultimate timing of the completion of this divestiture. While the Company’s formal portfolio rationalization program concluded as of December 31, 2020 (inclusive of definitive agreements entered into in 2020 for the sales of hospitals which have been completed or are anticipated to be completed in 2021, as noted above), the Company continues to receive interest from potential acquirers for certain of its hospitals, and may, from time to time, consider selling additional hospitals following the completion of the Company’s formal portfolio rationalization strategy if the Company considers any such dispositions to be in its best interests.</w:t>
      </w:r>
    </w:p>
    <w:p>
      <w:pPr>
        <w:spacing w:after="0" w:line="19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Financial and statistical data for 2019 and 2020 presented in this press release includes the operating results of divested or closed hospitals for the periods prior to the consummation of the respective divestiture or hospital closing. Same-store operating results exclude the results of a hospital acquired in 2019, a hospital opened in 2020 and the hospitals divested or closed in 2019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Non-GAAP Financial Measures</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This press release presents Adjusted EBITDA, a non-GAAP financial measure, which is EBITDA adjusted to add back net income attributable to noncontrolling interests and to exclude (gain) loss from early extinguishment of debt, impairment and (gain) loss on sale of businesses,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is being litigated, expense related to employee termination benefits and other restructuring charges, expense from settlement and fair value adjustments on the CVR agreement liability related to the Health Management Associates, Inc.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For information regarding why the Company believes Adjusted EBITDA provides useful information to investors, and for a reconciliation of Adjusted EBITDA to net income (loss) attributable to Community Health Systems, Inc. stockholders, see footnote (c) to the Financial Highlights, Financial Statements and Selected Operating Data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Additionally, this press release presents adjusted net income (loss) attributable to Community Health Systems, Inc. common stockholders per share (diluted), a non-GAAP financial measure, to reflect the impact on net income (loss) attributable to Community Health Systems, Inc. common stockholders per share (diluted) from the selected items used in the calculation of Adjusted EBITDA. For information regarding why the Company believes this non-GAAP financial measure provides useful information to investors, and for a reconciliation of this non-GAAP financial measure to net income (loss) attributable to Community Health Systems, Inc. common stockholders per share (diluted), see footnote (e) to the Financial Highlights, Financial Statements and Selected Operating Data below.</w:t>
      </w:r>
    </w:p>
    <w:p>
      <w:pPr>
        <w:spacing w:after="0" w:line="192"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non-GAAP financial measures set forth above are not measurements of financial performance under U.S. GAAP, and should not be considered in isolation or as a substitute for any financial measure calculated in accordance with U.S. GAAP.</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Included on pages 18, 19, 20 and 21 of this press release are tables setting forth the Company’s 2021 annual earnings guidance. The 2021 guidance is based on the Company’s historical operating performance, current trends and other assumptions that the Company believes are reasonable at this time and reflects the impact of actual and planned divestitures in 2021.</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Community Health Systems, Inc. is one of the largest publicly traded hospital companies in the United States and a leading operator of general acute care hospitals in communities across the country. The Company, through its subsidiaries, owns, leases or operates 85 affiliated hospitals in 16 states with an aggregate of approximately 14,000 licensed beds.</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The Company’s headquarters are located in Franklin, Tennessee, a suburb south of Nashville. Shares in Community Health Systems, Inc. are traded on the New York Stock Exchange under the symbol “CYH.” More information about the Company can be found on its website at </w:t>
      </w:r>
      <w:r>
        <w:rPr>
          <w:rFonts w:ascii="Arial" w:cs="Arial" w:eastAsia="Arial" w:hAnsi="Arial"/>
          <w:sz w:val="16"/>
          <w:szCs w:val="16"/>
          <w:u w:val="single" w:color="auto"/>
          <w:color w:val="auto"/>
        </w:rPr>
        <w:t>www.chs.net</w:t>
      </w:r>
      <w:r>
        <w:rPr>
          <w:rFonts w:ascii="Arial" w:cs="Arial" w:eastAsia="Arial" w:hAnsi="Arial"/>
          <w:sz w:val="16"/>
          <w:szCs w:val="16"/>
          <w:color w:val="auto"/>
        </w:rPr>
        <w:t>.</w:t>
      </w:r>
    </w:p>
    <w:p>
      <w:pPr>
        <w:spacing w:after="0" w:line="12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Community Health Systems, Inc. will hold a conference call on Thursday, February 18, 2021, at 10:00 a.m. Central, 11:00 a.m. Eastern, to review financial and operating results for the fourth quarter and year ended December 31, 2020. Investors will have the opportunity to listen to a live internet broadcast of the conference call by clicking on the Investor Relations link of the Company’s website at </w:t>
      </w:r>
      <w:r>
        <w:rPr>
          <w:rFonts w:ascii="Arial" w:cs="Arial" w:eastAsia="Arial" w:hAnsi="Arial"/>
          <w:sz w:val="18"/>
          <w:szCs w:val="18"/>
          <w:u w:val="single" w:color="auto"/>
          <w:color w:val="auto"/>
        </w:rPr>
        <w:t>www.chs.net</w:t>
      </w:r>
      <w:r>
        <w:rPr>
          <w:rFonts w:ascii="Arial" w:cs="Arial" w:eastAsia="Arial" w:hAnsi="Arial"/>
          <w:sz w:val="18"/>
          <w:szCs w:val="18"/>
          <w:color w:val="auto"/>
        </w:rPr>
        <w:t xml:space="preserve">. To listen to the live call, please go to the website at least fifteen minutes early to register, download and install any necessary audio software. For those who cannot listen to the live broadcast, a replay will be available shortly after the call and will continue to be available for approximately 30 days. Copies of this press release and conference call slide show, as well as the Company’s Current Report on Form 8-K (including this press release), will be available on the Company’s website at </w:t>
      </w:r>
      <w:r>
        <w:rPr>
          <w:rFonts w:ascii="Arial" w:cs="Arial" w:eastAsia="Arial" w:hAnsi="Arial"/>
          <w:sz w:val="18"/>
          <w:szCs w:val="18"/>
          <w:u w:val="single" w:color="auto"/>
          <w:color w:val="auto"/>
        </w:rPr>
        <w:t>www.chs.net</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60"/>
          </w:cols>
          <w:pgMar w:left="4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88"/>
        </w:trPr>
        <w:tc>
          <w:tcPr>
            <w:tcW w:w="7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3,119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13,210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income (loss) (f), (g)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Adjusted EBITDA (c)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1,628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r>
      <w:tr>
        <w:trPr>
          <w:trHeight w:val="324"/>
        </w:trPr>
        <w:tc>
          <w:tcPr>
            <w:tcW w:w="7500" w:type="dxa"/>
            <w:vAlign w:val="bottom"/>
          </w:tcPr>
          <w:p>
            <w:pPr>
              <w:spacing w:after="0"/>
              <w:rPr>
                <w:sz w:val="20"/>
                <w:szCs w:val="20"/>
                <w:color w:val="auto"/>
              </w:rPr>
            </w:pPr>
            <w:r>
              <w:rPr>
                <w:rFonts w:ascii="Arial" w:cs="Arial" w:eastAsia="Arial" w:hAnsi="Arial"/>
                <w:sz w:val="18"/>
                <w:szCs w:val="18"/>
                <w:i w:val="1"/>
                <w:iCs w:val="1"/>
                <w:color w:val="auto"/>
                <w:w w:val="97"/>
              </w:rPr>
              <w:t>Earnings (loss) per share attributable to Community Health Systems, Inc. common stockholders: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Diluted (e), (f), (g)</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r>
      <w:tr>
        <w:trPr>
          <w:trHeight w:val="94"/>
        </w:trPr>
        <w:tc>
          <w:tcPr>
            <w:tcW w:w="7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w w:val="83"/>
              </w:rPr>
              <w:t>2020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97"/>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Operating</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4"/>
        </w:trPr>
        <w:tc>
          <w:tcPr>
            <w:tcW w:w="7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1,357</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1,448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cost and rent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Pandemic relief funds</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4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Impairment and (gain) loss on sale of businesses, net (f)</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3,122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2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(Gain) loss from early extinguishment of debt</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(115)</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Net income (loss) (f), (g)</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(346)</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6"/>
              </w:rPr>
              <w:t>Earnings (loss) per share attributable to Community Health Systems, Inc. common stockholders: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Basic (f), (g)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(3.27)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 (f), (g)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41"/>
              <w:spacing w:after="0"/>
              <w:rPr>
                <w:sz w:val="20"/>
                <w:szCs w:val="20"/>
                <w:color w:val="auto"/>
              </w:rPr>
            </w:pPr>
            <w:r>
              <w:rPr>
                <w:rFonts w:ascii="Arial" w:cs="Arial" w:eastAsia="Arial" w:hAnsi="Arial"/>
                <w:sz w:val="14"/>
                <w:szCs w:val="14"/>
                <w:b w:val="1"/>
                <w:bCs w:val="1"/>
                <w:color w:val="auto"/>
                <w:w w:val="95"/>
              </w:rPr>
              <w:t>Year Ended December 31,</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vMerge w:val="restart"/>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vMerge w:val="restart"/>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4"/>
        </w:trPr>
        <w:tc>
          <w:tcPr>
            <w:tcW w:w="71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5,947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Supplies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1,963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2,151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3,303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health records incentive reimbursement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Lease cost and 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321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Pandemic relief funds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608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(gain) loss on sale of businesses, net (f)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138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7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10,663</w:t>
            </w:r>
          </w:p>
        </w:tc>
        <w:tc>
          <w:tcPr>
            <w:tcW w:w="300" w:type="dxa"/>
            <w:vAlign w:val="bottom"/>
            <w:vMerge w:val="continue"/>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12,560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115"/>
        </w:trPr>
        <w:tc>
          <w:tcPr>
            <w:tcW w:w="7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(f), (g)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1,031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1,041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early extinguishment of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160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 (g)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85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i w:val="1"/>
                <w:iCs w:val="1"/>
                <w:color w:val="auto"/>
                <w:w w:val="92"/>
              </w:rPr>
              <w:t>Earnings (loss) per share attributable to Community Health Systems, Inc. common stockholders: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(5.93)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360"/>
              <w:spacing w:after="0"/>
              <w:rPr>
                <w:sz w:val="20"/>
                <w:szCs w:val="20"/>
                <w:color w:val="auto"/>
              </w:rPr>
            </w:pPr>
            <w:r>
              <w:rPr>
                <w:rFonts w:ascii="Arial" w:cs="Arial" w:eastAsia="Arial" w:hAnsi="Arial"/>
                <w:sz w:val="18"/>
                <w:szCs w:val="18"/>
                <w:color w:val="auto"/>
              </w:rPr>
              <w:t>Diluted (e), (f), (g)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2020</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5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(346)</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$607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$(590)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interest rate swaps, net of tax</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debt securities, net of tax</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and recognition of unrecognized pension cost components, net of tax</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720"/>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(347)</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96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Comprehensive income (loss) attributable to Community Health Systems, Inc.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(374)</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(674)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4"/>
              </w:rPr>
              <w:t>Three Months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Consolidated</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Licensed beds (at end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16,240</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13,981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12,556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Admissions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116,450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133,745</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115,219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119,319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240,814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292,919</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237,385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262,415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Patient days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563,032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581,696</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557,385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519,009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Occupancy rate (average beds in service)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3,286</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5"/>
              </w:rPr>
              <w:t>Net inpatient revenues as a % of net operating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Net outpatient revenues as a % of net operating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operations as a % of net operating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Community Health</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Systems, Inc. stockholders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Community Health</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 Inc. stockholders as a % of net operating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Adjusted EBITDA (c)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 of net operating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Consolidated</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Licensed beds (at end of period)</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16,240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13,981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14,442</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Admissions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470,325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557,959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443,106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481,658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1,208,513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1,050,558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Patient days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2,190,939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2,474,569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2,064,349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2,127,231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Occupancy rate (average beds in service)</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inpatient revenues as a % of net operating revenues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outpatient revenues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7"/>
              </w:rPr>
              <w:t>Net income (loss) attributable to Community Health Systems,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Inc.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 (loss) attributable to Community Health Systems,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 stockholders as a % of net operating revenues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EBITDA (c)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1,628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8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Patient accounts receivable</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1,927</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2,258</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Supplies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r>
      <w:tr>
        <w:trPr>
          <w:trHeight w:val="229"/>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Prepaid income taxes</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taxes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r>
      <w:tr>
        <w:trPr>
          <w:trHeight w:val="27"/>
        </w:trPr>
        <w:tc>
          <w:tcPr>
            <w:tcW w:w="12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3,427</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 and improvements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5,749</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5,878</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Equipment and fixtures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2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(4,045)</w:t>
            </w:r>
          </w:p>
        </w:tc>
      </w:tr>
      <w:tr>
        <w:trPr>
          <w:trHeight w:val="230"/>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4,328</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3"/>
              </w:rPr>
              <w:t>Other assets, net of accumulated amortization of $1,118 and $981 at December 31, 2020 and 2019, respectively</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Total assets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Current operating lease liabilities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Employee compensation</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r>
      <w:tr>
        <w:trPr>
          <w:trHeight w:val="216"/>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r>
      <w:tr>
        <w:trPr>
          <w:trHeight w:val="216"/>
        </w:trPr>
        <w:tc>
          <w:tcPr>
            <w:tcW w:w="8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r>
      <w:tr>
        <w:trPr>
          <w:trHeight w:val="230"/>
        </w:trPr>
        <w:tc>
          <w:tcPr>
            <w:tcW w:w="8360" w:type="dxa"/>
            <w:vAlign w:val="bottom"/>
            <w:gridSpan w:val="2"/>
          </w:tcPr>
          <w:p>
            <w:pPr>
              <w:ind w:left="10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debt (h)</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13,385</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operating lease liabilities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Other long-term liabilities</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17,248</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Redeemable noncontrolling interests in equity of consolidated subsidiaries</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DEFICIT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Community Health Systems, Inc. stockholders’ deficit:</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$.01 par value per share, 100,000,000 shares authorized; none issued</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Common stock, $.01 par value per share, 300,000,000 shares authorized; 129,612,117 shares issued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360" w:type="dxa"/>
            <w:vAlign w:val="bottom"/>
            <w:gridSpan w:val="2"/>
          </w:tcPr>
          <w:p>
            <w:pPr>
              <w:ind w:left="540"/>
              <w:spacing w:after="0"/>
              <w:rPr>
                <w:sz w:val="20"/>
                <w:szCs w:val="20"/>
                <w:color w:val="auto"/>
              </w:rPr>
            </w:pPr>
            <w:r>
              <w:rPr>
                <w:rFonts w:ascii="Arial" w:cs="Arial" w:eastAsia="Arial" w:hAnsi="Arial"/>
                <w:sz w:val="18"/>
                <w:szCs w:val="18"/>
                <w:color w:val="auto"/>
                <w:w w:val="91"/>
              </w:rPr>
              <w:t>outstanding at December 31, 2020, and 117,822,631 shares issued and outstanding at December 31, 2019</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(4,218)</w:t>
            </w:r>
          </w:p>
        </w:tc>
      </w:tr>
      <w:tr>
        <w:trPr>
          <w:trHeight w:val="22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Total Community Health Systems, Inc. stockholders’ deficit</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Noncontrolling interests in equity of consolidated subsidiaries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Total stockholders’ deficit</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 and stockholders’ deficit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15,609</w:t>
            </w:r>
          </w:p>
        </w:tc>
      </w:tr>
      <w:tr>
        <w:trPr>
          <w:trHeight w:val="20"/>
        </w:trPr>
        <w:tc>
          <w:tcPr>
            <w:tcW w:w="12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7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9180" w:type="dxa"/>
            <w:vAlign w:val="bottom"/>
            <w:gridSpan w:val="2"/>
          </w:tcPr>
          <w:p>
            <w:pPr>
              <w:ind w:left="720"/>
              <w:spacing w:after="0"/>
              <w:rPr>
                <w:sz w:val="20"/>
                <w:szCs w:val="20"/>
                <w:color w:val="auto"/>
              </w:rPr>
            </w:pPr>
            <w:r>
              <w:rPr>
                <w:rFonts w:ascii="Arial" w:cs="Arial" w:eastAsia="Arial" w:hAnsi="Arial"/>
                <w:sz w:val="18"/>
                <w:szCs w:val="18"/>
                <w:color w:val="auto"/>
              </w:rPr>
              <w:t>Government and other legal settlements and related costs (g)</w:t>
            </w: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80" w:type="dxa"/>
            <w:vAlign w:val="bottom"/>
            <w:gridSpan w:val="2"/>
          </w:tcPr>
          <w:p>
            <w:pPr>
              <w:ind w:left="720"/>
              <w:spacing w:after="0"/>
              <w:rPr>
                <w:sz w:val="20"/>
                <w:szCs w:val="20"/>
                <w:color w:val="auto"/>
              </w:rPr>
            </w:pPr>
            <w:r>
              <w:rPr>
                <w:rFonts w:ascii="Arial" w:cs="Arial" w:eastAsia="Arial" w:hAnsi="Arial"/>
                <w:sz w:val="18"/>
                <w:szCs w:val="18"/>
                <w:color w:val="auto"/>
              </w:rPr>
              <w:t>Impairment and (gain) loss on sale of businesses, net (f)</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(Gain) loss from early extinguishment of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180" w:type="dxa"/>
            <w:vAlign w:val="bottom"/>
            <w:gridSpan w:val="2"/>
          </w:tcPr>
          <w:p>
            <w:pPr>
              <w:ind w:left="720"/>
              <w:spacing w:after="0"/>
              <w:rPr>
                <w:sz w:val="20"/>
                <w:szCs w:val="20"/>
                <w:color w:val="auto"/>
              </w:rPr>
            </w:pPr>
            <w:r>
              <w:rPr>
                <w:rFonts w:ascii="Arial" w:cs="Arial" w:eastAsia="Arial" w:hAnsi="Arial"/>
                <w:sz w:val="18"/>
                <w:szCs w:val="18"/>
                <w:color w:val="auto"/>
              </w:rPr>
              <w:t>Other non-cash expenses, net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ind w:left="1080"/>
              <w:spacing w:after="0"/>
              <w:rPr>
                <w:sz w:val="20"/>
                <w:szCs w:val="20"/>
                <w:color w:val="auto"/>
              </w:rPr>
            </w:pPr>
            <w:r>
              <w:rPr>
                <w:rFonts w:ascii="Arial" w:cs="Arial" w:eastAsia="Arial" w:hAnsi="Arial"/>
                <w:sz w:val="18"/>
                <w:szCs w:val="18"/>
                <w:color w:val="auto"/>
              </w:rPr>
              <w:t>Patient accounts receivable</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Supplies, prepaid expenses and other current assets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180" w:type="dxa"/>
            <w:vAlign w:val="bottom"/>
            <w:gridSpan w:val="2"/>
          </w:tcPr>
          <w:p>
            <w:pPr>
              <w:ind w:left="1080"/>
              <w:spacing w:after="0"/>
              <w:rPr>
                <w:sz w:val="20"/>
                <w:szCs w:val="20"/>
                <w:color w:val="auto"/>
              </w:rPr>
            </w:pPr>
            <w:r>
              <w:rPr>
                <w:rFonts w:ascii="Arial" w:cs="Arial" w:eastAsia="Arial" w:hAnsi="Arial"/>
                <w:sz w:val="18"/>
                <w:szCs w:val="18"/>
                <w:color w:val="auto"/>
              </w:rPr>
              <w:t>Medicare accelerated payments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Repayment/derecognition of Medicare accelerated payments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gridSpan w:val="2"/>
          </w:tcPr>
          <w:p>
            <w:pPr>
              <w:ind w:left="1080"/>
              <w:spacing w:after="0"/>
              <w:rPr>
                <w:sz w:val="20"/>
                <w:szCs w:val="20"/>
                <w:color w:val="auto"/>
              </w:rPr>
            </w:pPr>
            <w:r>
              <w:rPr>
                <w:rFonts w:ascii="Arial" w:cs="Arial" w:eastAsia="Arial" w:hAnsi="Arial"/>
                <w:sz w:val="18"/>
                <w:szCs w:val="18"/>
                <w:color w:val="auto"/>
              </w:rPr>
              <w:t>Unrecognized pandemic relief funds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Accounts payable, accrued liabilities and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9180" w:type="dxa"/>
            <w:vAlign w:val="bottom"/>
            <w:gridSpan w:val="2"/>
          </w:tcPr>
          <w:p>
            <w:pPr>
              <w:ind w:left="10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331"/>
        </w:trPr>
        <w:tc>
          <w:tcPr>
            <w:tcW w:w="9180" w:type="dxa"/>
            <w:vAlign w:val="bottom"/>
            <w:gridSpan w:val="2"/>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Acquisitions of facilities and other related businesses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disposition of hospitals and other ancillary operations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available-for-sale debt securities and equity securities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Proceeds from sales of available-for-sale debt securities and equity securities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other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12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Repurchase of restricted stock shares for payroll tax withholding requirements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financing costs and other debt-related costs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Proceeds from noncontrolling investors in joint ventures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Redemption of noncontrolling investments in joint ventures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Distributions to noncontrolling investors in joint ventures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sale-lease back</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long-term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Proceeds from ABL facility</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Repayments of long-term indebtedness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change in cash and cash equivalents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 at beginning of period</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w:t>
      </w:r>
    </w:p>
    <w:p>
      <w:pPr>
        <w:spacing w:after="0" w:line="256" w:lineRule="exact"/>
        <w:rPr>
          <w:sz w:val="20"/>
          <w:szCs w:val="20"/>
          <w:color w:val="auto"/>
        </w:rPr>
      </w:pPr>
    </w:p>
    <w:p>
      <w:pPr>
        <w:ind w:left="424" w:right="180" w:hanging="424"/>
        <w:spacing w:after="0" w:line="259"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Both financial and statistical results include the operating results of divested or closed hospitals for the periods prior to the consummation of the respective divestiture or hospital closing. Same-store operating results and statistical information exclude the results of a hospital acquired in 2019, a hospital opened in 2020 and the hospitals divested or closed in 2019 and 2020. There were no discontinued operations reported for 2019 and 2020.</w:t>
      </w:r>
    </w:p>
    <w:p>
      <w:pPr>
        <w:spacing w:after="0" w:line="92"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table provides information needed to calculate earnings (loss) per share, which is adjusted for income attributable to noncontrolling interests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2020</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Community Health Systems, Inc. common stockholders:</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$607</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$(590)</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Income attributable to noncontrolling interests, net of taxes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09"/>
        </w:trPr>
        <w:tc>
          <w:tcPr>
            <w:tcW w:w="7120" w:type="dxa"/>
            <w:vAlign w:val="bottom"/>
          </w:tcPr>
          <w:p>
            <w:pPr>
              <w:ind w:left="360"/>
              <w:spacing w:after="0"/>
              <w:rPr>
                <w:sz w:val="20"/>
                <w:szCs w:val="20"/>
                <w:color w:val="auto"/>
              </w:rPr>
            </w:pPr>
            <w:r>
              <w:rPr>
                <w:rFonts w:ascii="Arial" w:cs="Arial" w:eastAsia="Arial" w:hAnsi="Arial"/>
                <w:sz w:val="18"/>
                <w:szCs w:val="18"/>
                <w:color w:val="auto"/>
              </w:rPr>
              <w:t>Net income (loss) attributable to Community Health Systems, Inc. common</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2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(675)</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hanging="424"/>
        <w:spacing w:after="0" w:line="28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EBITDA is a non-GAAP financial measure which consists of net income (loss) attributable to Community Health Systems, Inc. before interest, income taxes, and depreciation and amortization. Adjusted EBITDA, also a non-GAAP financial measure, is EBITDA adjusted to add back net income attributable to noncontrolling interests and to exclude (gain) loss from early extinguishment of debt, impairment and (gain) loss on sale of businesses,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is being litigated, expense related to employee termination benefits and other restructuring charges, expense from settlement and fair value adjustments on the CVR agreement liability related to the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During the three months ended December 31, 2020, the Company incurred expenses in the amount of approximately $50 million related to the settlement of a professional liability claim for which the Company’s third-party insurers’ obligation to provide coverage to the Company in connection with the underlying loss is being litigated. In the ordinary course of business, the Company’s expense with respect to professional liability claims is limited to amounts not covered by third-party insurance policies, which typically provide coverage for professional liability claims. The subject of the litigation for the recovery of the full amount of the $50 million settlement is whether the claim is covered under the subject policies. The Company believes it is owed reimbursement of the full amount of the settlement by its insurers with respect to this matter. The Company has included this adjustment in the calculation of Adjusted EBITDA because we believe that this expense, absent the dispute as to whether it relates to a covered loss as defined in our insurance policies, would have been mitigated by insurance recoveries and is therefore outside of the ordinary course of the Company’s operations and not reflective of the Company’s underlying results of operations in light of the intended purpose of Adjusted EBITDA in assessing the Company’s operational performance and comparing the Company’s performance between periods.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and clarifies for investors the Company’s portion of EBITDA generated by continuing operations.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which is a key component in the determination of the Company’s compliance with certain covenants under the ABL Facility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4"/>
          </w:cols>
          <w:pgMar w:left="436" w:top="274"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reported by other companies.</w:t>
      </w:r>
    </w:p>
    <w:p>
      <w:pPr>
        <w:spacing w:after="0" w:line="53"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The following table reflects the reconciliation of Adjusted EBITDA, as defined, to net income (loss) attributable to Community Health Systems, Inc. stockholders as derived directly from the condensed consolidated financial statements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4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18"/>
                <w:szCs w:val="18"/>
                <w:color w:val="auto"/>
              </w:rPr>
              <w:t>608</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1,031</w:t>
            </w: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18"/>
                <w:szCs w:val="18"/>
                <w:color w:val="auto"/>
                <w:w w:val="84"/>
              </w:rPr>
              <w:t>1,041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early extinguishment of debt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Impairment and (gain) loss on sale of businesses,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(Income) expense from government and other legal settlements and related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w:t>
            </w:r>
          </w:p>
        </w:tc>
      </w:tr>
      <w:tr>
        <w:trPr>
          <w:trHeight w:val="202"/>
        </w:trPr>
        <w:tc>
          <w:tcPr>
            <w:tcW w:w="2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Arial" w:cs="Arial" w:eastAsia="Arial" w:hAnsi="Arial"/>
                <w:sz w:val="18"/>
                <w:szCs w:val="18"/>
                <w:color w:val="auto"/>
                <w:w w:val="99"/>
              </w:rPr>
              <w:t>Expense from the settlement of professional liability claims for which the third-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w w:val="95"/>
              </w:rPr>
              <w:t>party insurers’ obligation to insure the Company for the underlying loss is being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litigated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82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5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Expense from settlement and legal expenses related to cases covered by the CVR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w w:val="94"/>
              </w:rPr>
              <w:t>Expense related to employee termination benefits and other restructuring charges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allowances recorded for promissory notes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Change in estimate for professional liability claims accrual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1,809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4"/>
              </w:rPr>
              <w:t>1,628</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26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table sets forth components reconciling the basic weighted-average number of shares to the diluted weighted-average number of shares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260" w:type="dxa"/>
            <w:vAlign w:val="bottom"/>
          </w:tcPr>
          <w:p>
            <w:pPr>
              <w:spacing w:after="0"/>
              <w:rPr>
                <w:sz w:val="14"/>
                <w:szCs w:val="14"/>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2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114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114</w:t>
            </w:r>
          </w:p>
        </w:tc>
        <w:tc>
          <w:tcPr>
            <w:tcW w:w="4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Add effect of dilutive securities: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awards and options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114</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114</w:t>
            </w:r>
          </w:p>
        </w:tc>
        <w:tc>
          <w:tcPr>
            <w:tcW w:w="4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20"/>
        <w:spacing w:after="0" w:line="296" w:lineRule="auto"/>
        <w:rPr>
          <w:sz w:val="20"/>
          <w:szCs w:val="20"/>
          <w:color w:val="auto"/>
        </w:rPr>
      </w:pPr>
      <w:r>
        <w:rPr>
          <w:rFonts w:ascii="Arial" w:cs="Arial" w:eastAsia="Arial" w:hAnsi="Arial"/>
          <w:sz w:val="16"/>
          <w:szCs w:val="16"/>
          <w:color w:val="auto"/>
        </w:rPr>
        <w:t>The effect of stock awards and options on the diluted shares calculation was an increase of 3,469,701 shares and 1,053,539 shares during the three months and year ended December 31, 2020, respectively. The Company generated a net loss attributable to Community Health Systems, Inc. common stockholders for the three months and year ended December 31, 2019, so the effect of dilutive securities is not considered because their effect would be antidilutive. If the Company had generated net income during the three months and year ended December 31, 2019, the effect of stock awards and options on the diluted shares calculation would have been an increase in shares of 376,689 and 133,866, respectively.</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84"/>
          </w:cols>
          <w:pgMar w:left="436" w:top="274" w:right="47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ind w:left="424" w:hanging="424"/>
        <w:spacing w:after="0" w:line="272"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supplemental table reconciles net income (loss) attributable to Community Health Systems, Inc. common stockholders, as reported, on a per share (diluted) basis, to net income (loss) attributable to Community Health Systems, Inc. common stockholders per share (diluted) with the adjustments described herein (total per share amounts may not add due to rounding). The Company believes that the presentation of non-GAAP adjusted net income (loss) attributable to Community Health Systems, Inc. common stockholders per share (diluted) presents useful information to investors by highlighting the impact on net income (loss) attributable to Community Health Systems, Inc. common stockholders per share (diluted) of selected items used in calculating Adjusted EBITDA which may not reflect the Company’s underlying operating performance and assisting in comparing the Company’s results of operations between periods.</w:t>
      </w:r>
    </w:p>
    <w:p>
      <w:pPr>
        <w:spacing w:after="0" w:line="18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14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 as reported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(3.27)</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$ 4.39</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early extinguishment of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Impairment and (gain) loss on sale of businesses,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0.29</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0.69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(Income) expense from government and other legal settlements and related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340"/>
              <w:spacing w:after="0" w:line="201" w:lineRule="exact"/>
              <w:rPr>
                <w:sz w:val="20"/>
                <w:szCs w:val="20"/>
                <w:color w:val="auto"/>
              </w:rPr>
            </w:pPr>
            <w:r>
              <w:rPr>
                <w:rFonts w:ascii="Arial" w:cs="Arial" w:eastAsia="Arial" w:hAnsi="Arial"/>
                <w:sz w:val="18"/>
                <w:szCs w:val="18"/>
                <w:color w:val="auto"/>
                <w:w w:val="99"/>
              </w:rPr>
              <w:t>Expense from the settlement of professional liability claims for which the third-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w w:val="95"/>
              </w:rPr>
              <w:t>party insurers’ obligation to insure the Company for the underlying loss is being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litigated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Expense from settlement and legal expenses related to cases covered by the CVR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w w:val="95"/>
              </w:rPr>
              <w:t>Expense related to employee termination benefits and other restructuring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0.11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allowances recorded for promissory notes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Change in estimate for professional liabilty claims accrual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 related to HMA legal settlement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Change in tax valuation allowance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 excluding adjustments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$ 0.45</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160" w:hanging="424"/>
        <w:spacing w:after="0" w:line="272"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Both income from operations and net income (loss) for the three months ended December 31, 2020 and 2019, included a net non-cash gain of approximately $1 million and non-cash expense of $68 million, respectively, primarily from impairment charges to reduce the value of certain long-lived assets at hospitals the Company has identified for sale or has sold and gains on the sale of certain hospitals during such periods. Both income from operations and net income (loss) for the year ended December 31, 2020 and 2019, included net non-cash expense of approximately $48 million and $138 million, respectively, primarily from impairment charges to reduce the value of certain long-lived assets at hospitals the Company has identified for sale or has sold and gains on the sale of certain hospitals during such periods. These impairment charges do not have an impact on the calculation of the Company’s financial covenants under the ABL Facility.</w:t>
      </w:r>
    </w:p>
    <w:p>
      <w:pPr>
        <w:spacing w:after="0" w:line="82" w:lineRule="exact"/>
        <w:rPr>
          <w:rFonts w:ascii="Arial" w:cs="Arial" w:eastAsia="Arial" w:hAnsi="Arial"/>
          <w:sz w:val="17"/>
          <w:szCs w:val="17"/>
          <w:color w:val="auto"/>
        </w:rPr>
      </w:pPr>
    </w:p>
    <w:p>
      <w:pPr>
        <w:ind w:left="424" w:hanging="424"/>
        <w:spacing w:after="0" w:line="275"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$(0.02) per share (diluted) and $(0.00) per share (diluted) of income for “Government and other legal settlements and related costs” for the three months and year ended December 31, 2020, respectively, is the net impact of the favorable resolution of a lawsuit and several lawsuits settled in principle during the related periods, and related legal expenses. The $0.40 per share (diluted) and $0.64 per share (diluted) of expense for “Government and other legal settlements and related costs” for the three months and year ended December 31, 2019, respectively, is the net impact of several lawsuits settled in principle during the related periods, and related legal expenses.</w:t>
      </w:r>
    </w:p>
    <w:p>
      <w:pPr>
        <w:spacing w:after="0" w:line="81" w:lineRule="exact"/>
        <w:rPr>
          <w:rFonts w:ascii="Arial" w:cs="Arial" w:eastAsia="Arial" w:hAnsi="Arial"/>
          <w:sz w:val="17"/>
          <w:szCs w:val="17"/>
          <w:color w:val="auto"/>
        </w:rPr>
      </w:pPr>
    </w:p>
    <w:p>
      <w:pPr>
        <w:ind w:left="424" w:right="360" w:hanging="424"/>
        <w:spacing w:after="0" w:line="342"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December 31, 2020, the Company had no outstanding borrowings and approximately $529 million of borrowing capacity (after taking into consideration $150 million of outstanding letters of credit) under the ABL Facility, with the ability to increase borrowings up to $1.0 billion.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4"/>
          </w:cols>
          <w:pgMar w:left="436" w:top="274"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Regulation FD Disclosure</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Set forth below is selected information concerning the Company’s projected consolidated operating results for the year ending December 31,</w:t>
      </w:r>
    </w:p>
    <w:p>
      <w:pPr>
        <w:spacing w:after="0" w:line="46"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2021. These projections are based on the Company’s historical operating performance, current trends and other assumptions that the Company believes are reasonable at this time. The 2021 guidance should be considered in conjunction with the assumptions included herein. See pages 20 and 21 for a list of factors that could affect the future results of the Company or the healthcare industry generally.</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provided as guidance to analysts and investors: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2021 Projection Range</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revenues (in millions)</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87"/>
              </w:rPr>
              <w:t>11,700</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Adjusted EBITDA (in millions)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1,600</w:t>
            </w:r>
          </w:p>
        </w:tc>
        <w:tc>
          <w:tcPr>
            <w:tcW w:w="480" w:type="dxa"/>
            <w:vAlign w:val="bottom"/>
          </w:tcPr>
          <w:p>
            <w:pPr>
              <w:ind w:left="180"/>
              <w:spacing w:after="0"/>
              <w:rPr>
                <w:sz w:val="20"/>
                <w:szCs w:val="20"/>
                <w:color w:val="auto"/>
              </w:rPr>
            </w:pPr>
            <w:r>
              <w:rPr>
                <w:rFonts w:ascii="Arial" w:cs="Arial" w:eastAsia="Arial" w:hAnsi="Arial"/>
                <w:sz w:val="18"/>
                <w:szCs w:val="18"/>
                <w:color w:val="auto"/>
              </w:rPr>
              <w:t>to</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Weighted-average diluted shares (in millions)</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129.0</w:t>
            </w:r>
          </w:p>
        </w:tc>
        <w:tc>
          <w:tcPr>
            <w:tcW w:w="480" w:type="dxa"/>
            <w:vAlign w:val="bottom"/>
          </w:tcPr>
          <w:p>
            <w:pPr>
              <w:ind w:left="180"/>
              <w:spacing w:after="0"/>
              <w:rPr>
                <w:sz w:val="20"/>
                <w:szCs w:val="20"/>
                <w:color w:val="auto"/>
              </w:rPr>
            </w:pPr>
            <w:r>
              <w:rPr>
                <w:rFonts w:ascii="Arial" w:cs="Arial" w:eastAsia="Arial" w:hAnsi="Arial"/>
                <w:sz w:val="18"/>
                <w:szCs w:val="18"/>
                <w:color w:val="auto"/>
              </w:rPr>
              <w:t>to</w:t>
            </w:r>
          </w:p>
        </w:tc>
        <w:tc>
          <w:tcPr>
            <w:tcW w:w="2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130.0</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assumptions were used in developing the 2021 guidance provided above:</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projections exclude the following:</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7"/>
          <w:szCs w:val="17"/>
          <w:color w:val="auto"/>
        </w:rPr>
      </w:pPr>
      <w:r>
        <w:rPr>
          <w:rFonts w:ascii="Arial" w:cs="Arial" w:eastAsia="Arial" w:hAnsi="Arial"/>
          <w:sz w:val="17"/>
          <w:szCs w:val="17"/>
          <w:color w:val="auto"/>
        </w:rPr>
        <w:t>Effect of debt refinancing activities not yet completed, including gains and losses from early extinguishment of debt;</w:t>
      </w:r>
    </w:p>
    <w:p>
      <w:pPr>
        <w:spacing w:after="0" w:line="142" w:lineRule="exact"/>
        <w:rPr>
          <w:rFonts w:ascii="Arial" w:cs="Arial" w:eastAsia="Arial" w:hAnsi="Arial"/>
          <w:sz w:val="17"/>
          <w:szCs w:val="17"/>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Potential recognition of additional pandemic relief funds;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any potential future divestitures not currently subject to definitive agreements;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Gains or losses from the sales of businesses;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Employee termination benefits and restructuring costs;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Resolution of government investigations or other significant legal settlements;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Costs incurred in connection with divestitures; and</w:t>
      </w:r>
    </w:p>
    <w:p>
      <w:pPr>
        <w:spacing w:after="0" w:line="130" w:lineRule="exact"/>
        <w:rPr>
          <w:rFonts w:ascii="Arial" w:cs="Arial" w:eastAsia="Arial" w:hAnsi="Arial"/>
          <w:sz w:val="18"/>
          <w:szCs w:val="18"/>
          <w:color w:val="auto"/>
        </w:rPr>
      </w:pPr>
    </w:p>
    <w:p>
      <w:pPr>
        <w:ind w:left="2084" w:right="20" w:hanging="653"/>
        <w:spacing w:after="0" w:line="277" w:lineRule="auto"/>
        <w:tabs>
          <w:tab w:leader="none" w:pos="20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Other significant gains or losses that neither relate to the ordinary course of business nor reflect the Company’s underlying business performance.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assumptions used in the above guidance:</w:t>
      </w:r>
    </w:p>
    <w:p>
      <w:pPr>
        <w:spacing w:after="0" w:line="131" w:lineRule="exact"/>
        <w:rPr>
          <w:sz w:val="20"/>
          <w:szCs w:val="20"/>
          <w:color w:val="auto"/>
        </w:rPr>
      </w:pPr>
    </w:p>
    <w:p>
      <w:pPr>
        <w:ind w:left="424" w:right="2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Expressed as a percentage of net operating revenues, depreciation and amortization of approximately 4.6% for 2021. Additionally, this is a fixed cost and the percentages may change as revenue varies. Such amounts exclude the possible impact of any future hospital fixed asset impairments.</w:t>
      </w:r>
    </w:p>
    <w:p>
      <w:pPr>
        <w:spacing w:after="0" w:line="29" w:lineRule="exact"/>
        <w:rPr>
          <w:rFonts w:ascii="Arial" w:cs="Arial" w:eastAsia="Arial" w:hAnsi="Arial"/>
          <w:sz w:val="16"/>
          <w:szCs w:val="16"/>
          <w:color w:val="auto"/>
        </w:rPr>
      </w:pPr>
    </w:p>
    <w:p>
      <w:pPr>
        <w:ind w:left="424" w:right="6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is estimated to be between $895 million and $905 million while cash paid for interest, which excludes the amortization of deferred financing costs, is expected to be $830 million to $840 million. Total fixed rate debt is expected to average approximately 100% of total debt during 2021.</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Expressed as a percentage of net operating revenues, net income attributable to noncontrolling interests of approximately 0.9% for 2021.</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Expressed as a percentage of net operating revenues, provision for income taxes of approximately 0.6% to 1.1% for 2021.</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24"/>
          </w:cols>
          <w:pgMar w:left="436" w:top="274" w:right="5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A reconciliation of the Company’s projected 2021 Adjusted EBITDA, a forward-looking non-GAAP financial measure, to the Company’s projected net income attributable to Community Health Systems, Inc. stockholders, the most directly comparable GAAP financial measure, is shown below:</w:t>
      </w:r>
    </w:p>
    <w:p>
      <w:pPr>
        <w:spacing w:after="0" w:line="165"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Year Ending</w:t>
      </w:r>
    </w:p>
    <w:p>
      <w:pPr>
        <w:jc w:val="center"/>
        <w:ind w:left="6860"/>
        <w:spacing w:after="0" w:line="236" w:lineRule="auto"/>
        <w:rPr>
          <w:sz w:val="20"/>
          <w:szCs w:val="20"/>
          <w:color w:val="auto"/>
        </w:rPr>
      </w:pPr>
      <w:r>
        <w:rPr>
          <w:rFonts w:ascii="Arial" w:cs="Arial" w:eastAsia="Arial" w:hAnsi="Arial"/>
          <w:sz w:val="14"/>
          <w:szCs w:val="14"/>
          <w:b w:val="1"/>
          <w:bCs w:val="1"/>
          <w:color w:val="auto"/>
        </w:rPr>
        <w:t>December 31, 2021</w:t>
      </w:r>
    </w:p>
    <w:tbl>
      <w:tblPr>
        <w:tblLayout w:type="fixed"/>
        <w:tblInd w:w="1324"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High</w:t>
            </w:r>
          </w:p>
        </w:tc>
        <w:tc>
          <w:tcPr>
            <w:tcW w:w="4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1,800</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964" w:hanging="532"/>
        <w:spacing w:after="0" w:line="275" w:lineRule="auto"/>
        <w:tabs>
          <w:tab w:leader="none" w:pos="96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does not include in this reconciliation the impact of certain items not included in the Company’s forecast set forth above that would be included in a reconciliation of historical net loss attributable to Community Health Systems, Inc. stockholders to Adjusted EBITDA such as, but not limited to, (gains) losses from early extinguishment of debt, impairment and (gain) loss on sale of businesses, and expense (income) related to government and other legal settlements and related costs, in light of the fact that such items are not determinable, and/or the inherent difficulty in quantifying such projected amounts, on a forward-looking basis.</w:t>
      </w:r>
    </w:p>
    <w:p>
      <w:pPr>
        <w:spacing w:after="0" w:line="81" w:lineRule="exact"/>
        <w:rPr>
          <w:rFonts w:ascii="Arial" w:cs="Arial" w:eastAsia="Arial" w:hAnsi="Arial"/>
          <w:sz w:val="17"/>
          <w:szCs w:val="17"/>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are projected as follows (in millions):</w:t>
      </w:r>
    </w:p>
    <w:p>
      <w:pPr>
        <w:spacing w:after="0" w:line="244"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2021</w:t>
      </w:r>
    </w:p>
    <w:p>
      <w:pPr>
        <w:jc w:val="center"/>
        <w:ind w:left="5880"/>
        <w:spacing w:after="0" w:line="236" w:lineRule="auto"/>
        <w:rPr>
          <w:sz w:val="20"/>
          <w:szCs w:val="20"/>
          <w:color w:val="auto"/>
        </w:rPr>
      </w:pPr>
      <w:r>
        <w:rPr>
          <w:rFonts w:ascii="Arial" w:cs="Arial" w:eastAsia="Arial" w:hAnsi="Arial"/>
          <w:sz w:val="14"/>
          <w:szCs w:val="14"/>
          <w:b w:val="1"/>
          <w:bCs w:val="1"/>
          <w:color w:val="auto"/>
        </w:rPr>
        <w:t>Guidance</w:t>
      </w:r>
    </w:p>
    <w:tbl>
      <w:tblPr>
        <w:tblLayout w:type="fixed"/>
        <w:tblInd w:w="1764" w:type="dxa"/>
        <w:tblCellMar>
          <w:top w:w="0" w:type="dxa"/>
          <w:left w:w="0" w:type="dxa"/>
          <w:bottom w:w="0" w:type="dxa"/>
          <w:right w:w="0" w:type="dxa"/>
        </w:tblCellMar>
      </w:tblP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$400</w:t>
            </w:r>
          </w:p>
        </w:tc>
        <w:tc>
          <w:tcPr>
            <w:tcW w:w="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   $500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424" w:right="32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cash provided by operating activities, and net cash provided by operating activities adjusted to exclude anticipated repayment of Medicare accelerated payments (a non-GAAP financial measure), are projected as follows (in millions):</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Guidance</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$200</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$300</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Repayment of Medicare accelerated payments</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c>
          <w:tcPr>
            <w:tcW w:w="700" w:type="dxa"/>
            <w:vAlign w:val="bottom"/>
          </w:tcPr>
          <w:p>
            <w:pPr>
              <w:ind w:left="320"/>
              <w:spacing w:after="0"/>
              <w:rPr>
                <w:sz w:val="20"/>
                <w:szCs w:val="20"/>
                <w:color w:val="auto"/>
              </w:rPr>
            </w:pPr>
            <w:r>
              <w:rPr>
                <w:rFonts w:ascii="Arial" w:cs="Arial" w:eastAsia="Arial" w:hAnsi="Arial"/>
                <w:sz w:val="18"/>
                <w:szCs w:val="18"/>
                <w:color w:val="auto"/>
              </w:rPr>
              <w:t>to</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450</w:t>
            </w:r>
          </w:p>
        </w:tc>
      </w:tr>
      <w:tr>
        <w:trPr>
          <w:trHeight w:val="202"/>
        </w:trPr>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cash provided by operating activities, excluding the repayment of Medicare</w:t>
            </w:r>
          </w:p>
        </w:tc>
        <w:tc>
          <w:tcPr>
            <w:tcW w:w="5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payments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$750</w:t>
            </w:r>
          </w:p>
        </w:tc>
      </w:tr>
    </w:tbl>
    <w:p>
      <w:pPr>
        <w:spacing w:after="0" w:line="94" w:lineRule="exact"/>
        <w:rPr>
          <w:sz w:val="20"/>
          <w:szCs w:val="20"/>
          <w:color w:val="auto"/>
        </w:rPr>
      </w:pPr>
    </w:p>
    <w:p>
      <w:pPr>
        <w:ind w:left="444"/>
        <w:spacing w:after="0" w:line="289" w:lineRule="auto"/>
        <w:rPr>
          <w:sz w:val="20"/>
          <w:szCs w:val="20"/>
          <w:color w:val="auto"/>
        </w:rPr>
      </w:pPr>
      <w:r>
        <w:rPr>
          <w:rFonts w:ascii="Arial" w:cs="Arial" w:eastAsia="Arial" w:hAnsi="Arial"/>
          <w:sz w:val="16"/>
          <w:szCs w:val="16"/>
          <w:color w:val="auto"/>
        </w:rPr>
        <w:t>Net cash provided by operating activities excluding repayment of anticipated Medicare accelerated payments is a forward looking non-GAAP financial measure which has been reconciled to net cash provided by operating activities, the most directly comparable GAAP financial measure, in the table above. The Company believes that, in light of the fact that the Medicare accelerated payment program arose from government stimulus efforts in connection with the pandemic and the Company will not have any further obligation to make such repayments once such amounts are fully repaid, the presentation of projected net cash provided by operating activities excluding such repayments provides useful information to investors by highlighting our projected net cash provided by operating activities in 2021 absent such repayments, thereby assisting in understanding our projected financial performance for this period and comparing the Company’s financial performance between periods. This non-GAAP financial measure is not a measurement of financial performance under U.S. GAAP, and should not be considered in isolation or as a substitute for net cash provided by operating activities or any financial measure calculated in accordance with U.S. GAAP.</w:t>
      </w:r>
    </w:p>
    <w:p>
      <w:pPr>
        <w:spacing w:after="0" w:line="72" w:lineRule="exact"/>
        <w:rPr>
          <w:sz w:val="20"/>
          <w:szCs w:val="20"/>
          <w:color w:val="auto"/>
        </w:rPr>
      </w:pPr>
    </w:p>
    <w:p>
      <w:pPr>
        <w:ind w:left="5184" w:right="2220" w:hanging="5184"/>
        <w:spacing w:after="0" w:line="449" w:lineRule="auto"/>
        <w:tabs>
          <w:tab w:leader="none" w:pos="4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Diluted weighted-average shares outstanding are projected to be approximately 129 million to 130 million for 2021. -MORE-</w:t>
      </w:r>
    </w:p>
    <w:p>
      <w:pPr>
        <w:sectPr>
          <w:pgSz w:w="11900" w:h="16838" w:orient="portrait"/>
          <w:cols w:equalWidth="0" w:num="1">
            <w:col w:w="11004"/>
          </w:cols>
          <w:pgMar w:left="436"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Section 21E of the Securities Exchange Act of 1934, as amended, and the Private Securities Litigation Reform Act of 1995 that involve risk and uncertainties. All statements in this press release other than statements of historical fact, including statements regarding projections, expected operating results, and other events that depend upon or refer to future events or conditions or that include words such as “expects,” “anticipates,” “intends,” “plans,” “believes,” “estimates,” “thinks,” and similar expressions, are forward-looking statements.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 things:</w:t>
      </w:r>
    </w:p>
    <w:p>
      <w:pPr>
        <w:spacing w:after="0" w:line="131" w:lineRule="exact"/>
        <w:rPr>
          <w:sz w:val="20"/>
          <w:szCs w:val="20"/>
          <w:color w:val="auto"/>
        </w:rPr>
      </w:pPr>
    </w:p>
    <w:p>
      <w:pPr>
        <w:ind w:left="1420" w:hanging="439"/>
        <w:spacing w:after="0" w:line="272"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developments related to COVID-19, including, without limitation, related to the length and severity of the pandemic; the volume of canceled or rescheduled procedures; the volume of COVID-19 patients cared for across our health systems; the timing and availability of effective medical treatments and vaccines, including the timing and effectiveness of the ongoing rollout of currently available vaccines; the spread of potentially more contagious and/or virulent forms of the virus; measures we are taking to respond to the COVID-19 pandemic; the impact of government and administrative regulation on us; changes in net revenue due to patient volumes, payor mix and negative macroeconomic conditions; increased expenses related to labor, supply chain, capital and other expenditures; workforce disruptions; and supply shortages and disruptions;</w:t>
      </w:r>
    </w:p>
    <w:p>
      <w:pPr>
        <w:spacing w:after="0" w:line="82" w:lineRule="exact"/>
        <w:rPr>
          <w:rFonts w:ascii="Arial" w:cs="Arial" w:eastAsia="Arial" w:hAnsi="Arial"/>
          <w:sz w:val="17"/>
          <w:szCs w:val="17"/>
          <w:color w:val="auto"/>
        </w:rPr>
      </w:pPr>
    </w:p>
    <w:p>
      <w:pPr>
        <w:ind w:left="1420" w:right="120" w:hanging="439"/>
        <w:spacing w:after="0" w:line="342" w:lineRule="auto"/>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uncertainty regarding the implementation of the CARES Act, the PPPHCE Act, the CAA and any other future stimulus measures related to COVID-19, including the magnitude and timing of any future payments or benefits we may receive or realize thereunder;</w:t>
      </w:r>
    </w:p>
    <w:p>
      <w:pPr>
        <w:spacing w:after="0" w:line="29" w:lineRule="exact"/>
        <w:rPr>
          <w:rFonts w:ascii="Arial" w:cs="Arial" w:eastAsia="Arial" w:hAnsi="Arial"/>
          <w:sz w:val="16"/>
          <w:szCs w:val="16"/>
          <w:color w:val="auto"/>
        </w:rPr>
      </w:pPr>
    </w:p>
    <w:p>
      <w:pPr>
        <w:ind w:left="1420" w:right="8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75" w:lineRule="exact"/>
        <w:rPr>
          <w:rFonts w:ascii="Arial" w:cs="Arial" w:eastAsia="Arial" w:hAnsi="Arial"/>
          <w:sz w:val="18"/>
          <w:szCs w:val="18"/>
          <w:color w:val="auto"/>
        </w:rPr>
      </w:pPr>
    </w:p>
    <w:p>
      <w:pPr>
        <w:jc w:val="both"/>
        <w:ind w:left="1420" w:right="60" w:hanging="439"/>
        <w:spacing w:after="0" w:line="286"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current or future federal and state health reform initiatives, including, without limitation, the Affordable Care Act, and the potential for the Affordable Care Act to be repealed or found unconstitutional or otherwise invalidated, or for additional changes to the law, its implementation or its interpretation (including through executive orders and court challenges);</w:t>
      </w:r>
    </w:p>
    <w:p>
      <w:pPr>
        <w:spacing w:after="0" w:line="70" w:lineRule="exact"/>
        <w:rPr>
          <w:rFonts w:ascii="Arial" w:cs="Arial" w:eastAsia="Arial" w:hAnsi="Arial"/>
          <w:sz w:val="17"/>
          <w:szCs w:val="17"/>
          <w:color w:val="auto"/>
        </w:rPr>
      </w:pPr>
    </w:p>
    <w:p>
      <w:pPr>
        <w:ind w:left="1420" w:right="10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regulation or otherwise;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future and long-term viability of health insurance exchanges and potential changes to the beneficiary enrollment process;</w:t>
      </w:r>
    </w:p>
    <w:p>
      <w:pPr>
        <w:spacing w:after="0" w:line="142" w:lineRule="exact"/>
        <w:rPr>
          <w:rFonts w:ascii="Arial" w:cs="Arial" w:eastAsia="Arial" w:hAnsi="Arial"/>
          <w:sz w:val="17"/>
          <w:szCs w:val="17"/>
          <w:color w:val="auto"/>
        </w:rPr>
      </w:pPr>
    </w:p>
    <w:p>
      <w:pPr>
        <w:ind w:left="1420" w:hanging="439"/>
        <w:spacing w:after="0" w:line="259"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 as well as risks associated with disruptions in the financial and capital markets as the result of the COVID-19 pandemic which could impact us from a financing and liquidity perspective;</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30" w:lineRule="exact"/>
        <w:rPr>
          <w:rFonts w:ascii="Arial" w:cs="Arial" w:eastAsia="Arial" w:hAnsi="Arial"/>
          <w:sz w:val="18"/>
          <w:szCs w:val="18"/>
          <w:color w:val="auto"/>
        </w:rPr>
      </w:pPr>
    </w:p>
    <w:p>
      <w:pPr>
        <w:ind w:left="1420" w:right="240" w:hanging="439"/>
        <w:spacing w:after="0" w:line="308"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51" w:lineRule="exact"/>
        <w:rPr>
          <w:rFonts w:ascii="Arial" w:cs="Arial" w:eastAsia="Arial" w:hAnsi="Arial"/>
          <w:sz w:val="17"/>
          <w:szCs w:val="17"/>
          <w:color w:val="auto"/>
        </w:rPr>
      </w:pPr>
    </w:p>
    <w:p>
      <w:pPr>
        <w:ind w:left="1420" w:right="18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adverse impact of known and unknown government investigations, audits, and federal and state false claims act litigation and other legal proceedings;</w:t>
      </w:r>
    </w:p>
    <w:p>
      <w:pPr>
        <w:spacing w:after="0" w:line="75" w:lineRule="exact"/>
        <w:rPr>
          <w:rFonts w:ascii="Arial" w:cs="Arial" w:eastAsia="Arial" w:hAnsi="Arial"/>
          <w:sz w:val="18"/>
          <w:szCs w:val="18"/>
          <w:color w:val="auto"/>
        </w:rPr>
      </w:pPr>
    </w:p>
    <w:p>
      <w:pPr>
        <w:ind w:left="1420" w:right="280" w:hanging="439"/>
        <w:spacing w:after="0" w:line="263"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89"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75" w:lineRule="exact"/>
        <w:rPr>
          <w:rFonts w:ascii="Arial" w:cs="Arial" w:eastAsia="Arial" w:hAnsi="Arial"/>
          <w:sz w:val="18"/>
          <w:szCs w:val="18"/>
          <w:color w:val="auto"/>
        </w:rPr>
      </w:pPr>
    </w:p>
    <w:p>
      <w:pPr>
        <w:ind w:left="1420" w:right="40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Fourth Quarter and Year-End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143" w:lineRule="exact"/>
        <w:rPr>
          <w:sz w:val="20"/>
          <w:szCs w:val="20"/>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30"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related to the continued implementation of the sequestration spending reductions and the potential for future deficit reduction legislation;</w:t>
      </w:r>
    </w:p>
    <w:p>
      <w:pPr>
        <w:spacing w:after="0" w:line="75" w:lineRule="exact"/>
        <w:rPr>
          <w:rFonts w:ascii="Arial" w:cs="Arial" w:eastAsia="Arial" w:hAnsi="Arial"/>
          <w:sz w:val="18"/>
          <w:szCs w:val="18"/>
          <w:color w:val="auto"/>
        </w:rPr>
      </w:pPr>
    </w:p>
    <w:p>
      <w:pPr>
        <w:ind w:left="1420" w:right="380" w:hanging="439"/>
        <w:spacing w:after="0" w:line="263"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89"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wages as a result of inflation or competition for highly technical positions and rising supply and drug costs due to market pressure from pharmaceutical companies and new product releases;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420" w:right="10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at reasonable employment costs, qualified personnel, key management, physicians, nurses and other healthcare workers;</w:t>
      </w:r>
    </w:p>
    <w:p>
      <w:pPr>
        <w:spacing w:after="0" w:line="75"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and terms of capital to fund any additional acquisitions or replacement facilities or other capital expenditures;</w:t>
      </w:r>
    </w:p>
    <w:p>
      <w:pPr>
        <w:spacing w:after="0" w:line="142" w:lineRule="exact"/>
        <w:rPr>
          <w:rFonts w:ascii="Arial" w:cs="Arial" w:eastAsia="Arial" w:hAnsi="Arial"/>
          <w:sz w:val="17"/>
          <w:szCs w:val="17"/>
          <w:color w:val="auto"/>
        </w:rPr>
      </w:pPr>
    </w:p>
    <w:p>
      <w:pPr>
        <w:ind w:left="1420" w:hanging="439"/>
        <w:spacing w:after="0" w:line="263"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89" w:lineRule="exact"/>
        <w:rPr>
          <w:rFonts w:ascii="Arial" w:cs="Arial" w:eastAsia="Arial" w:hAnsi="Arial"/>
          <w:sz w:val="18"/>
          <w:szCs w:val="18"/>
          <w:color w:val="auto"/>
        </w:rPr>
      </w:pPr>
    </w:p>
    <w:p>
      <w:pPr>
        <w:ind w:left="1420" w:right="54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130" w:lineRule="exact"/>
        <w:rPr>
          <w:rFonts w:ascii="Arial" w:cs="Arial" w:eastAsia="Arial" w:hAnsi="Arial"/>
          <w:sz w:val="18"/>
          <w:szCs w:val="18"/>
          <w:color w:val="auto"/>
        </w:rPr>
      </w:pPr>
    </w:p>
    <w:p>
      <w:pPr>
        <w:ind w:left="1420" w:right="42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seasonal severe weather conditions, including the timing and amount of insurance recoveries in relation to severe weather events;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general liability, professional liability, and directors and officers liability insurance;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30" w:lineRule="exact"/>
        <w:rPr>
          <w:rFonts w:ascii="Arial" w:cs="Arial" w:eastAsia="Arial" w:hAnsi="Arial"/>
          <w:sz w:val="18"/>
          <w:szCs w:val="18"/>
          <w:color w:val="auto"/>
        </w:rPr>
      </w:pPr>
    </w:p>
    <w:p>
      <w:pPr>
        <w:ind w:left="1420" w:right="38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 as noted above;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cyber-attacks or security breaches;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to comply with the terms of the Corporate Integrity Agreement;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realize anticipated cost savings and other benefits from our current strategic and operational cost savings initiatives;</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interpretations, assumptions and expectations regarding the Tax Cuts and Jobs Act;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risk factors set forth in our other public filings with the Securities and Exchange Commission.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consolidated operating results for the three months and year ended December 31, 2020, are not necessarily indicative of the results that may be experienced for any future periods. The Company cautions that the projections for calendar year 2021 set forth in this press release are given as of the date hereof based on currently available information. The Company undertakes no obligation to revise or update any forward-looking statements, or to make any other forward-looking statements, whether as a result of new information, future events or otherwise.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lowerLetter"/>
      <w:start w:val="4"/>
    </w:lvl>
  </w:abstractNum>
  <w:abstractNum w:abstractNumId="8">
    <w:nsid w:val="3352255A"/>
    <w:multiLevelType w:val="hybridMultilevel"/>
    <w:lvl w:ilvl="0">
      <w:lvlJc w:val="left"/>
      <w:lvlText w:val="(%1)"/>
      <w:numFmt w:val="lowerLetter"/>
      <w:start w:val="5"/>
    </w:lvl>
  </w:abstractNum>
  <w:abstractNum w:abstractNumId="9">
    <w:nsid w:val="109CF92E"/>
    <w:multiLevelType w:val="hybridMultilevel"/>
    <w:lvl w:ilvl="0">
      <w:lvlJc w:val="left"/>
      <w:lvlText w:val="(%1)"/>
      <w:numFmt w:val="lowerLetter"/>
      <w:start w:val="6"/>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2021-02-17T15:36:09Z</dcterms:created>
  <dcterms:modified xsi:type="dcterms:W3CDTF">2021-02-17T15:36:09Z</dcterms:modified>
</cp:coreProperties>
</file>