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4524"/>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4"/>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3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information contained in this Current Report on Form 8-K (the “Form 8-K”)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any such filing.</w:t>
      </w:r>
    </w:p>
    <w:p>
      <w:pPr>
        <w:spacing w:after="0" w:line="31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2.02</w:t>
      </w:r>
      <w:r>
        <w:rPr>
          <w:sz w:val="20"/>
          <w:szCs w:val="20"/>
          <w:color w:val="auto"/>
        </w:rPr>
        <w:tab/>
      </w:r>
      <w:r>
        <w:rPr>
          <w:rFonts w:ascii="Arial" w:cs="Arial" w:eastAsia="Arial" w:hAnsi="Arial"/>
          <w:sz w:val="16"/>
          <w:szCs w:val="16"/>
          <w:color w:val="auto"/>
        </w:rPr>
        <w:t>Results of Operations and Financial Condition</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Community Health Systems, Inc. (the “Company”) is participating in the 39</w:t>
      </w:r>
      <w:r>
        <w:rPr>
          <w:rFonts w:ascii="Arial" w:cs="Arial" w:eastAsia="Arial" w:hAnsi="Arial"/>
          <w:sz w:val="15"/>
          <w:szCs w:val="15"/>
          <w:color w:val="auto"/>
        </w:rPr>
        <w:t>th</w:t>
      </w:r>
      <w:r>
        <w:rPr>
          <w:rFonts w:ascii="Arial" w:cs="Arial" w:eastAsia="Arial" w:hAnsi="Arial"/>
          <w:sz w:val="18"/>
          <w:szCs w:val="18"/>
          <w:color w:val="auto"/>
        </w:rPr>
        <w:t xml:space="preserve"> Annual J.P. Morgan Healthcare Conference on January 11-14, 2021. In advance of the Company’s previously-announced presentation on January 14, 2021, the Company hereby announces that it anticipates that its results in the fourth quarter of 2020 will yield results for the year ended December 31, 2020 of the following:</w:t>
      </w:r>
    </w:p>
    <w:p>
      <w:pPr>
        <w:spacing w:after="0" w:line="89"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operating revenues in the range of $11.775 billion to $11.800 billion.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 an amount slightly above the high-end of the Company’s Adjusted EBITDA guidance for 2020 of</w:t>
      </w:r>
    </w:p>
    <w:p>
      <w:pPr>
        <w:spacing w:after="0" w:line="23" w:lineRule="exact"/>
        <w:rPr>
          <w:rFonts w:ascii="Arial" w:cs="Arial" w:eastAsia="Arial" w:hAnsi="Arial"/>
          <w:sz w:val="18"/>
          <w:szCs w:val="18"/>
          <w:color w:val="auto"/>
        </w:rPr>
      </w:pPr>
    </w:p>
    <w:p>
      <w:pPr>
        <w:ind w:left="1420" w:right="260"/>
        <w:spacing w:after="0" w:line="260" w:lineRule="auto"/>
        <w:rPr>
          <w:rFonts w:ascii="Arial" w:cs="Arial" w:eastAsia="Arial" w:hAnsi="Arial"/>
          <w:sz w:val="18"/>
          <w:szCs w:val="18"/>
          <w:color w:val="auto"/>
        </w:rPr>
      </w:pPr>
      <w:r>
        <w:rPr>
          <w:rFonts w:ascii="Arial" w:cs="Arial" w:eastAsia="Arial" w:hAnsi="Arial"/>
          <w:sz w:val="18"/>
          <w:szCs w:val="18"/>
          <w:color w:val="auto"/>
        </w:rPr>
        <w:t>$1.650 billion to $1.800 billion, as originally issued on February 19, 2020 (this guidance was subsequently withdrawn on April 6, 2020 and not reinstated).</w:t>
      </w:r>
    </w:p>
    <w:p>
      <w:pPr>
        <w:spacing w:after="0" w:line="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Company anticipates that it will recognize approximately $600 million of pandemic relief funds through the Public Health and Social Services Emergency Fund (the “PHSSEF”) for the year ended December 31, 2020, including approximately $150 million of such funds anticipated to be recognized for the three months ended December 31, 2020, which amounts are included in Adjusted EBITDA. Amounts recognized reflect changes to the calculation of lost revenues pursuant to the Consolidated Appropriations Act, 2021 (the “CAA”) which was enacted in December 2020. The Company estimates that healthcare-related expenses incurred and revenues lost during the year ended December 31, 2020, as a result of the COVID-19 pandemic, exceed the aforementioned amount of pandemic relief funds recognized during such period. Remaining unrecognized pandemic relief funds may be recognized as a reduction in operating costs and expenses in future periods if the underlying conditions for recognition are met.</w:t>
      </w:r>
    </w:p>
    <w:p>
      <w:pPr>
        <w:spacing w:after="0" w:line="166"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The Company also hereby provides certain preliminary guidance for 2021 as set forth below. The Company anticipates net operating revenues for the year ending December 31, 2021 to be in the range of $11.7 billion to $12.5 billion. The Company anticipates Adjusted EBITDA for the year ending December 31, 2021 to be in the range of $1.6 billion to $1.8 billion. This guidance reflects anticipated continued execution of our previously-stated margin initiatives and does not take into account the potential recognition of additional pandemic relief funds</w:t>
      </w:r>
      <w:r>
        <w:rPr>
          <w:rFonts w:ascii="Arial" w:cs="Arial" w:eastAsia="Arial" w:hAnsi="Arial"/>
          <w:sz w:val="17"/>
          <w:szCs w:val="17"/>
          <w:b w:val="1"/>
          <w:bCs w:val="1"/>
          <w:color w:val="auto"/>
        </w:rPr>
        <w:t>.</w:t>
      </w:r>
    </w:p>
    <w:p>
      <w:pPr>
        <w:spacing w:after="0" w:line="17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information provided above is based on information available to management as of the date of this Form 8-K and is subject to revision upon finalization of the Company’s annual accounting and financial reporting procedures.</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The Company intends to provide its updated 2021 annual earnings guidance and reporting on its financial and operating results for the three months and year ended December 31, 2020, when the Company issues its earnings release on a future date.</w:t>
      </w:r>
    </w:p>
    <w:p>
      <w:pPr>
        <w:spacing w:after="0" w:line="170" w:lineRule="exact"/>
        <w:rPr>
          <w:sz w:val="20"/>
          <w:szCs w:val="20"/>
          <w:color w:val="auto"/>
        </w:rPr>
      </w:pPr>
    </w:p>
    <w:p>
      <w:pPr>
        <w:ind w:right="340" w:firstLine="440"/>
        <w:spacing w:after="0" w:line="293" w:lineRule="auto"/>
        <w:rPr>
          <w:sz w:val="20"/>
          <w:szCs w:val="20"/>
          <w:color w:val="auto"/>
        </w:rPr>
      </w:pPr>
      <w:r>
        <w:rPr>
          <w:rFonts w:ascii="Arial" w:cs="Arial" w:eastAsia="Arial" w:hAnsi="Arial"/>
          <w:sz w:val="16"/>
          <w:szCs w:val="16"/>
          <w:color w:val="auto"/>
        </w:rPr>
        <w:t>The information necessary to provide a reconciliation of the Company’s preliminary projected 2021 Adjusted EBITDA, a forward-looking non-GAAP financial measure, to projected 2021 net income (loss) attributable to Community Health Systems, Inc. stockholders, the most directly comparable GAAP measure, is not available at this time without unreasonable efforts in light of the fact that the applicable reconciling items are not determinable, and/or the inherent difficulty in quantifying such reconciling items, on a forward-looking basis at this time. A reconciliation of the Company’s projected 2021 Adjusted EBITDA to the Company’s projected 2021 net income (loss) attributable to Community Health Systems, Inc. stockholders will be included at such time that the Company provides updated projected 2021 Adjusted EBITDA as set forth above.</w:t>
      </w:r>
    </w:p>
    <w:p>
      <w:pPr>
        <w:sectPr>
          <w:pgSz w:w="11900" w:h="16838" w:orient="portrait"/>
          <w:cols w:equalWidth="0" w:num="1">
            <w:col w:w="11000"/>
          </w:cols>
          <w:pgMar w:left="440" w:top="30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Information About Non-GAAP Financial Measures</w:t>
      </w:r>
    </w:p>
    <w:p>
      <w:pPr>
        <w:spacing w:after="0" w:line="117"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EBITDA is a non-GAAP financial measure which consists of net income (loss) attributable to Community Health Systems, Inc. before interest, income taxes, and depreciation and amortization. Adjusted EBITDA, also a non-GAAP financial measure, is EBITDA adjusted to add back net income attributable to noncontrolling interests and to exclude the effect of loss (gain) from early extinguishment of debt, impairment and (gain) loss on sale of businesses,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is being litigated, expense related to employee termination benefits and other restructuring charges, expense from settlement and fair value adjustments on the CVR agreement liability related to the Health Management Associates, Inc., or HMA,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During the three months ended December 31, 2020, the Company incurred expenses in the amount of approximately $50 million related to the settlement of a professional liability claim for which the Company’s third-party insurers’ obligation to provide coverage to the Company in connection with the underlying loss is being litigated. In the ordinary course of business, the Company’s expense with respect to professional liability claims is limited to amounts not covered by third-party insurance policies, which typically provide coverage for professional liability claims. The subject of the litigation for the recovery of the full amount of the $50 million settlement is whether the claim is covered under the subject policies. The Company believes it is owed reimbursement of the full amount of the settlement by its insurers with respect to this matter. The Company has included this adjustment in the calculation of Adjusted EBITDA because we believe that this expense, absent the dispute as to whether it relates to a covered loss as defined in our insurance policies, would have been mitigated by insurance recoveries and is therefore outside of the ordinary course of the Company’s operations and not reflective of the Company’s underlying results of operations in light of the intended purpose of Adjusted EBITDA in assessing the Company’s operational performance and comparing the Company’s performance between periods.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and clarifies for investors the Company’s portion of EBITDA generated by continuing operations.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(the “ABL Facility”), which is a key component in the determination of the Company’s compliance with certain covenants under the ABL Facility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w:t>
      </w:r>
    </w:p>
    <w:p>
      <w:pPr>
        <w:spacing w:after="0" w:line="398"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 and are not related to the assessment of normal operating performance. Additionally, this calculation of Adjusted EBITDA may not be comparable to similarly titled measures reported by other companies.</w:t>
      </w:r>
    </w:p>
    <w:p>
      <w:pPr>
        <w:sectPr>
          <w:pgSz w:w="11900" w:h="16838" w:orient="portrait"/>
          <w:cols w:equalWidth="0" w:num="1">
            <w:col w:w="11000"/>
          </w:cols>
          <w:pgMar w:left="440" w:top="301"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Forward-Looking Statements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Form 8-K contains forward-looking statements within the meaning of Section 27A of the Securities Act of 1933, as amended, Section 21E of the Securities Exchange Act of 1934, as amended, and the Private Securities Litigation Reform Act of 1995 that involve risk and uncertainties. Although the Company believes that these forward-looking statements are based on reasonable assumptions, these assumptions are inherently subject to significant economic and competitive uncertainties and contingencies, which are difficult or impossible to predict accurately and may be beyond the control of the Company. Accordingly, the Company cannot give any assurance that its expectations will in fact occur and cautions that actual results may differ materially from those in the forward-looking statements. A number of factors could affect the future results of the Company or the healthcare industry generally and could cause the Company’s expected results to differ materially from those expressed in this report. These factors include, among other things:</w:t>
      </w:r>
    </w:p>
    <w:p>
      <w:pPr>
        <w:spacing w:after="0" w:line="97" w:lineRule="exact"/>
        <w:rPr>
          <w:sz w:val="20"/>
          <w:szCs w:val="20"/>
          <w:color w:val="auto"/>
        </w:rPr>
      </w:pPr>
    </w:p>
    <w:p>
      <w:pPr>
        <w:ind w:left="960" w:right="120" w:hanging="424"/>
        <w:spacing w:after="0" w:line="29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related to COVID-19, including, without limitation, related to the length and severity of the pandemic; the volume of canceled or rescheduled procedures; the volume of COVID-19 patients cared for across our health systems; the timing and availability of effective medical treatments and vaccines, including the timing and effectiveness of the ongoing rollout of currently available vaccines; measures we are taking to respond to the COVID-19 pandemic; the impact of government and administrative regulation on us; changes in net revenue due to patient volumes, payor mix and negative macroeconomic conditions; increased expenses related to labor, supply chain, capital and other expenditures; workforce disruptions; and supply shortages and disruptions;</w:t>
      </w:r>
    </w:p>
    <w:p>
      <w:pPr>
        <w:spacing w:after="0" w:line="69" w:lineRule="exact"/>
        <w:rPr>
          <w:rFonts w:ascii="Arial" w:cs="Arial" w:eastAsia="Arial" w:hAnsi="Arial"/>
          <w:sz w:val="16"/>
          <w:szCs w:val="16"/>
          <w:color w:val="auto"/>
        </w:rPr>
      </w:pPr>
    </w:p>
    <w:p>
      <w:pPr>
        <w:ind w:left="960" w:right="180" w:hanging="424"/>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uncertainty regarding the implementation of the CARES Act, the PPPHCE Act, the CAA, and any other future stimulus measures related to COVID-19, including the magnitude and timing of any future payments or benefits we may receive or realize thereunder;</w:t>
      </w:r>
    </w:p>
    <w:p>
      <w:pPr>
        <w:spacing w:after="0" w:line="51" w:lineRule="exact"/>
        <w:rPr>
          <w:rFonts w:ascii="Arial" w:cs="Arial" w:eastAsia="Arial" w:hAnsi="Arial"/>
          <w:sz w:val="17"/>
          <w:szCs w:val="17"/>
          <w:color w:val="auto"/>
        </w:rPr>
      </w:pPr>
    </w:p>
    <w:p>
      <w:pPr>
        <w:ind w:left="960" w:right="5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75"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or future federal and state health reform initiatives, including, without limitation, the Affordable Care Act, and the potential for the Affordable Care Act to be repealed or found unconstitutional or otherwise invalidated, or for additional changes to the law, its implementation or its interpretation (including through executive orders and court challenges);</w:t>
      </w:r>
    </w:p>
    <w:p>
      <w:pPr>
        <w:spacing w:after="0" w:line="89" w:lineRule="exact"/>
        <w:rPr>
          <w:rFonts w:ascii="Arial" w:cs="Arial" w:eastAsia="Arial" w:hAnsi="Arial"/>
          <w:sz w:val="18"/>
          <w:szCs w:val="18"/>
          <w:color w:val="auto"/>
        </w:rPr>
      </w:pPr>
    </w:p>
    <w:p>
      <w:pPr>
        <w:ind w:left="960" w:right="5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regulation or otherwise;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130" w:lineRule="exact"/>
        <w:rPr>
          <w:rFonts w:ascii="Arial" w:cs="Arial" w:eastAsia="Arial" w:hAnsi="Arial"/>
          <w:sz w:val="18"/>
          <w:szCs w:val="18"/>
          <w:color w:val="auto"/>
        </w:rPr>
      </w:pPr>
    </w:p>
    <w:p>
      <w:pPr>
        <w:ind w:left="960" w:right="10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 as well as risks associated with disruptions in the financial and capital markets as the result of the COVID-19 pandemic which could impact us from a financing and liquidity perspective;</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impact of known and unknown government investigations, audits, and federal and state false claims act litigation and other legal proceedings;</w:t>
      </w:r>
    </w:p>
    <w:p>
      <w:pPr>
        <w:spacing w:after="0" w:line="75" w:lineRule="exact"/>
        <w:rPr>
          <w:rFonts w:ascii="Arial" w:cs="Arial" w:eastAsia="Arial" w:hAnsi="Arial"/>
          <w:sz w:val="18"/>
          <w:szCs w:val="18"/>
          <w:color w:val="auto"/>
        </w:rPr>
      </w:pPr>
    </w:p>
    <w:p>
      <w:pPr>
        <w:ind w:left="960" w:right="2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ectPr>
          <w:pgSz w:w="11900" w:h="16838" w:orient="portrait"/>
          <w:cols w:equalWidth="0" w:num="1">
            <w:col w:w="11020"/>
          </w:cols>
          <w:pgMar w:left="440" w:top="301" w:right="439" w:bottom="1440" w:gutter="0" w:footer="0" w:header="0"/>
        </w:sectPr>
      </w:pPr>
    </w:p>
    <w:bookmarkStart w:id="4" w:name="page5"/>
    <w:bookmarkEnd w:id="4"/>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changes in, or the failure to comply with, contract terms with payors and changes in reimbursement policies or rates paid by federal or state healthcare programs or commercial payors;</w:t>
      </w:r>
    </w:p>
    <w:p>
      <w:pPr>
        <w:spacing w:after="0" w:line="75" w:lineRule="exact"/>
        <w:rPr>
          <w:rFonts w:ascii="Arial" w:cs="Arial" w:eastAsia="Arial" w:hAnsi="Arial"/>
          <w:sz w:val="18"/>
          <w:szCs w:val="18"/>
          <w:color w:val="auto"/>
        </w:rPr>
      </w:pPr>
    </w:p>
    <w:p>
      <w:pPr>
        <w:ind w:left="424" w:right="8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potential additional impairments in the carrying value of goodwill, other intangible assets, or other long-lived assets, or changes in the useful lives of other intangible assets;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130"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related to the continued implementation of the sequestration spending reductions and the potential for future deficit reduction legislation;</w:t>
      </w:r>
    </w:p>
    <w:p>
      <w:pPr>
        <w:spacing w:after="0" w:line="75"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75"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wages as a result of inflation or competition for highly technical positions and rising supply and drug costs due to market pressure from pharmaceutical companies and new product releases;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at reasonable employment costs, qualified personnel, key management, physicians, nurses and other healthcare workers;</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130"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89" w:lineRule="exact"/>
        <w:rPr>
          <w:rFonts w:ascii="Arial" w:cs="Arial" w:eastAsia="Arial" w:hAnsi="Arial"/>
          <w:sz w:val="18"/>
          <w:szCs w:val="18"/>
          <w:color w:val="auto"/>
        </w:rPr>
      </w:pPr>
    </w:p>
    <w:p>
      <w:pPr>
        <w:ind w:left="424" w:right="14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130"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seasonal severe weather conditions, including the timing and amount of insurance recoveries in relation to severe weather events;</w:t>
      </w:r>
    </w:p>
    <w:p>
      <w:pPr>
        <w:spacing w:after="0" w:line="75" w:lineRule="exact"/>
        <w:rPr>
          <w:rFonts w:ascii="Arial" w:cs="Arial" w:eastAsia="Arial" w:hAnsi="Arial"/>
          <w:sz w:val="18"/>
          <w:szCs w:val="18"/>
          <w:color w:val="auto"/>
        </w:rPr>
      </w:pPr>
    </w:p>
    <w:p>
      <w:pPr>
        <w:ind w:left="424" w:right="5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adequate levels of insurance, including general liability, professional liability, and directors and officers liability insurance;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130"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related to pandemics, epidemics, or outbreaks of infectious diseases, including the novel coronavirus causing the disease known as COVID-19 as noted above;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cyber-attacks or security breaches;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the terms of the Corporate Integrity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anticipated cost savings and other benefits from our current strategic and operational cost savings initiatives;</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interpretations, assumptions and expectations regarding the Tax Cuts and Jobs Act; and</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factors set forth in our Annual Report on Form 10-K for the year ended December 31, 2019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February 20, 2020, our Quarterly Report on Form 10-Q filed with the SEC on October 28, 2020, and our other public filings with the SEC.</w:t>
      </w:r>
    </w:p>
    <w:p>
      <w:pPr>
        <w:sectPr>
          <w:pgSz w:w="11900" w:h="16838" w:orient="portrait"/>
          <w:cols w:equalWidth="0" w:num="1">
            <w:col w:w="10464"/>
          </w:cols>
          <w:pgMar w:left="976" w:top="301" w:right="459" w:bottom="1440" w:gutter="0" w:footer="0" w:header="0"/>
        </w:sectPr>
      </w:pPr>
    </w:p>
    <w:bookmarkStart w:id="5" w:name="page6"/>
    <w:bookmarkEnd w:id="5"/>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Company cautions that the financial information set forth in this Form 8-K is provided as of the date hereof based on currently available information. The Company undertakes no obligation to revise or update any forward-looking statements, or to make any other forward-looking statements, whether as a result of new information, future events or otherwise.</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2.02 of this Form 8-K is incorporated herein by reference.</w:t>
      </w:r>
    </w:p>
    <w:p>
      <w:pPr>
        <w:spacing w:after="0" w:line="37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furnished herewith:</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560"/>
          </w:cols>
          <w:pgMar w:left="440" w:top="301" w:right="8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Date: January 14, 2021</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ind w:left="74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Tim L. Hingtgen</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Tim L. Hingtgen</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Kevin J. Hammons</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Hammons</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Jason K. Johnson</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K. Johnson</w:t>
            </w:r>
          </w:p>
        </w:tc>
      </w:tr>
      <w:tr>
        <w:trPr>
          <w:trHeight w:val="216"/>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r>
      <w:tr>
        <w:trPr>
          <w:trHeight w:val="230"/>
        </w:trPr>
        <w:tc>
          <w:tcPr>
            <w:tcW w:w="36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1" w:lineRule="exact"/>
        <w:rPr>
          <w:sz w:val="20"/>
          <w:szCs w:val="20"/>
          <w:color w:val="auto"/>
        </w:rPr>
      </w:pPr>
    </w:p>
    <w:sectPr>
      <w:pgSz w:w="11900" w:h="16838" w:orient="portrait"/>
      <w:cols w:equalWidth="0" w:num="1">
        <w:col w:w="11020"/>
      </w:cols>
      <w:pgMar w:left="440" w:top="3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2021-01-14T06:02:29Z</dcterms:created>
  <dcterms:modified xsi:type="dcterms:W3CDTF">2021-01-14T06:02:29Z</dcterms:modified>
</cp:coreProperties>
</file>