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30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0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191135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0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200660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Pursuant to Section 13 or 15(d)</w:t>
      </w:r>
    </w:p>
    <w:p>
      <w:pPr>
        <w:jc w:val="center"/>
        <w:ind w:right="-30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32" w:lineRule="exact"/>
        <w:rPr>
          <w:sz w:val="24"/>
          <w:szCs w:val="24"/>
          <w:color w:val="auto"/>
        </w:rPr>
      </w:pPr>
    </w:p>
    <w:p>
      <w:pPr>
        <w:ind w:left="3104"/>
        <w:spacing w:after="0"/>
        <w:rPr>
          <w:sz w:val="20"/>
          <w:szCs w:val="20"/>
          <w:color w:val="auto"/>
        </w:rPr>
      </w:pPr>
      <w:r>
        <w:rPr>
          <w:rFonts w:ascii="Arial" w:cs="Arial" w:eastAsia="Arial" w:hAnsi="Arial"/>
          <w:sz w:val="19"/>
          <w:szCs w:val="19"/>
          <w:b w:val="1"/>
          <w:bCs w:val="1"/>
          <w:color w:val="auto"/>
        </w:rPr>
        <w:t>Date of Report (date of earliest event reported): March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2144"/>
        <w:spacing w:after="0"/>
        <w:rPr>
          <w:sz w:val="20"/>
          <w:szCs w:val="20"/>
          <w:color w:val="auto"/>
        </w:rPr>
      </w:pPr>
      <w:r>
        <w:rPr>
          <w:rFonts w:ascii="Arial" w:cs="Arial" w:eastAsia="Arial" w:hAnsi="Arial"/>
          <w:sz w:val="38"/>
          <w:szCs w:val="38"/>
          <w:b w:val="1"/>
          <w:bCs w:val="1"/>
          <w:color w:val="auto"/>
        </w:rPr>
        <w:t>COMMUNITY HEALTH SYSTEMS, INC.</w:t>
      </w:r>
    </w:p>
    <w:p>
      <w:pPr>
        <w:spacing w:after="0" w:line="47" w:lineRule="exact"/>
        <w:rPr>
          <w:sz w:val="24"/>
          <w:szCs w:val="24"/>
          <w:color w:val="auto"/>
        </w:rPr>
      </w:pPr>
    </w:p>
    <w:tbl>
      <w:tblPr>
        <w:tblLayout w:type="fixed"/>
        <w:tblInd w:w="1044" w:type="dxa"/>
        <w:tblCellMar>
          <w:top w:w="0" w:type="dxa"/>
          <w:left w:w="0" w:type="dxa"/>
          <w:bottom w:w="0" w:type="dxa"/>
          <w:right w:w="0" w:type="dxa"/>
        </w:tblCellMar>
      </w:tblPr>
      <w:tr>
        <w:trPr>
          <w:trHeight w:val="209"/>
        </w:trPr>
        <w:tc>
          <w:tcPr>
            <w:tcW w:w="2080" w:type="dxa"/>
            <w:vAlign w:val="bottom"/>
          </w:tcPr>
          <w:p>
            <w:pPr>
              <w:spacing w:after="0"/>
              <w:rPr>
                <w:sz w:val="18"/>
                <w:szCs w:val="18"/>
                <w:color w:val="auto"/>
              </w:rPr>
            </w:pPr>
          </w:p>
        </w:tc>
        <w:tc>
          <w:tcPr>
            <w:tcW w:w="54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1540" w:type="dxa"/>
            <w:vAlign w:val="bottom"/>
          </w:tcPr>
          <w:p>
            <w:pPr>
              <w:spacing w:after="0"/>
              <w:rPr>
                <w:sz w:val="18"/>
                <w:szCs w:val="18"/>
                <w:color w:val="auto"/>
              </w:rPr>
            </w:pPr>
          </w:p>
        </w:tc>
      </w:tr>
      <w:tr>
        <w:trPr>
          <w:trHeight w:val="270"/>
        </w:trPr>
        <w:tc>
          <w:tcPr>
            <w:tcW w:w="2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6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392"/>
        </w:trPr>
        <w:tc>
          <w:tcPr>
            <w:tcW w:w="2080" w:type="dxa"/>
            <w:vAlign w:val="bottom"/>
          </w:tcPr>
          <w:p>
            <w:pPr>
              <w:jc w:val="center"/>
              <w:ind w:right="211"/>
              <w:spacing w:after="0"/>
              <w:rPr>
                <w:sz w:val="20"/>
                <w:szCs w:val="20"/>
                <w:color w:val="auto"/>
              </w:rPr>
            </w:pPr>
            <w:r>
              <w:rPr>
                <w:rFonts w:ascii="Arial" w:cs="Arial" w:eastAsia="Arial" w:hAnsi="Arial"/>
                <w:sz w:val="16"/>
                <w:szCs w:val="16"/>
                <w:b w:val="1"/>
                <w:bCs w:val="1"/>
                <w:color w:val="auto"/>
                <w:w w:val="91"/>
              </w:rPr>
              <w:t>Delaware</w:t>
            </w:r>
          </w:p>
        </w:tc>
        <w:tc>
          <w:tcPr>
            <w:tcW w:w="3800" w:type="dxa"/>
            <w:vAlign w:val="bottom"/>
            <w:gridSpan w:val="2"/>
          </w:tcPr>
          <w:p>
            <w:pPr>
              <w:ind w:left="2380"/>
              <w:spacing w:after="0"/>
              <w:rPr>
                <w:sz w:val="20"/>
                <w:szCs w:val="20"/>
                <w:color w:val="auto"/>
              </w:rPr>
            </w:pPr>
            <w:r>
              <w:rPr>
                <w:rFonts w:ascii="Arial" w:cs="Arial" w:eastAsia="Arial" w:hAnsi="Arial"/>
                <w:sz w:val="16"/>
                <w:szCs w:val="16"/>
                <w:b w:val="1"/>
                <w:bCs w:val="1"/>
                <w:color w:val="auto"/>
              </w:rPr>
              <w:t>001-15925</w:t>
            </w:r>
          </w:p>
        </w:tc>
        <w:tc>
          <w:tcPr>
            <w:tcW w:w="1640" w:type="dxa"/>
            <w:vAlign w:val="bottom"/>
          </w:tcPr>
          <w:p>
            <w:pPr>
              <w:spacing w:after="0"/>
              <w:rPr>
                <w:sz w:val="24"/>
                <w:szCs w:val="24"/>
                <w:color w:val="auto"/>
              </w:rPr>
            </w:pPr>
          </w:p>
        </w:tc>
        <w:tc>
          <w:tcPr>
            <w:tcW w:w="1540" w:type="dxa"/>
            <w:vAlign w:val="bottom"/>
          </w:tcPr>
          <w:p>
            <w:pPr>
              <w:jc w:val="center"/>
              <w:ind w:left="491"/>
              <w:spacing w:after="0"/>
              <w:rPr>
                <w:sz w:val="20"/>
                <w:szCs w:val="20"/>
                <w:color w:val="auto"/>
              </w:rPr>
            </w:pPr>
            <w:r>
              <w:rPr>
                <w:rFonts w:ascii="Arial" w:cs="Arial" w:eastAsia="Arial" w:hAnsi="Arial"/>
                <w:sz w:val="16"/>
                <w:szCs w:val="16"/>
                <w:b w:val="1"/>
                <w:bCs w:val="1"/>
                <w:color w:val="auto"/>
                <w:w w:val="91"/>
              </w:rPr>
              <w:t>13-3893191</w:t>
            </w:r>
          </w:p>
        </w:tc>
      </w:tr>
      <w:tr>
        <w:trPr>
          <w:trHeight w:val="132"/>
        </w:trPr>
        <w:tc>
          <w:tcPr>
            <w:tcW w:w="2080" w:type="dxa"/>
            <w:vAlign w:val="bottom"/>
          </w:tcPr>
          <w:p>
            <w:pPr>
              <w:jc w:val="center"/>
              <w:ind w:right="231"/>
              <w:spacing w:after="0" w:line="133" w:lineRule="exact"/>
              <w:rPr>
                <w:sz w:val="20"/>
                <w:szCs w:val="20"/>
                <w:color w:val="auto"/>
              </w:rPr>
            </w:pPr>
            <w:r>
              <w:rPr>
                <w:rFonts w:ascii="Arial" w:cs="Arial" w:eastAsia="Arial" w:hAnsi="Arial"/>
                <w:sz w:val="13"/>
                <w:szCs w:val="13"/>
                <w:b w:val="1"/>
                <w:bCs w:val="1"/>
                <w:color w:val="auto"/>
                <w:w w:val="89"/>
              </w:rPr>
              <w:t>(State or other jurisdiction</w:t>
            </w:r>
          </w:p>
        </w:tc>
        <w:tc>
          <w:tcPr>
            <w:tcW w:w="1400" w:type="dxa"/>
            <w:vAlign w:val="bottom"/>
          </w:tcPr>
          <w:p>
            <w:pPr>
              <w:spacing w:after="0"/>
              <w:rPr>
                <w:sz w:val="11"/>
                <w:szCs w:val="11"/>
                <w:color w:val="auto"/>
              </w:rPr>
            </w:pPr>
          </w:p>
        </w:tc>
        <w:tc>
          <w:tcPr>
            <w:tcW w:w="4040" w:type="dxa"/>
            <w:vAlign w:val="bottom"/>
            <w:gridSpan w:val="2"/>
          </w:tcPr>
          <w:p>
            <w:pPr>
              <w:ind w:left="960"/>
              <w:spacing w:after="0" w:line="133" w:lineRule="exact"/>
              <w:rPr>
                <w:sz w:val="20"/>
                <w:szCs w:val="20"/>
                <w:color w:val="auto"/>
              </w:rPr>
            </w:pPr>
            <w:r>
              <w:rPr>
                <w:rFonts w:ascii="Arial" w:cs="Arial" w:eastAsia="Arial" w:hAnsi="Arial"/>
                <w:sz w:val="13"/>
                <w:szCs w:val="13"/>
                <w:b w:val="1"/>
                <w:bCs w:val="1"/>
                <w:color w:val="auto"/>
              </w:rPr>
              <w:t>(Commission</w:t>
            </w:r>
          </w:p>
        </w:tc>
        <w:tc>
          <w:tcPr>
            <w:tcW w:w="1540" w:type="dxa"/>
            <w:vAlign w:val="bottom"/>
          </w:tcPr>
          <w:p>
            <w:pPr>
              <w:jc w:val="center"/>
              <w:ind w:left="491"/>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2080" w:type="dxa"/>
            <w:vAlign w:val="bottom"/>
          </w:tcPr>
          <w:p>
            <w:pPr>
              <w:jc w:val="center"/>
              <w:ind w:right="211"/>
              <w:spacing w:after="0"/>
              <w:rPr>
                <w:sz w:val="20"/>
                <w:szCs w:val="20"/>
                <w:color w:val="auto"/>
              </w:rPr>
            </w:pPr>
            <w:r>
              <w:rPr>
                <w:rFonts w:ascii="Arial" w:cs="Arial" w:eastAsia="Arial" w:hAnsi="Arial"/>
                <w:sz w:val="13"/>
                <w:szCs w:val="13"/>
                <w:b w:val="1"/>
                <w:bCs w:val="1"/>
                <w:color w:val="auto"/>
                <w:w w:val="89"/>
              </w:rPr>
              <w:t>of incorporation or organization)</w:t>
            </w:r>
          </w:p>
        </w:tc>
        <w:tc>
          <w:tcPr>
            <w:tcW w:w="1400" w:type="dxa"/>
            <w:vAlign w:val="bottom"/>
          </w:tcPr>
          <w:p>
            <w:pPr>
              <w:spacing w:after="0"/>
              <w:rPr>
                <w:sz w:val="14"/>
                <w:szCs w:val="14"/>
                <w:color w:val="auto"/>
              </w:rPr>
            </w:pPr>
          </w:p>
        </w:tc>
        <w:tc>
          <w:tcPr>
            <w:tcW w:w="4040" w:type="dxa"/>
            <w:vAlign w:val="bottom"/>
            <w:gridSpan w:val="2"/>
          </w:tcPr>
          <w:p>
            <w:pPr>
              <w:ind w:left="960"/>
              <w:spacing w:after="0"/>
              <w:rPr>
                <w:sz w:val="20"/>
                <w:szCs w:val="20"/>
                <w:color w:val="auto"/>
              </w:rPr>
            </w:pPr>
            <w:r>
              <w:rPr>
                <w:rFonts w:ascii="Arial" w:cs="Arial" w:eastAsia="Arial" w:hAnsi="Arial"/>
                <w:sz w:val="13"/>
                <w:szCs w:val="13"/>
                <w:b w:val="1"/>
                <w:bCs w:val="1"/>
                <w:color w:val="auto"/>
              </w:rPr>
              <w:t>File Number)</w:t>
            </w:r>
          </w:p>
        </w:tc>
        <w:tc>
          <w:tcPr>
            <w:tcW w:w="1540" w:type="dxa"/>
            <w:vAlign w:val="bottom"/>
          </w:tcPr>
          <w:p>
            <w:pPr>
              <w:jc w:val="center"/>
              <w:ind w:left="471"/>
              <w:spacing w:after="0"/>
              <w:rPr>
                <w:sz w:val="20"/>
                <w:szCs w:val="20"/>
                <w:color w:val="auto"/>
              </w:rPr>
            </w:pPr>
            <w:r>
              <w:rPr>
                <w:rFonts w:ascii="Arial" w:cs="Arial" w:eastAsia="Arial" w:hAnsi="Arial"/>
                <w:sz w:val="13"/>
                <w:szCs w:val="13"/>
                <w:b w:val="1"/>
                <w:bCs w:val="1"/>
                <w:color w:val="auto"/>
                <w:w w:val="91"/>
              </w:rPr>
              <w:t>Identification No.)</w:t>
            </w:r>
          </w:p>
        </w:tc>
      </w:tr>
      <w:tr>
        <w:trPr>
          <w:trHeight w:val="330"/>
        </w:trPr>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4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93"/>
              </w:rPr>
              <w:t>4000 Meridian Boulevard</w:t>
            </w:r>
          </w:p>
        </w:tc>
        <w:tc>
          <w:tcPr>
            <w:tcW w:w="1540" w:type="dxa"/>
            <w:vAlign w:val="bottom"/>
          </w:tcPr>
          <w:p>
            <w:pPr>
              <w:spacing w:after="0"/>
              <w:rPr>
                <w:sz w:val="24"/>
                <w:szCs w:val="24"/>
                <w:color w:val="auto"/>
              </w:rPr>
            </w:pPr>
          </w:p>
        </w:tc>
      </w:tr>
      <w:tr>
        <w:trPr>
          <w:trHeight w:val="189"/>
        </w:trPr>
        <w:tc>
          <w:tcPr>
            <w:tcW w:w="2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4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88"/>
              </w:rPr>
              <w:t>Franklin, Tennessee 37067</w:t>
            </w:r>
          </w:p>
        </w:tc>
        <w:tc>
          <w:tcPr>
            <w:tcW w:w="1540" w:type="dxa"/>
            <w:vAlign w:val="bottom"/>
          </w:tcPr>
          <w:p>
            <w:pPr>
              <w:spacing w:after="0"/>
              <w:rPr>
                <w:sz w:val="16"/>
                <w:szCs w:val="16"/>
                <w:color w:val="auto"/>
              </w:rPr>
            </w:pPr>
          </w:p>
        </w:tc>
      </w:tr>
      <w:tr>
        <w:trPr>
          <w:trHeight w:val="166"/>
        </w:trPr>
        <w:tc>
          <w:tcPr>
            <w:tcW w:w="2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40" w:type="dxa"/>
            <w:vAlign w:val="bottom"/>
            <w:gridSpan w:val="2"/>
          </w:tcPr>
          <w:p>
            <w:pPr>
              <w:jc w:val="center"/>
              <w:ind w:right="1640"/>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540" w:type="dxa"/>
            <w:vAlign w:val="bottom"/>
          </w:tcPr>
          <w:p>
            <w:pPr>
              <w:spacing w:after="0"/>
              <w:rPr>
                <w:sz w:val="14"/>
                <w:szCs w:val="14"/>
                <w:color w:val="auto"/>
              </w:rPr>
            </w:pPr>
          </w:p>
        </w:tc>
      </w:tr>
      <w:tr>
        <w:trPr>
          <w:trHeight w:val="334"/>
        </w:trPr>
        <w:tc>
          <w:tcPr>
            <w:tcW w:w="2080" w:type="dxa"/>
            <w:vAlign w:val="bottom"/>
          </w:tcPr>
          <w:p>
            <w:pPr>
              <w:spacing w:after="0"/>
              <w:rPr>
                <w:sz w:val="24"/>
                <w:szCs w:val="24"/>
                <w:color w:val="auto"/>
              </w:rPr>
            </w:pPr>
          </w:p>
        </w:tc>
        <w:tc>
          <w:tcPr>
            <w:tcW w:w="54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Registrant’s telephone number, including area code: (615) 465-7000</w:t>
            </w:r>
          </w:p>
        </w:tc>
        <w:tc>
          <w:tcPr>
            <w:tcW w:w="1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190500</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4" w:lineRule="exact"/>
        <w:rPr>
          <w:sz w:val="24"/>
          <w:szCs w:val="24"/>
          <w:color w:val="auto"/>
        </w:rPr>
      </w:pPr>
    </w:p>
    <w:p>
      <w:pPr>
        <w:ind w:left="4" w:right="100"/>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98"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4" w:lineRule="exact"/>
        <w:rPr>
          <w:sz w:val="24"/>
          <w:szCs w:val="24"/>
          <w:color w:val="auto"/>
        </w:rPr>
      </w:pPr>
    </w:p>
    <w:p>
      <w:pPr>
        <w:ind w:left="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24"/>
          </w:cols>
          <w:pgMar w:left="236" w:top="343" w:right="5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 Regulation FD Disclosure.</w:t>
      </w:r>
    </w:p>
    <w:p>
      <w:pPr>
        <w:spacing w:after="0" w:line="104"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On March 15, 2018, Community Health Systems, Inc. (the “Company”) provided certain information to lenders in connection with a proposed amendment to its credit facilities, excerpts from which are furnished as Exhibit 99.1 to this report, which are incorporated herein by reference. The Company also disclosed to lenders that it has retained Citigroup Global Markets Inc., Credit Suisse Securities (USA) LLC, JPMorgan Chase Bank, N.A. and Lazard Freres &amp; Co. LLC as financial advisers to assist the Company in exploring refinancing options for its capital structure.</w:t>
      </w:r>
    </w:p>
    <w:p>
      <w:pPr>
        <w:spacing w:after="0" w:line="167" w:lineRule="exact"/>
        <w:rPr>
          <w:sz w:val="20"/>
          <w:szCs w:val="20"/>
          <w:color w:val="auto"/>
        </w:rPr>
      </w:pPr>
    </w:p>
    <w:p>
      <w:pPr>
        <w:ind w:right="80" w:firstLine="458"/>
        <w:spacing w:after="0" w:line="289" w:lineRule="auto"/>
        <w:rPr>
          <w:sz w:val="20"/>
          <w:szCs w:val="20"/>
          <w:color w:val="auto"/>
        </w:rPr>
      </w:pPr>
      <w:r>
        <w:rPr>
          <w:rFonts w:ascii="Arial" w:cs="Arial" w:eastAsia="Arial" w:hAnsi="Arial"/>
          <w:sz w:val="15"/>
          <w:szCs w:val="15"/>
          <w:color w:val="auto"/>
        </w:rPr>
        <w:t>This information and the exhibit attached hereto are being “furnished” pursuant to Item 7.01 and in accordance with general instruction B.2 to Form 8-K shall not be deemed “filed” with the Securities and Exchange Commission for purposes of Section 18 of the Securities Exchange Act of 1934 or otherwise subject to the liabilities under that section, nor shall such information be deemed to be incorporated by reference into any filings under the Securities Act of 1933.</w:t>
      </w:r>
    </w:p>
    <w:p>
      <w:pPr>
        <w:spacing w:after="0" w:line="146" w:lineRule="exact"/>
        <w:rPr>
          <w:sz w:val="20"/>
          <w:szCs w:val="20"/>
          <w:color w:val="auto"/>
        </w:rPr>
      </w:pPr>
    </w:p>
    <w:p>
      <w:pPr>
        <w:ind w:firstLine="458"/>
        <w:spacing w:after="0" w:line="302" w:lineRule="auto"/>
        <w:rPr>
          <w:sz w:val="20"/>
          <w:szCs w:val="20"/>
          <w:color w:val="auto"/>
        </w:rPr>
      </w:pPr>
      <w:r>
        <w:rPr>
          <w:rFonts w:ascii="Arial" w:cs="Arial" w:eastAsia="Arial" w:hAnsi="Arial"/>
          <w:sz w:val="14"/>
          <w:szCs w:val="14"/>
          <w:color w:val="auto"/>
        </w:rPr>
        <w:t>This Current Report on Form 8-K contains forward-looking statements within the meaning of Section 27A of the Securities Act of 1933, as amended, Section 21E of the Securities Exchange Act of 1934, as amended, and the Private Securities Litigation Reform Act of 1995, that involve risks and uncertainties. All statements in this Current Report on Form 8-K, other than statements of historical fact are forward-looking statements. These statements are not guarantees of future results or performance, and actual outcomes and results may differ materially from those expressed in, or implied by, any of these forward-looking statements. The Company undertakes no obligation to revise or update any forward-looking statements, or to make any other forward-looking statements, whether as a result of new information, future events, or otherwise.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Item 9.01 Financial Statements and Exhibits.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(d) Exhibits.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w:t>
      </w:r>
    </w:p>
    <w:p>
      <w:pPr>
        <w:spacing w:after="0"/>
        <w:tabs>
          <w:tab w:leader="none" w:pos="980" w:val="left"/>
        </w:tabs>
        <w:rPr>
          <w:sz w:val="20"/>
          <w:szCs w:val="20"/>
          <w:color w:val="auto"/>
        </w:rPr>
      </w:pPr>
      <w:r>
        <w:rPr>
          <w:rFonts w:ascii="Arial" w:cs="Arial" w:eastAsia="Arial" w:hAnsi="Arial"/>
          <w:sz w:val="13"/>
          <w:szCs w:val="13"/>
          <w:b w:val="1"/>
          <w:bCs w:val="1"/>
          <w:u w:val="single" w:color="auto"/>
          <w:color w:val="auto"/>
        </w:rPr>
        <w:t>Number</w:t>
      </w:r>
      <w:r>
        <w:rPr>
          <w:sz w:val="20"/>
          <w:szCs w:val="20"/>
          <w:color w:val="auto"/>
        </w:rPr>
        <w:tab/>
      </w:r>
      <w:r>
        <w:rPr>
          <w:rFonts w:ascii="Arial" w:cs="Arial" w:eastAsia="Arial" w:hAnsi="Arial"/>
          <w:sz w:val="13"/>
          <w:szCs w:val="13"/>
          <w:b w:val="1"/>
          <w:bCs w:val="1"/>
          <w:u w:val="single" w:color="auto"/>
          <w:color w:val="auto"/>
        </w:rPr>
        <w:t>Description</w:t>
      </w:r>
    </w:p>
    <w:p>
      <w:pPr>
        <w:spacing w:after="0" w:line="72" w:lineRule="exact"/>
        <w:rPr>
          <w:sz w:val="20"/>
          <w:szCs w:val="20"/>
          <w:color w:val="auto"/>
        </w:rPr>
      </w:pPr>
    </w:p>
    <w:p>
      <w:pPr>
        <w:spacing w:after="0"/>
        <w:tabs>
          <w:tab w:leader="none" w:pos="98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Excerpts from materials provided to lenders on March 15, 2018.</w:t>
        </w:r>
      </w:hyperlink>
    </w:p>
    <w:p>
      <w:pPr>
        <w:sectPr>
          <w:pgSz w:w="11900" w:h="16838" w:orient="portrait"/>
          <w:cols w:equalWidth="0" w:num="1">
            <w:col w:w="11400"/>
          </w:cols>
          <w:pgMar w:left="240" w:top="25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ind w:right="56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6"/>
                <w:szCs w:val="16"/>
                <w:color w:val="auto"/>
              </w:rPr>
              <w:t>Date: March 15, 2018</w:t>
            </w:r>
          </w:p>
        </w:tc>
        <w:tc>
          <w:tcPr>
            <w:tcW w:w="7760" w:type="dxa"/>
            <w:vAlign w:val="bottom"/>
            <w:gridSpan w:val="2"/>
          </w:tcPr>
          <w:p>
            <w:pPr>
              <w:ind w:left="2260"/>
              <w:spacing w:after="0"/>
              <w:rPr>
                <w:sz w:val="20"/>
                <w:szCs w:val="20"/>
                <w:color w:val="auto"/>
              </w:rPr>
            </w:pPr>
            <w:r>
              <w:rPr>
                <w:rFonts w:ascii="Arial" w:cs="Arial" w:eastAsia="Arial" w:hAnsi="Arial"/>
                <w:sz w:val="16"/>
                <w:szCs w:val="16"/>
                <w:color w:val="auto"/>
              </w:rPr>
              <w:t>COMMUNITY HEALTH SYSTEMS, INC.</w:t>
            </w:r>
          </w:p>
        </w:tc>
      </w:tr>
      <w:tr>
        <w:trPr>
          <w:trHeight w:val="205"/>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60" w:type="dxa"/>
            <w:vAlign w:val="bottom"/>
          </w:tcPr>
          <w:p>
            <w:pPr>
              <w:ind w:left="80"/>
              <w:spacing w:after="0"/>
              <w:rPr>
                <w:sz w:val="20"/>
                <w:szCs w:val="20"/>
                <w:color w:val="auto"/>
              </w:rPr>
            </w:pPr>
            <w:r>
              <w:rPr>
                <w:rFonts w:ascii="Arial" w:cs="Arial" w:eastAsia="Arial" w:hAnsi="Arial"/>
                <w:sz w:val="16"/>
                <w:szCs w:val="16"/>
                <w:color w:val="auto"/>
              </w:rPr>
              <w:t>(Registrant)</w:t>
            </w:r>
          </w:p>
        </w:tc>
      </w:tr>
      <w:tr>
        <w:trPr>
          <w:trHeight w:val="396"/>
        </w:trPr>
        <w:tc>
          <w:tcPr>
            <w:tcW w:w="3680" w:type="dxa"/>
            <w:vAlign w:val="bottom"/>
          </w:tcPr>
          <w:p>
            <w:pPr>
              <w:spacing w:after="0"/>
              <w:rPr>
                <w:sz w:val="24"/>
                <w:szCs w:val="24"/>
                <w:color w:val="auto"/>
              </w:rPr>
            </w:pPr>
          </w:p>
        </w:tc>
        <w:tc>
          <w:tcPr>
            <w:tcW w:w="7760" w:type="dxa"/>
            <w:vAlign w:val="bottom"/>
            <w:gridSpan w:val="2"/>
          </w:tcPr>
          <w:p>
            <w:pPr>
              <w:ind w:left="2260"/>
              <w:spacing w:after="0"/>
              <w:rPr>
                <w:sz w:val="20"/>
                <w:szCs w:val="20"/>
                <w:color w:val="auto"/>
              </w:rPr>
            </w:pPr>
            <w:r>
              <w:rPr>
                <w:rFonts w:ascii="Arial" w:cs="Arial" w:eastAsia="Arial" w:hAnsi="Arial"/>
                <w:sz w:val="16"/>
                <w:szCs w:val="16"/>
                <w:color w:val="auto"/>
              </w:rPr>
              <w:t>By:  /s/ Wayne T. Smith</w:t>
            </w:r>
          </w:p>
        </w:tc>
      </w:tr>
      <w:tr>
        <w:trPr>
          <w:trHeight w:val="172"/>
        </w:trPr>
        <w:tc>
          <w:tcPr>
            <w:tcW w:w="3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260" w:type="dxa"/>
            <w:vAlign w:val="bottom"/>
            <w:tcBorders>
              <w:top w:val="single" w:sz="8" w:color="auto"/>
            </w:tcBorders>
          </w:tcPr>
          <w:p>
            <w:pPr>
              <w:ind w:left="120"/>
              <w:spacing w:after="0" w:line="171" w:lineRule="exact"/>
              <w:rPr>
                <w:sz w:val="20"/>
                <w:szCs w:val="20"/>
                <w:color w:val="auto"/>
              </w:rPr>
            </w:pPr>
            <w:r>
              <w:rPr>
                <w:rFonts w:ascii="Arial" w:cs="Arial" w:eastAsia="Arial" w:hAnsi="Arial"/>
                <w:sz w:val="16"/>
                <w:szCs w:val="16"/>
                <w:color w:val="auto"/>
              </w:rPr>
              <w:t>Wayne T. Smith</w:t>
            </w:r>
          </w:p>
        </w:tc>
      </w:tr>
      <w:tr>
        <w:trPr>
          <w:trHeight w:val="192"/>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60" w:type="dxa"/>
            <w:vAlign w:val="bottom"/>
          </w:tcPr>
          <w:p>
            <w:pPr>
              <w:ind w:left="120"/>
              <w:spacing w:after="0"/>
              <w:rPr>
                <w:sz w:val="20"/>
                <w:szCs w:val="20"/>
                <w:color w:val="auto"/>
              </w:rPr>
            </w:pPr>
            <w:r>
              <w:rPr>
                <w:rFonts w:ascii="Arial" w:cs="Arial" w:eastAsia="Arial" w:hAnsi="Arial"/>
                <w:sz w:val="16"/>
                <w:szCs w:val="16"/>
                <w:color w:val="auto"/>
              </w:rPr>
              <w:t>Chairman of the Board and Chief Executive Officer</w:t>
            </w:r>
          </w:p>
        </w:tc>
      </w:tr>
      <w:tr>
        <w:trPr>
          <w:trHeight w:val="205"/>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60" w:type="dxa"/>
            <w:vAlign w:val="bottom"/>
          </w:tcPr>
          <w:p>
            <w:pPr>
              <w:ind w:left="120"/>
              <w:spacing w:after="0"/>
              <w:rPr>
                <w:sz w:val="20"/>
                <w:szCs w:val="20"/>
                <w:color w:val="auto"/>
              </w:rPr>
            </w:pPr>
            <w:r>
              <w:rPr>
                <w:rFonts w:ascii="Arial" w:cs="Arial" w:eastAsia="Arial" w:hAnsi="Arial"/>
                <w:sz w:val="16"/>
                <w:szCs w:val="16"/>
                <w:color w:val="auto"/>
              </w:rPr>
              <w:t>(principal executive officer)</w:t>
            </w:r>
          </w:p>
        </w:tc>
      </w:tr>
    </w:tbl>
    <w:p>
      <w:pPr>
        <w:sectPr>
          <w:pgSz w:w="11900" w:h="16838" w:orient="portrait"/>
          <w:cols w:equalWidth="0" w:num="1">
            <w:col w:w="11440"/>
          </w:cols>
          <w:pgMar w:left="240" w:top="255"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2019-12-28T23:04:39Z</dcterms:created>
  <dcterms:modified xsi:type="dcterms:W3CDTF">2019-12-28T23:04:39Z</dcterms:modified>
</cp:coreProperties>
</file>