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24"/>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4"/>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3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information contained in this Current Report on Form 8-K (the “Form 8-K”)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any such filing.</w:t>
      </w:r>
    </w:p>
    <w:p>
      <w:pPr>
        <w:spacing w:after="0" w:line="31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6"/>
          <w:szCs w:val="16"/>
          <w:color w:val="auto"/>
        </w:rPr>
        <w:t>Results of Operations and Financial Condition</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Community Health Systems, Inc. (the “Company”) hereby announces that it anticipates that its results in the fourth quarter of 2021 will yield results for the year ended December 31, 2021 of the following:</w:t>
      </w:r>
    </w:p>
    <w:p>
      <w:pPr>
        <w:spacing w:after="0" w:line="76"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revenues in the range of $12.355 billion to $12.375 billion.</w:t>
      </w:r>
    </w:p>
    <w:p>
      <w:pPr>
        <w:spacing w:after="0" w:line="130" w:lineRule="exact"/>
        <w:rPr>
          <w:rFonts w:ascii="Arial" w:cs="Arial" w:eastAsia="Arial" w:hAnsi="Arial"/>
          <w:sz w:val="18"/>
          <w:szCs w:val="18"/>
          <w:color w:val="auto"/>
        </w:rPr>
      </w:pPr>
    </w:p>
    <w:p>
      <w:pPr>
        <w:ind w:left="1420" w:hanging="331"/>
        <w:spacing w:after="0" w:line="25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further adjusted to exclude the recognition of pandemic relief funds, in an amount that approximates the high-end of the Company’s Adjusted EBITDA guidance for 2021 (the low-end of which was $1.780 billion and the high-end of which was $1.820 billion) as disclosed in the Company’s earnings release dated October 27, 2021 (the “3Q 2021 Earnings Release”). The assumptions utilized to calculate guidance as disclosed in the 3Q 2021 Earnings Release excluded the impact of the recognition of pandemic relief funds from the determination of such guidance.</w:t>
      </w:r>
    </w:p>
    <w:p>
      <w:pPr>
        <w:spacing w:after="0" w:line="93"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pandemic relief funds for the year ended December 31, 2021 of approximately $145 million.</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Company also hereby provides certain preliminary guidance for 2022 as set forth below. The Company anticipates net operating revenues for the year ending December 31, 2022 to be in the range of $12.600 billion to $13.100 billion. The Company anticipates Adjusted EBITDA for the year ending December 31, 2022 to be in the range of $1.825 billion to $1.975 billion. This preliminary guidance for 2022 similarly does not take into account the potential impact of the recognition of pandemic relief funds and was otherwise determined utilizing a methodology similar to the methodology used in determining the Company’s guidance for 2021 as reflected in the 3Q 2021 Earnings Release. See the Forward-Looking Statements section of this Form 8-K for a list of factors that could affect the future results of the Company or the healthcare industry generally.</w:t>
      </w:r>
    </w:p>
    <w:p>
      <w:pPr>
        <w:spacing w:after="0" w:line="16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provided above is based on information available to management as of the date of this Form 8-K and is subject to revision upon finalization of the Company’s annual accounting and financial reporting procedures. In addition, the 3Q 2021 Earnings Release as referenced above includes additional information regarding the Company’s financial performance and guidance as of such date, including reconciliations between non-GAAP financial measures and related GAAP measures.</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 intends to provide its updated 2022 annual guidance and reporting on its financial and operating results for the three months and year ended December 31, 2021, when the Company issues its earnings release on a future date.</w:t>
      </w:r>
    </w:p>
    <w:p>
      <w:pPr>
        <w:spacing w:after="0" w:line="170" w:lineRule="exact"/>
        <w:rPr>
          <w:sz w:val="20"/>
          <w:szCs w:val="20"/>
          <w:color w:val="auto"/>
        </w:rPr>
      </w:pPr>
    </w:p>
    <w:p>
      <w:pPr>
        <w:ind w:right="340" w:firstLine="440"/>
        <w:spacing w:after="0" w:line="293" w:lineRule="auto"/>
        <w:rPr>
          <w:sz w:val="20"/>
          <w:szCs w:val="20"/>
          <w:color w:val="auto"/>
        </w:rPr>
      </w:pPr>
      <w:r>
        <w:rPr>
          <w:rFonts w:ascii="Arial" w:cs="Arial" w:eastAsia="Arial" w:hAnsi="Arial"/>
          <w:sz w:val="16"/>
          <w:szCs w:val="16"/>
          <w:color w:val="auto"/>
        </w:rPr>
        <w:t>The information necessary to provide a reconciliation of the Company’s preliminary projected 2022 Adjusted EBITDA, a forward-looking non-GAAP financial measure, to projected 2022 net income (loss) attributable to Community Health Systems, Inc. stockholders, the most directly comparable GAAP measure, is not available at this time without unreasonable efforts in light of the fact that the applicable reconciling items are not determinable, and/or the inherent difficulty in quantifying such reconciling items, on a forward-looking basis at this time. A reconciliation of the Company’s projected 2022 Adjusted EBITDA to the Company’s projected 2022 net income (loss) attributable to Community Health Systems, Inc. stockholders will be included at such time that the Company provides updated projected 2022 Adjusted EBITDA as set forth above.</w:t>
      </w:r>
    </w:p>
    <w:p>
      <w:pPr>
        <w:sectPr>
          <w:pgSz w:w="11900" w:h="16838" w:orient="portrait"/>
          <w:cols w:equalWidth="0" w:num="1">
            <w:col w:w="11000"/>
          </w:cols>
          <w:pgMar w:left="440" w:top="301"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Information About Non-GAAP Financial Measures</w:t>
      </w:r>
    </w:p>
    <w:p>
      <w:pPr>
        <w:spacing w:after="0" w:line="11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EBITDA is a non-GAAP financial measure which consists of net income (loss) attributable to Community Health Systems, Inc. before interest, income taxes, and depreciation and amortization. Adjusted EBITDA, also a non-GAAP financial measure, is EBITDA adjusted to add back net income attributable to noncontrolling interests and to exclude loss (gain) from early extinguishment of debt, impairment and (gain) loss on sale of businesses, gain on sale of investments in unconsolidated affiliates (specifically the sale of our unconsolidated equity interests in Macon Healthcare, LLC during 2021), (income)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was being litigated along with income during the fourth quarter of 2021 associated with the settlement of such litigation for the recovery of amounts covered by such third-party insurance policies, expense related to employee termination benefits and other restructuring charges, expense from settlement and fair value adjustments on the contingent value right agreement liability related to the Health Management Associates, Inc.,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As previously disclosed, during the three months ended December 31, 2020, the Company incurred expenses in the amount of approximately $50 million related to the settlement of a professional liability claim for which the Company’s third-party insurer’s obligation to provide coverage to the Company in connection with the underlying loss was being litigated. Moreover, during the three months ended December 31, 2021, as referenced above, the Company recognized income in the amount of approximately $19 million, net of related legal fees, from the settlement of the aforementioned litigation with third-party insurers. The Company has included this adjustment in the calculation of Adjusted EBITDA during the year ended December 31, 2021 because the Company believes the income associated with such settlement is not reflective of the Company’s underlying results of operations in light of the intended purpose of Adjusted EBITDA in assessing the Company’s operational performance and comparing the Company’s performance between periods.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(the “ABL Facility”) and the Company’s existing note indentures, which is a key component in the determination of the Company’s compliance with certain covenants under the ABL Facility and such note indentures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w:t>
      </w:r>
    </w:p>
    <w:p>
      <w:pPr>
        <w:spacing w:after="0" w:line="39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addition, this Form 8-K presents information regarding Adjusted EBITDA, further adjusted to exclude the recognition of pandemic relief funds, a non-GAAP financial measure, which is Adjusted EBITDA adjusted to exclude pandemic relief funds recognized during the period. The Company believes that it is useful to investors to present information regarding Adjusted EBITDA, further adjusted to exclude the recognition of pandemic relief funds, in this Form 8-K in order to improve comparability of anticipated full-year 2021 Adjusted EBITDA as presented herein (which, absent such adjustment, includes the impact of the recognition of pandemic relief funds) with our Adjusted EBITDA guidance for 2021 as previously disclosed in the 3Q 2021 Earnings Release which, as noted above, does not take into account the potential impact of recognition of pandemic relief funds in connection with the assumptions used to determine such guidance.</w:t>
      </w:r>
    </w:p>
    <w:p>
      <w:pPr>
        <w:spacing w:after="0" w:line="19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disclosed by other companies.</w:t>
      </w:r>
    </w:p>
    <w:p>
      <w:pPr>
        <w:sectPr>
          <w:pgSz w:w="11900" w:h="16838" w:orient="portrait"/>
          <w:cols w:equalWidth="0" w:num="1">
            <w:col w:w="11000"/>
          </w:cols>
          <w:pgMar w:left="440" w:top="301"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Form 8-K contains forward-looking statements within the meaning of Section 27A of the Securities Act of 1933, as amended, Section 21E of the Securities Exchange Act of 1934, as amended, and the Private Securities Litigation Reform Act of 1995 that involve risk and uncertainties. Although the Company believes that these forward-looking statements are based on reasonable assumptions, these assumptions are inherently subject to significant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Form 8-K. These factors include, among other things:</w:t>
      </w:r>
    </w:p>
    <w:p>
      <w:pPr>
        <w:spacing w:after="0" w:line="97" w:lineRule="exact"/>
        <w:rPr>
          <w:sz w:val="20"/>
          <w:szCs w:val="20"/>
          <w:color w:val="auto"/>
        </w:rPr>
      </w:pPr>
    </w:p>
    <w:p>
      <w:pPr>
        <w:ind w:left="960" w:right="100" w:hanging="424"/>
        <w:spacing w:after="0" w:line="290"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related to COVID-19, including, without limitation, related to the length and severity of the pandemic; the volume of canceled or rescheduled procedures; the volume of COVID-19 patients cared for across our health systems; the timing, availability and acceptance of effective medical treatments, vaccines (including additional dosages of vaccines) and tests; the spread of potentially more contagious and/or virulent forms of the virus, including variants of the virus for which currently available vaccines, treatments and tests may not be effective or authorized; measures we are taking to respond to the COVID-19 pandemic; the impact of government actions on us, including with respect to vaccine mandates, testing requirements, travel restrictions and other virus containment measures; changes in net revenue due to patient volumes, payor mix and evolving macroeconomic conditions; increased expenses related to labor, supply chain, capital and other expenditures; workforce disruptions; and supply shortages and disruptions;</w:t>
      </w:r>
    </w:p>
    <w:p>
      <w:pPr>
        <w:spacing w:after="0" w:line="70" w:lineRule="exact"/>
        <w:rPr>
          <w:rFonts w:ascii="Arial" w:cs="Arial" w:eastAsia="Arial" w:hAnsi="Arial"/>
          <w:sz w:val="16"/>
          <w:szCs w:val="16"/>
          <w:color w:val="auto"/>
        </w:rPr>
      </w:pPr>
    </w:p>
    <w:p>
      <w:pPr>
        <w:ind w:left="960" w:right="2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the implementation of the Coronavirus Aid, Relief and Economic Security Act (the CARES Act), the Paycheck Protection Program and Health Care Enhancement Act (the PPPHCE Act), the Consolidated Appropriations Act, 2021 (the CAA), the American Rescue Plan Act of 2021 (the ARPA) and any other future stimulus measures related to COVID-19, including the magnitude and timing of any future payments or benefits we may receive or realize thereunder;</w:t>
      </w:r>
    </w:p>
    <w:p>
      <w:pPr>
        <w:spacing w:after="0" w:line="92"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75" w:lineRule="exact"/>
        <w:rPr>
          <w:rFonts w:ascii="Arial" w:cs="Arial" w:eastAsia="Arial" w:hAnsi="Arial"/>
          <w:sz w:val="18"/>
          <w:szCs w:val="18"/>
          <w:color w:val="auto"/>
        </w:rPr>
      </w:pPr>
    </w:p>
    <w:p>
      <w:pPr>
        <w:ind w:left="960" w:right="38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federal and state health reform initiatives, including, without limitation, the Patient Protection and Affordable Care Act, as amended by the Health Care and Education Reconciliation Act of 2010 (the “Affordable Care Act”), and the potential for changes to the Affordable Care Act, its implementation or its interpretation (including through executive orders and court challenges);</w:t>
      </w:r>
    </w:p>
    <w:p>
      <w:pPr>
        <w:spacing w:after="0" w:line="92" w:lineRule="exact"/>
        <w:rPr>
          <w:rFonts w:ascii="Arial" w:cs="Arial" w:eastAsia="Arial" w:hAnsi="Arial"/>
          <w:sz w:val="18"/>
          <w:szCs w:val="18"/>
          <w:color w:val="auto"/>
        </w:rPr>
      </w:pPr>
    </w:p>
    <w:p>
      <w:pPr>
        <w:ind w:left="960" w:right="560" w:hanging="424"/>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and manner in which states support increases, decreases or changes in Medicaid programs, implement health insurance exchanges or alter the provision of healthcare to state residents through legislation, regulation or otherwise;</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and long-term viability of health insurance exchanges and potential changes to the beneficiary enrollment process;</w:t>
      </w:r>
    </w:p>
    <w:p>
      <w:pPr>
        <w:spacing w:after="0" w:line="130" w:lineRule="exact"/>
        <w:rPr>
          <w:rFonts w:ascii="Arial" w:cs="Arial" w:eastAsia="Arial" w:hAnsi="Arial"/>
          <w:sz w:val="18"/>
          <w:szCs w:val="18"/>
          <w:color w:val="auto"/>
        </w:rPr>
      </w:pPr>
    </w:p>
    <w:p>
      <w:pPr>
        <w:ind w:left="960" w:right="660" w:hanging="424"/>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impact of known and unknown legal, regulatory and governmental proceedings and other loss contingencies, including governmental investigations and audits, and federal and state false claims act litigation;</w:t>
      </w:r>
    </w:p>
    <w:p>
      <w:pPr>
        <w:spacing w:after="0" w:line="75" w:lineRule="exact"/>
        <w:rPr>
          <w:rFonts w:ascii="Arial" w:cs="Arial" w:eastAsia="Arial" w:hAnsi="Arial"/>
          <w:sz w:val="18"/>
          <w:szCs w:val="18"/>
          <w:color w:val="auto"/>
        </w:rPr>
      </w:pPr>
    </w:p>
    <w:p>
      <w:pPr>
        <w:ind w:left="960" w:right="2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89"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75"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security breaches, loss of data, actual or perceived failures to comply with legal requirements governing the privacy and security of health information or other regulated, sensitive or confidential information, or legal requirements regarding data privacy or data protection, and other cybersecurity incidents;</w:t>
      </w:r>
    </w:p>
    <w:p>
      <w:pPr>
        <w:spacing w:after="0" w:line="89"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potential impairments in the carrying value of goodwill, other intangible assets, or other long-lived assets, or changes in the useful lives of other intangible assets;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30"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related to the continued implementation of the sequestration spending reductions pursuant to both the Budget Control Act of 2011 and the Pay-As-You-Go Act of 2010 and the potential for future deficit reduction legislation;</w:t>
      </w:r>
    </w:p>
    <w:p>
      <w:pPr>
        <w:sectPr>
          <w:pgSz w:w="11900" w:h="16838" w:orient="portrait"/>
          <w:cols w:equalWidth="0" w:num="1">
            <w:col w:w="11020"/>
          </w:cols>
          <w:pgMar w:left="440" w:top="301" w:right="439" w:bottom="1440" w:gutter="0" w:footer="0" w:header="0"/>
        </w:sectPr>
      </w:pPr>
    </w:p>
    <w:bookmarkStart w:id="4" w:name="page5"/>
    <w:bookmarkEnd w:id="4"/>
    <w:p>
      <w:pPr>
        <w:ind w:left="424" w:right="28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75"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wages or compensation as a result of competitive labor market conditions, inflation or competition for highly technical positions;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obtain medical supplies or pharmaceuticals at favorable prices;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at reasonable employment costs, qualified personnel, key management, physicians, nurses and other healthcare workers;</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terms of capital to fund any additional acquisitions or replacement facilities or other capital expenditures;</w:t>
      </w:r>
    </w:p>
    <w:p>
      <w:pPr>
        <w:spacing w:after="0" w:line="130"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89"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any acquired hospitals, or to recognize expected synergies from acquisitions;</w:t>
      </w:r>
    </w:p>
    <w:p>
      <w:pPr>
        <w:spacing w:after="0" w:line="130"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seasonal severe weather conditions and climate change, as well as the timing and amount of insurance recoveries in relation to severe weather events;</w:t>
      </w:r>
    </w:p>
    <w:p>
      <w:pPr>
        <w:spacing w:after="0" w:line="75"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adequate levels of insurance, including general liability, professional liability, and directors and officers liability insurance;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130"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novel coronavirus causing the disease known as COVID-19 as noted above;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cybersecurity threats, cyber-attacks or security breaches;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our obligations under license or technology agreements;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challenging economic conditions in certain non-urban communities in which we operate;</w:t>
      </w:r>
    </w:p>
    <w:p>
      <w:pPr>
        <w:spacing w:after="0" w:line="130" w:lineRule="exact"/>
        <w:rPr>
          <w:rFonts w:ascii="Arial" w:cs="Arial" w:eastAsia="Arial" w:hAnsi="Arial"/>
          <w:sz w:val="18"/>
          <w:szCs w:val="18"/>
          <w:color w:val="auto"/>
        </w:rPr>
      </w:pPr>
    </w:p>
    <w:p>
      <w:pPr>
        <w:ind w:left="424" w:right="4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developments with respect to the final auditing and reporting requirements of, or other adverse developments with respect to, the Corporate Integrity Agreement to which we are subject;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anticipated cost savings and other benefits from our current strategic and operational cost savings initiatives;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or interpretations of income tax laws and regulations; and</w:t>
      </w:r>
    </w:p>
    <w:p>
      <w:pPr>
        <w:spacing w:after="0" w:line="130"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 factors set forth in our Annual Report on Form 10-K for the year ended December 31, 2020 filed with the Securities and Exchange Commission (the “SEC”) on February 18, 2021, and other public filings with the SEC.</w:t>
      </w:r>
    </w:p>
    <w:p>
      <w:pPr>
        <w:sectPr>
          <w:pgSz w:w="11900" w:h="16838" w:orient="portrait"/>
          <w:cols w:equalWidth="0" w:num="1">
            <w:col w:w="10464"/>
          </w:cols>
          <w:pgMar w:left="976" w:top="301" w:right="459" w:bottom="1440" w:gutter="0" w:footer="0" w:header="0"/>
        </w:sectPr>
      </w:pPr>
    </w:p>
    <w:bookmarkStart w:id="5" w:name="page6"/>
    <w:bookmarkEnd w:id="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cautions that the financial information set forth in this Form 8-K is provided as of the date hereof based on currently available information. The Company undertakes no obligation to revise or update any forward-looking statements, or to make any other forward-looking statements, whether as a result of new information, future events or otherwise.</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2.02 of this Form 8-K is incorporated herein by reference.</w:t>
      </w:r>
    </w:p>
    <w:p>
      <w:pPr>
        <w:spacing w:after="0" w:line="3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furnished herewith:</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560"/>
          </w:cols>
          <w:pgMar w:left="440" w:top="301" w:right="8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January 18, 2022</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Tim L. Hingtgen</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 L. Hingtgen</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5"/>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Kevin J. Hammons</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Hammons</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45"/>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Jason K. Johnson</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K. Johnson</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1" w:lineRule="exact"/>
        <w:rPr>
          <w:sz w:val="20"/>
          <w:szCs w:val="20"/>
          <w:color w:val="auto"/>
        </w:rPr>
      </w:pPr>
    </w:p>
    <w:sectPr>
      <w:pgSz w:w="11900" w:h="16838" w:orient="portrait"/>
      <w:cols w:equalWidth="0" w:num="1">
        <w:col w:w="11020"/>
      </w:cols>
      <w:pgMar w:left="440" w:top="30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2022-01-18T06:07:02Z</dcterms:created>
  <dcterms:modified xsi:type="dcterms:W3CDTF">2022-01-18T06:07:02Z</dcterms:modified>
</cp:coreProperties>
</file>