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Date of Report (date of earliest event reported): February 23, 2018 (February 21,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COMMUNITY HEALTH SYSTEMS,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001-15925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13-3893191</w:t>
      </w:r>
    </w:p>
    <w:p>
      <w:pPr>
        <w:spacing w:after="0" w:line="31" w:lineRule="exact"/>
        <w:rPr>
          <w:sz w:val="24"/>
          <w:szCs w:val="24"/>
          <w:color w:val="auto"/>
        </w:rPr>
      </w:pPr>
    </w:p>
    <w:p>
      <w:pPr>
        <w:sectPr>
          <w:pgSz w:w="11900" w:h="16838" w:orient="portrait"/>
          <w:cols w:equalWidth="0" w:num="3">
            <w:col w:w="4840" w:space="720"/>
            <w:col w:w="2940" w:space="720"/>
            <w:col w:w="2080"/>
          </w:cols>
          <w:pgMar w:left="240" w:top="368" w:right="359" w:bottom="1440" w:gutter="0" w:footer="0" w:header="0"/>
          <w:type w:val="continuous"/>
        </w:sectPr>
      </w:pPr>
    </w:p>
    <w:p>
      <w:pPr>
        <w:spacing w:after="0" w:line="12" w:lineRule="exact"/>
        <w:rPr>
          <w:sz w:val="24"/>
          <w:szCs w:val="24"/>
          <w:color w:val="auto"/>
        </w:rPr>
      </w:pPr>
    </w:p>
    <w:p>
      <w:pPr>
        <w:ind w:left="1080"/>
        <w:spacing w:after="0"/>
        <w:rPr>
          <w:sz w:val="20"/>
          <w:szCs w:val="20"/>
          <w:color w:val="auto"/>
        </w:rPr>
      </w:pPr>
      <w:r>
        <w:rPr>
          <w:rFonts w:ascii="Arial" w:cs="Arial" w:eastAsia="Arial" w:hAnsi="Arial"/>
          <w:sz w:val="13"/>
          <w:szCs w:val="13"/>
          <w:b w:val="1"/>
          <w:bCs w:val="1"/>
          <w:color w:val="auto"/>
        </w:rPr>
        <w:t>(State or other jurisdiction of</w:t>
      </w:r>
    </w:p>
    <w:p>
      <w:pPr>
        <w:ind w:left="10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b w:val="1"/>
          <w:bCs w:val="1"/>
          <w:color w:val="auto"/>
        </w:rPr>
        <w:t>(IRS Employer</w:t>
      </w:r>
    </w:p>
    <w:p>
      <w:pPr>
        <w:jc w:val="center"/>
        <w:ind w:right="108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820" w:space="720"/>
            <w:col w:w="2840" w:space="720"/>
            <w:col w:w="2200"/>
          </w:cols>
          <w:pgMar w:left="240" w:top="368" w:right="359" w:bottom="1440" w:gutter="0" w:footer="0" w:header="0"/>
          <w:type w:val="continuous"/>
        </w:sectPr>
      </w:pPr>
    </w:p>
    <w:p>
      <w:pPr>
        <w:spacing w:after="0" w:line="1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4000 Meridian Boulevard</w:t>
      </w:r>
    </w:p>
    <w:p>
      <w:pPr>
        <w:spacing w:after="0" w:line="2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Franklin, Tennessee 37067</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Registrant’s telephone number, including area code: (615) 465-7000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263525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(l7 CFR 240.13e-4(c))</w:t>
      </w:r>
    </w:p>
    <w:p>
      <w:pPr>
        <w:spacing w:after="0" w:line="22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-391160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720" w:space="660"/>
            <w:col w:w="10040"/>
          </w:cols>
          <w:pgMar w:left="240" w:top="270" w:right="239" w:bottom="1440" w:gutter="0" w:footer="0" w:header="0"/>
        </w:sect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Compensation Arrangements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February 21, 2018, the Board of Directors (the “Board”) of Community Health Systems, Inc. (the “Company”), upon recommendation of the Compensation Committee of the Board (the “Compensation Committee”), met and approved the following compensation arrangements for the Company’s named executive officers, as reflected in the Company’s definitive proxy statement for its 2017 annual meeting of stockholders (other than Michael T. Portacci, the Company’s former division president, W. Larry Cash, the Company’s former president of financial services and chief financial officer, and David L. Miller, the Company’s former president and chief operating officer, all of whom are now retired), along with Thomas J. Aaron, the Company’s executive vice president and chief financial officer, Lynn T. Simon, M.D., the Company’s president of clinical operations and chief medical officer, and Benjamin C. Fordham, the Company’s executive vice president, general counsel and assistant secretary, who are expected to be included as named executive officers in our definitive proxy statement for our 2018 annual meeting of stockholders (collectively, the “Named Executive Officers”).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Cash Incentive Compensation Targets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Board approved performance goals for the Named Executive Officers for fiscal year 2018 under the Company’s 2004 Employee Performance Incentive Plan (the “Cash Incentive Plan”), with target opportunities as follows (expressed as a percentage of base salary):</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820" w:type="dxa"/>
            <w:vAlign w:val="bottom"/>
            <w:gridSpan w:val="2"/>
          </w:tcPr>
          <w:p>
            <w:pPr>
              <w:ind w:left="20"/>
              <w:spacing w:after="0"/>
              <w:rPr>
                <w:sz w:val="20"/>
                <w:szCs w:val="20"/>
                <w:color w:val="auto"/>
              </w:rPr>
            </w:pPr>
            <w:r>
              <w:rPr>
                <w:rFonts w:ascii="Arial" w:cs="Arial" w:eastAsia="Arial" w:hAnsi="Arial"/>
                <w:sz w:val="14"/>
                <w:szCs w:val="14"/>
                <w:color w:val="auto"/>
              </w:rPr>
              <w:t>Name and Position</w:t>
            </w:r>
          </w:p>
        </w:tc>
        <w:tc>
          <w:tcPr>
            <w:tcW w:w="1780" w:type="dxa"/>
            <w:vAlign w:val="bottom"/>
            <w:gridSpan w:val="3"/>
          </w:tcPr>
          <w:p>
            <w:pPr>
              <w:jc w:val="center"/>
              <w:ind w:left="553"/>
              <w:spacing w:after="0"/>
              <w:rPr>
                <w:sz w:val="20"/>
                <w:szCs w:val="20"/>
                <w:color w:val="auto"/>
              </w:rPr>
            </w:pPr>
            <w:r>
              <w:rPr>
                <w:rFonts w:ascii="Arial" w:cs="Arial" w:eastAsia="Arial" w:hAnsi="Arial"/>
                <w:sz w:val="14"/>
                <w:szCs w:val="14"/>
                <w:color w:val="auto"/>
                <w:w w:val="94"/>
              </w:rPr>
              <w:t>Target Opportunity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140" w:type="dxa"/>
            <w:vAlign w:val="bottom"/>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2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Wayne T. Smith, Chairman and Chief Executive Officer</w:t>
            </w:r>
          </w:p>
        </w:tc>
        <w:tc>
          <w:tcPr>
            <w:tcW w:w="1760" w:type="dxa"/>
            <w:vAlign w:val="bottom"/>
            <w:gridSpan w:val="2"/>
            <w:shd w:val="clear" w:color="auto" w:fill="CCEEFF"/>
          </w:tcPr>
          <w:p>
            <w:pPr>
              <w:jc w:val="center"/>
              <w:ind w:left="573"/>
              <w:spacing w:after="0"/>
              <w:rPr>
                <w:sz w:val="20"/>
                <w:szCs w:val="20"/>
                <w:color w:val="auto"/>
              </w:rPr>
            </w:pPr>
            <w:r>
              <w:rPr>
                <w:rFonts w:ascii="Arial" w:cs="Arial" w:eastAsia="Arial" w:hAnsi="Arial"/>
                <w:sz w:val="18"/>
                <w:szCs w:val="18"/>
                <w:color w:val="auto"/>
                <w:w w:val="91"/>
              </w:rPr>
              <w:t>235%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Thomas J. Aaron, Executive Vice President and Chief Financial Officer</w:t>
            </w:r>
          </w:p>
        </w:tc>
        <w:tc>
          <w:tcPr>
            <w:tcW w:w="1760" w:type="dxa"/>
            <w:vAlign w:val="bottom"/>
            <w:gridSpan w:val="2"/>
          </w:tcPr>
          <w:p>
            <w:pPr>
              <w:jc w:val="center"/>
              <w:ind w:left="573"/>
              <w:spacing w:after="0"/>
              <w:rPr>
                <w:sz w:val="20"/>
                <w:szCs w:val="20"/>
                <w:color w:val="auto"/>
              </w:rPr>
            </w:pPr>
            <w:r>
              <w:rPr>
                <w:rFonts w:ascii="Arial" w:cs="Arial" w:eastAsia="Arial" w:hAnsi="Arial"/>
                <w:sz w:val="18"/>
                <w:szCs w:val="18"/>
                <w:color w:val="auto"/>
                <w:w w:val="91"/>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Tim L. Hingtgen, President and Chief Operating Officer</w:t>
            </w:r>
          </w:p>
        </w:tc>
        <w:tc>
          <w:tcPr>
            <w:tcW w:w="1760" w:type="dxa"/>
            <w:vAlign w:val="bottom"/>
            <w:gridSpan w:val="2"/>
            <w:shd w:val="clear" w:color="auto" w:fill="CCEEFF"/>
          </w:tcPr>
          <w:p>
            <w:pPr>
              <w:jc w:val="center"/>
              <w:ind w:left="573"/>
              <w:spacing w:after="0"/>
              <w:rPr>
                <w:sz w:val="20"/>
                <w:szCs w:val="20"/>
                <w:color w:val="auto"/>
              </w:rPr>
            </w:pPr>
            <w:r>
              <w:rPr>
                <w:rFonts w:ascii="Arial" w:cs="Arial" w:eastAsia="Arial" w:hAnsi="Arial"/>
                <w:sz w:val="18"/>
                <w:szCs w:val="18"/>
                <w:color w:val="auto"/>
                <w:w w:val="91"/>
              </w:rPr>
              <w:t>140%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gridSpan w:val="3"/>
          </w:tcPr>
          <w:p>
            <w:pPr>
              <w:spacing w:after="0" w:line="201" w:lineRule="exact"/>
              <w:rPr>
                <w:sz w:val="20"/>
                <w:szCs w:val="20"/>
                <w:color w:val="auto"/>
              </w:rPr>
            </w:pPr>
            <w:r>
              <w:rPr>
                <w:rFonts w:ascii="Arial" w:cs="Arial" w:eastAsia="Arial" w:hAnsi="Arial"/>
                <w:sz w:val="18"/>
                <w:szCs w:val="18"/>
                <w:color w:val="auto"/>
              </w:rPr>
              <w:t>Lynn T. Simon, M.D., President of Clinical Operations and Chief Medical</w:t>
            </w: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gridSpan w:val="3"/>
          </w:tcPr>
          <w:p>
            <w:pPr>
              <w:ind w:left="160"/>
              <w:spacing w:after="0"/>
              <w:rPr>
                <w:sz w:val="20"/>
                <w:szCs w:val="20"/>
                <w:color w:val="auto"/>
              </w:rPr>
            </w:pPr>
            <w:r>
              <w:rPr>
                <w:rFonts w:ascii="Arial" w:cs="Arial" w:eastAsia="Arial" w:hAnsi="Arial"/>
                <w:sz w:val="18"/>
                <w:szCs w:val="18"/>
                <w:color w:val="auto"/>
              </w:rPr>
              <w:t>Officer</w:t>
            </w:r>
          </w:p>
        </w:tc>
        <w:tc>
          <w:tcPr>
            <w:tcW w:w="1760" w:type="dxa"/>
            <w:vAlign w:val="bottom"/>
            <w:gridSpan w:val="2"/>
          </w:tcPr>
          <w:p>
            <w:pPr>
              <w:jc w:val="center"/>
              <w:ind w:left="573"/>
              <w:spacing w:after="0"/>
              <w:rPr>
                <w:sz w:val="20"/>
                <w:szCs w:val="20"/>
                <w:color w:val="auto"/>
              </w:rPr>
            </w:pPr>
            <w:r>
              <w:rPr>
                <w:rFonts w:ascii="Arial" w:cs="Arial" w:eastAsia="Arial" w:hAnsi="Arial"/>
                <w:sz w:val="18"/>
                <w:szCs w:val="18"/>
                <w:color w:val="auto"/>
                <w:w w:val="91"/>
              </w:rPr>
              <w:t>115%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Benjamin C. Fordham, Executive Vice President, General Counsel and</w:t>
            </w:r>
          </w:p>
        </w:tc>
        <w:tc>
          <w:tcPr>
            <w:tcW w:w="6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Assistant Secretary</w:t>
            </w:r>
          </w:p>
        </w:tc>
        <w:tc>
          <w:tcPr>
            <w:tcW w:w="1760" w:type="dxa"/>
            <w:vAlign w:val="bottom"/>
            <w:gridSpan w:val="2"/>
            <w:shd w:val="clear" w:color="auto" w:fill="CCEEFF"/>
          </w:tcPr>
          <w:p>
            <w:pPr>
              <w:jc w:val="center"/>
              <w:ind w:left="573"/>
              <w:spacing w:after="0"/>
              <w:rPr>
                <w:sz w:val="20"/>
                <w:szCs w:val="20"/>
                <w:color w:val="auto"/>
              </w:rPr>
            </w:pPr>
            <w:r>
              <w:rPr>
                <w:rFonts w:ascii="Arial" w:cs="Arial" w:eastAsia="Arial" w:hAnsi="Arial"/>
                <w:sz w:val="18"/>
                <w:szCs w:val="18"/>
                <w:color w:val="auto"/>
                <w:w w:val="91"/>
              </w:rPr>
              <w:t>115%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each Named Executive Officer will have the opportunity to achieve an additional percentage of his or her base salary for the attainment of specific non-financial performance improvements up to a maximum of an additional 30% for Mr. Smith; 20% for Mr. Aaron; 25% for Mr. Hingtgen; and 10% for Dr. Simon and Mr. Fordham. Each Named Executive Officer will also have the opportunity to achieve an additional percentage of his or her base salary for overachievement of Company-level goals up to a maximum of an additional 35% for Messrs. Smith and Hingtgen and an additional 25% for Messrs. Aaron and Fordham and Dr. Simon.</w:t>
      </w:r>
    </w:p>
    <w:p>
      <w:pPr>
        <w:spacing w:after="0" w:line="18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payments made to the Named Executive Officers under the Cash Incentive Plan in respect of fiscal 2017 incentive compensation targets will be set forth in the definitive proxy statement to be filed by the Company in connection with the Company’s 2018 annual meeting of stockholders.</w:t>
      </w:r>
    </w:p>
    <w:p>
      <w:pPr>
        <w:sectPr>
          <w:pgSz w:w="11900" w:h="16838" w:orient="portrait"/>
          <w:cols w:equalWidth="0" w:num="1">
            <w:col w:w="11420"/>
          </w:cols>
          <w:pgMar w:left="240" w:top="270"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2018 Base Salaries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approved the following base salary amounts for the Named Executive Officers:</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Arial" w:cs="Arial" w:eastAsia="Arial" w:hAnsi="Arial"/>
                <w:sz w:val="14"/>
                <w:szCs w:val="14"/>
                <w:color w:val="auto"/>
              </w:rPr>
              <w:t>Name and Position</w:t>
            </w:r>
          </w:p>
        </w:tc>
        <w:tc>
          <w:tcPr>
            <w:tcW w:w="1440" w:type="dxa"/>
            <w:vAlign w:val="bottom"/>
            <w:gridSpan w:val="3"/>
          </w:tcPr>
          <w:p>
            <w:pPr>
              <w:ind w:left="420"/>
              <w:spacing w:after="0"/>
              <w:rPr>
                <w:sz w:val="20"/>
                <w:szCs w:val="20"/>
                <w:color w:val="auto"/>
              </w:rPr>
            </w:pPr>
            <w:r>
              <w:rPr>
                <w:rFonts w:ascii="Arial" w:cs="Arial" w:eastAsia="Arial" w:hAnsi="Arial"/>
                <w:sz w:val="14"/>
                <w:szCs w:val="14"/>
                <w:color w:val="auto"/>
                <w:w w:val="90"/>
              </w:rPr>
              <w:t>2018 Base Salary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00" w:type="dxa"/>
            <w:vAlign w:val="bottom"/>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2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Wayne T. Smith, Chairman and Chief Executive Officer</w:t>
            </w:r>
          </w:p>
        </w:tc>
        <w:tc>
          <w:tcPr>
            <w:tcW w:w="1420" w:type="dxa"/>
            <w:vAlign w:val="bottom"/>
            <w:gridSpan w:val="2"/>
            <w:shd w:val="clear" w:color="auto" w:fill="CCEEFF"/>
          </w:tcPr>
          <w:p>
            <w:pPr>
              <w:jc w:val="center"/>
              <w:ind w:left="333"/>
              <w:spacing w:after="0"/>
              <w:rPr>
                <w:sz w:val="20"/>
                <w:szCs w:val="20"/>
                <w:color w:val="auto"/>
              </w:rPr>
            </w:pPr>
            <w:r>
              <w:rPr>
                <w:rFonts w:ascii="Arial" w:cs="Arial" w:eastAsia="Arial" w:hAnsi="Arial"/>
                <w:sz w:val="18"/>
                <w:szCs w:val="18"/>
                <w:color w:val="auto"/>
                <w:w w:val="88"/>
              </w:rPr>
              <w:t>$1,600,000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Thomas J. Aaron, Executive Vice President and Chief Financial Officer</w:t>
            </w:r>
          </w:p>
        </w:tc>
        <w:tc>
          <w:tcPr>
            <w:tcW w:w="1420" w:type="dxa"/>
            <w:vAlign w:val="bottom"/>
            <w:gridSpan w:val="2"/>
          </w:tcPr>
          <w:p>
            <w:pPr>
              <w:jc w:val="center"/>
              <w:ind w:left="333"/>
              <w:spacing w:after="0"/>
              <w:rPr>
                <w:sz w:val="20"/>
                <w:szCs w:val="20"/>
                <w:color w:val="auto"/>
              </w:rPr>
            </w:pPr>
            <w:r>
              <w:rPr>
                <w:rFonts w:ascii="Arial" w:cs="Arial" w:eastAsia="Arial" w:hAnsi="Arial"/>
                <w:sz w:val="18"/>
                <w:szCs w:val="18"/>
                <w:color w:val="auto"/>
                <w:w w:val="90"/>
              </w:rPr>
              <w:t>$675,000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Tim L. Hingtgen, President and Chief Operating Officer</w:t>
            </w:r>
          </w:p>
        </w:tc>
        <w:tc>
          <w:tcPr>
            <w:tcW w:w="1420" w:type="dxa"/>
            <w:vAlign w:val="bottom"/>
            <w:gridSpan w:val="2"/>
            <w:shd w:val="clear" w:color="auto" w:fill="CCEEFF"/>
          </w:tcPr>
          <w:p>
            <w:pPr>
              <w:jc w:val="center"/>
              <w:ind w:left="333"/>
              <w:spacing w:after="0"/>
              <w:rPr>
                <w:sz w:val="20"/>
                <w:szCs w:val="20"/>
                <w:color w:val="auto"/>
              </w:rPr>
            </w:pPr>
            <w:r>
              <w:rPr>
                <w:rFonts w:ascii="Arial" w:cs="Arial" w:eastAsia="Arial" w:hAnsi="Arial"/>
                <w:sz w:val="18"/>
                <w:szCs w:val="18"/>
                <w:color w:val="auto"/>
                <w:w w:val="90"/>
              </w:rPr>
              <w:t>$900,000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w w:val="99"/>
              </w:rPr>
              <w:t>Lynn T. Simon, M.D., President of Clinical Operations and Chief Medical Officer</w:t>
            </w:r>
          </w:p>
        </w:tc>
        <w:tc>
          <w:tcPr>
            <w:tcW w:w="1420" w:type="dxa"/>
            <w:vAlign w:val="bottom"/>
            <w:gridSpan w:val="2"/>
          </w:tcPr>
          <w:p>
            <w:pPr>
              <w:jc w:val="center"/>
              <w:ind w:left="333"/>
              <w:spacing w:after="0"/>
              <w:rPr>
                <w:sz w:val="20"/>
                <w:szCs w:val="20"/>
                <w:color w:val="auto"/>
              </w:rPr>
            </w:pPr>
            <w:r>
              <w:rPr>
                <w:rFonts w:ascii="Arial" w:cs="Arial" w:eastAsia="Arial" w:hAnsi="Arial"/>
                <w:sz w:val="18"/>
                <w:szCs w:val="18"/>
                <w:color w:val="auto"/>
                <w:w w:val="90"/>
              </w:rPr>
              <w:t>$550,000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Benjamin C. Fordham, Executive Vice President, General Counsel and Assistant</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Secretary</w:t>
            </w:r>
          </w:p>
        </w:tc>
        <w:tc>
          <w:tcPr>
            <w:tcW w:w="1420" w:type="dxa"/>
            <w:vAlign w:val="bottom"/>
            <w:gridSpan w:val="2"/>
            <w:shd w:val="clear" w:color="auto" w:fill="CCEEFF"/>
          </w:tcPr>
          <w:p>
            <w:pPr>
              <w:jc w:val="center"/>
              <w:ind w:left="333"/>
              <w:spacing w:after="0"/>
              <w:rPr>
                <w:sz w:val="20"/>
                <w:szCs w:val="20"/>
                <w:color w:val="auto"/>
              </w:rPr>
            </w:pPr>
            <w:r>
              <w:rPr>
                <w:rFonts w:ascii="Arial" w:cs="Arial" w:eastAsia="Arial" w:hAnsi="Arial"/>
                <w:sz w:val="18"/>
                <w:szCs w:val="18"/>
                <w:color w:val="auto"/>
                <w:w w:val="90"/>
              </w:rPr>
              <w:t>$561,000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Compensation – Equity Awards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Company’s Amended and Restated 2009 Stock Option and Award Plan (the “Stock Plan”), the Board approved the following equity grants to the Named Executive Officers, effective March 1, 2018 (the “grant date”):</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5"/>
          </w:tcPr>
          <w:p>
            <w:pPr>
              <w:jc w:val="center"/>
              <w:ind w:right="400"/>
              <w:spacing w:after="0"/>
              <w:rPr>
                <w:sz w:val="20"/>
                <w:szCs w:val="20"/>
                <w:color w:val="auto"/>
              </w:rPr>
            </w:pPr>
            <w:r>
              <w:rPr>
                <w:rFonts w:ascii="Arial" w:cs="Arial" w:eastAsia="Arial" w:hAnsi="Arial"/>
                <w:sz w:val="14"/>
                <w:szCs w:val="14"/>
                <w:color w:val="auto"/>
                <w:w w:val="91"/>
              </w:rPr>
              <w:t>Performance-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color w:val="auto"/>
              </w:rPr>
              <w:t>Time-Vesting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140" w:type="dxa"/>
            <w:vAlign w:val="bottom"/>
            <w:gridSpan w:val="2"/>
            <w:vMerge w:val="restart"/>
          </w:tcPr>
          <w:p>
            <w:pPr>
              <w:ind w:left="20"/>
              <w:spacing w:after="0"/>
              <w:rPr>
                <w:sz w:val="20"/>
                <w:szCs w:val="20"/>
                <w:color w:val="auto"/>
              </w:rPr>
            </w:pPr>
            <w:r>
              <w:rPr>
                <w:rFonts w:ascii="Arial" w:cs="Arial" w:eastAsia="Arial" w:hAnsi="Arial"/>
                <w:sz w:val="14"/>
                <w:szCs w:val="14"/>
                <w:color w:val="auto"/>
              </w:rPr>
              <w:t>Name and Position</w:t>
            </w:r>
          </w:p>
        </w:tc>
        <w:tc>
          <w:tcPr>
            <w:tcW w:w="1200" w:type="dxa"/>
            <w:vAlign w:val="bottom"/>
            <w:gridSpan w:val="5"/>
          </w:tcPr>
          <w:p>
            <w:pPr>
              <w:ind w:left="340"/>
              <w:spacing w:after="0" w:line="129" w:lineRule="exact"/>
              <w:rPr>
                <w:sz w:val="20"/>
                <w:szCs w:val="20"/>
                <w:color w:val="auto"/>
              </w:rPr>
            </w:pPr>
            <w:r>
              <w:rPr>
                <w:rFonts w:ascii="Arial" w:cs="Arial" w:eastAsia="Arial" w:hAnsi="Arial"/>
                <w:sz w:val="14"/>
                <w:szCs w:val="14"/>
                <w:color w:val="auto"/>
                <w:w w:val="78"/>
              </w:rPr>
              <w:t>Based Restricted</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14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1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jc w:val="center"/>
              <w:ind w:right="300"/>
              <w:spacing w:after="0" w:line="129" w:lineRule="exact"/>
              <w:rPr>
                <w:sz w:val="20"/>
                <w:szCs w:val="20"/>
                <w:color w:val="auto"/>
              </w:rPr>
            </w:pPr>
            <w:r>
              <w:rPr>
                <w:rFonts w:ascii="Arial" w:cs="Arial" w:eastAsia="Arial" w:hAnsi="Arial"/>
                <w:sz w:val="14"/>
                <w:szCs w:val="14"/>
                <w:color w:val="auto"/>
                <w:w w:val="85"/>
              </w:rPr>
              <w:t>Shares</w:t>
            </w:r>
          </w:p>
        </w:tc>
        <w:tc>
          <w:tcPr>
            <w:tcW w:w="30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80" w:type="dxa"/>
            <w:vAlign w:val="bottom"/>
            <w:gridSpan w:val="3"/>
          </w:tcPr>
          <w:p>
            <w:pPr>
              <w:spacing w:after="0" w:line="129" w:lineRule="exact"/>
              <w:rPr>
                <w:sz w:val="20"/>
                <w:szCs w:val="20"/>
                <w:color w:val="auto"/>
              </w:rPr>
            </w:pPr>
            <w:r>
              <w:rPr>
                <w:rFonts w:ascii="Arial" w:cs="Arial" w:eastAsia="Arial" w:hAnsi="Arial"/>
                <w:sz w:val="14"/>
                <w:szCs w:val="14"/>
                <w:color w:val="auto"/>
                <w:w w:val="84"/>
              </w:rPr>
              <w:t>Restricted Stock</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60" w:type="dxa"/>
            <w:vAlign w:val="bottom"/>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Wayne T. Smith, Chairman and Chief Executive Officer</w:t>
            </w:r>
          </w:p>
        </w:tc>
        <w:tc>
          <w:tcPr>
            <w:tcW w:w="1200" w:type="dxa"/>
            <w:vAlign w:val="bottom"/>
            <w:gridSpan w:val="5"/>
            <w:shd w:val="clear" w:color="auto" w:fill="CCEEFF"/>
          </w:tcPr>
          <w:p>
            <w:pPr>
              <w:jc w:val="center"/>
              <w:ind w:left="346"/>
              <w:spacing w:after="0"/>
              <w:rPr>
                <w:sz w:val="20"/>
                <w:szCs w:val="20"/>
                <w:color w:val="auto"/>
              </w:rPr>
            </w:pPr>
            <w:r>
              <w:rPr>
                <w:rFonts w:ascii="Arial" w:cs="Arial" w:eastAsia="Arial" w:hAnsi="Arial"/>
                <w:sz w:val="20"/>
                <w:szCs w:val="20"/>
                <w:color w:val="auto"/>
                <w:w w:val="88"/>
              </w:rPr>
              <w:t>105,000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left="261"/>
              <w:spacing w:after="0"/>
              <w:rPr>
                <w:sz w:val="20"/>
                <w:szCs w:val="20"/>
                <w:color w:val="auto"/>
              </w:rPr>
            </w:pPr>
            <w:r>
              <w:rPr>
                <w:rFonts w:ascii="Arial" w:cs="Arial" w:eastAsia="Arial" w:hAnsi="Arial"/>
                <w:sz w:val="20"/>
                <w:szCs w:val="20"/>
                <w:color w:val="auto"/>
                <w:w w:val="91"/>
              </w:rPr>
              <w:t>105,000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gridSpan w:val="3"/>
          </w:tcPr>
          <w:p>
            <w:pPr>
              <w:spacing w:after="0" w:line="201" w:lineRule="exact"/>
              <w:rPr>
                <w:sz w:val="20"/>
                <w:szCs w:val="20"/>
                <w:color w:val="auto"/>
              </w:rPr>
            </w:pPr>
            <w:r>
              <w:rPr>
                <w:rFonts w:ascii="Arial" w:cs="Arial" w:eastAsia="Arial" w:hAnsi="Arial"/>
                <w:sz w:val="18"/>
                <w:szCs w:val="18"/>
                <w:color w:val="auto"/>
                <w:w w:val="96"/>
              </w:rPr>
              <w:t>Thomas J. Aaron, Executive Vice President and Chief Financial</w:t>
            </w:r>
          </w:p>
        </w:tc>
        <w:tc>
          <w:tcPr>
            <w:tcW w:w="1200" w:type="dxa"/>
            <w:vAlign w:val="bottom"/>
            <w:gridSpan w:val="5"/>
            <w:vMerge w:val="restart"/>
          </w:tcPr>
          <w:p>
            <w:pPr>
              <w:jc w:val="center"/>
              <w:ind w:left="326"/>
              <w:spacing w:after="0"/>
              <w:rPr>
                <w:sz w:val="20"/>
                <w:szCs w:val="20"/>
                <w:color w:val="auto"/>
              </w:rPr>
            </w:pPr>
            <w:r>
              <w:rPr>
                <w:rFonts w:ascii="Arial" w:cs="Arial" w:eastAsia="Arial" w:hAnsi="Arial"/>
                <w:sz w:val="20"/>
                <w:szCs w:val="20"/>
                <w:color w:val="auto"/>
                <w:w w:val="88"/>
              </w:rPr>
              <w:t>50,000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3"/>
            <w:vMerge w:val="restart"/>
          </w:tcPr>
          <w:p>
            <w:pPr>
              <w:jc w:val="center"/>
              <w:ind w:left="261"/>
              <w:spacing w:after="0"/>
              <w:rPr>
                <w:sz w:val="20"/>
                <w:szCs w:val="20"/>
                <w:color w:val="auto"/>
              </w:rPr>
            </w:pPr>
            <w:r>
              <w:rPr>
                <w:rFonts w:ascii="Arial" w:cs="Arial" w:eastAsia="Arial" w:hAnsi="Arial"/>
                <w:sz w:val="20"/>
                <w:szCs w:val="20"/>
                <w:color w:val="auto"/>
                <w:w w:val="88"/>
              </w:rPr>
              <w:t>50,000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3"/>
          </w:tcPr>
          <w:p>
            <w:pPr>
              <w:ind w:left="160"/>
              <w:spacing w:after="0"/>
              <w:rPr>
                <w:sz w:val="20"/>
                <w:szCs w:val="20"/>
                <w:color w:val="auto"/>
              </w:rPr>
            </w:pPr>
            <w:r>
              <w:rPr>
                <w:rFonts w:ascii="Arial" w:cs="Arial" w:eastAsia="Arial" w:hAnsi="Arial"/>
                <w:sz w:val="18"/>
                <w:szCs w:val="18"/>
                <w:color w:val="auto"/>
              </w:rPr>
              <w:t>Officer</w:t>
            </w:r>
          </w:p>
        </w:tc>
        <w:tc>
          <w:tcPr>
            <w:tcW w:w="1200" w:type="dxa"/>
            <w:vAlign w:val="bottom"/>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Tim L. Hingtgen, President and Chief Operating Officer</w:t>
            </w:r>
          </w:p>
        </w:tc>
        <w:tc>
          <w:tcPr>
            <w:tcW w:w="1200" w:type="dxa"/>
            <w:vAlign w:val="bottom"/>
            <w:gridSpan w:val="5"/>
            <w:shd w:val="clear" w:color="auto" w:fill="CCEEFF"/>
          </w:tcPr>
          <w:p>
            <w:pPr>
              <w:jc w:val="center"/>
              <w:ind w:left="326"/>
              <w:spacing w:after="0"/>
              <w:rPr>
                <w:sz w:val="20"/>
                <w:szCs w:val="20"/>
                <w:color w:val="auto"/>
              </w:rPr>
            </w:pPr>
            <w:r>
              <w:rPr>
                <w:rFonts w:ascii="Arial" w:cs="Arial" w:eastAsia="Arial" w:hAnsi="Arial"/>
                <w:sz w:val="20"/>
                <w:szCs w:val="20"/>
                <w:color w:val="auto"/>
                <w:w w:val="88"/>
              </w:rPr>
              <w:t>75,000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left="261"/>
              <w:spacing w:after="0"/>
              <w:rPr>
                <w:sz w:val="20"/>
                <w:szCs w:val="20"/>
                <w:color w:val="auto"/>
              </w:rPr>
            </w:pPr>
            <w:r>
              <w:rPr>
                <w:rFonts w:ascii="Arial" w:cs="Arial" w:eastAsia="Arial" w:hAnsi="Arial"/>
                <w:sz w:val="20"/>
                <w:szCs w:val="20"/>
                <w:color w:val="auto"/>
                <w:w w:val="88"/>
              </w:rPr>
              <w:t>75,000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gridSpan w:val="3"/>
          </w:tcPr>
          <w:p>
            <w:pPr>
              <w:spacing w:after="0" w:line="201" w:lineRule="exact"/>
              <w:rPr>
                <w:sz w:val="20"/>
                <w:szCs w:val="20"/>
                <w:color w:val="auto"/>
              </w:rPr>
            </w:pPr>
            <w:r>
              <w:rPr>
                <w:rFonts w:ascii="Arial" w:cs="Arial" w:eastAsia="Arial" w:hAnsi="Arial"/>
                <w:sz w:val="18"/>
                <w:szCs w:val="18"/>
                <w:color w:val="auto"/>
              </w:rPr>
              <w:t>Lynn T. Simon, M.D., President of Clinical Operations and</w:t>
            </w:r>
          </w:p>
        </w:tc>
        <w:tc>
          <w:tcPr>
            <w:tcW w:w="1200" w:type="dxa"/>
            <w:vAlign w:val="bottom"/>
            <w:gridSpan w:val="5"/>
            <w:vMerge w:val="restart"/>
          </w:tcPr>
          <w:p>
            <w:pPr>
              <w:jc w:val="center"/>
              <w:ind w:left="326"/>
              <w:spacing w:after="0"/>
              <w:rPr>
                <w:sz w:val="20"/>
                <w:szCs w:val="20"/>
                <w:color w:val="auto"/>
              </w:rPr>
            </w:pPr>
            <w:r>
              <w:rPr>
                <w:rFonts w:ascii="Arial" w:cs="Arial" w:eastAsia="Arial" w:hAnsi="Arial"/>
                <w:sz w:val="20"/>
                <w:szCs w:val="20"/>
                <w:color w:val="auto"/>
                <w:w w:val="88"/>
              </w:rPr>
              <w:t>35,000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3"/>
            <w:vMerge w:val="restart"/>
          </w:tcPr>
          <w:p>
            <w:pPr>
              <w:jc w:val="center"/>
              <w:ind w:left="261"/>
              <w:spacing w:after="0"/>
              <w:rPr>
                <w:sz w:val="20"/>
                <w:szCs w:val="20"/>
                <w:color w:val="auto"/>
              </w:rPr>
            </w:pPr>
            <w:r>
              <w:rPr>
                <w:rFonts w:ascii="Arial" w:cs="Arial" w:eastAsia="Arial" w:hAnsi="Arial"/>
                <w:sz w:val="20"/>
                <w:szCs w:val="20"/>
                <w:color w:val="auto"/>
                <w:w w:val="88"/>
              </w:rPr>
              <w:t>35,000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3"/>
          </w:tcPr>
          <w:p>
            <w:pPr>
              <w:ind w:left="160"/>
              <w:spacing w:after="0"/>
              <w:rPr>
                <w:sz w:val="20"/>
                <w:szCs w:val="20"/>
                <w:color w:val="auto"/>
              </w:rPr>
            </w:pPr>
            <w:r>
              <w:rPr>
                <w:rFonts w:ascii="Arial" w:cs="Arial" w:eastAsia="Arial" w:hAnsi="Arial"/>
                <w:sz w:val="18"/>
                <w:szCs w:val="18"/>
                <w:color w:val="auto"/>
              </w:rPr>
              <w:t>Chief Medical Officer</w:t>
            </w:r>
          </w:p>
        </w:tc>
        <w:tc>
          <w:tcPr>
            <w:tcW w:w="1200" w:type="dxa"/>
            <w:vAlign w:val="bottom"/>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Benjamin C. Fordham, Executive Vice President, General</w:t>
            </w:r>
          </w:p>
        </w:tc>
        <w:tc>
          <w:tcPr>
            <w:tcW w:w="1200" w:type="dxa"/>
            <w:vAlign w:val="bottom"/>
            <w:gridSpan w:val="5"/>
            <w:vMerge w:val="restart"/>
            <w:shd w:val="clear" w:color="auto" w:fill="CCEEFF"/>
          </w:tcPr>
          <w:p>
            <w:pPr>
              <w:jc w:val="center"/>
              <w:ind w:left="326"/>
              <w:spacing w:after="0"/>
              <w:rPr>
                <w:sz w:val="20"/>
                <w:szCs w:val="20"/>
                <w:color w:val="auto"/>
              </w:rPr>
            </w:pPr>
            <w:r>
              <w:rPr>
                <w:rFonts w:ascii="Arial" w:cs="Arial" w:eastAsia="Arial" w:hAnsi="Arial"/>
                <w:sz w:val="20"/>
                <w:szCs w:val="20"/>
                <w:color w:val="auto"/>
                <w:w w:val="88"/>
              </w:rPr>
              <w:t>35,000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3"/>
            <w:vMerge w:val="restart"/>
            <w:shd w:val="clear" w:color="auto" w:fill="CCEEFF"/>
          </w:tcPr>
          <w:p>
            <w:pPr>
              <w:jc w:val="center"/>
              <w:ind w:left="261"/>
              <w:spacing w:after="0"/>
              <w:rPr>
                <w:sz w:val="20"/>
                <w:szCs w:val="20"/>
                <w:color w:val="auto"/>
              </w:rPr>
            </w:pPr>
            <w:r>
              <w:rPr>
                <w:rFonts w:ascii="Arial" w:cs="Arial" w:eastAsia="Arial" w:hAnsi="Arial"/>
                <w:sz w:val="20"/>
                <w:szCs w:val="20"/>
                <w:color w:val="auto"/>
                <w:w w:val="88"/>
              </w:rPr>
              <w:t>35,000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Counsel and Assistant Secretary</w:t>
            </w:r>
          </w:p>
        </w:tc>
        <w:tc>
          <w:tcPr>
            <w:tcW w:w="1200" w:type="dxa"/>
            <w:vAlign w:val="bottom"/>
            <w:gridSpan w:val="5"/>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gridSpan w:val="3"/>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number of performance-based restricted shares granted to each Named Executive Officer is subject to the attainment of certain performance objectives during the three-year period beginning January 1, 2018 and ending December 31, 2020, with the ultimate number of shares vesting in respect of such awards after such three-year period ranging from 0% to 200% of the shares set forth above based on the level of achievement of such performance objectives.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time-vesting restricted stock vests ratably over three years, beginning on the first anniversary of the grant date.</w:t>
      </w:r>
    </w:p>
    <w:p>
      <w:pPr>
        <w:sectPr>
          <w:pgSz w:w="11900" w:h="16838" w:orient="portrait"/>
          <w:cols w:equalWidth="0" w:num="1">
            <w:col w:w="11300"/>
          </w:cols>
          <w:pgMar w:left="240" w:top="274" w:right="359" w:bottom="1440" w:gutter="0" w:footer="0" w:header="0"/>
        </w:sectPr>
      </w:pPr>
    </w:p>
    <w:bookmarkStart w:id="3" w:name="page4"/>
    <w:bookmarkEnd w:id="3"/>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Designation of Certain Executive Officers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February 21, 2018, the Board of Directors of the Company designated Beryl O. Ramsey as an executive officer of the Company in conjunction with her promotion to division president. Ms. Ramsey has been overseeing the operations of the Company’s affiliated hospitals in one of its operating divisions on an interim basis following the retirement of one of its division presidents.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Ms. Ramsey, age 59, joined the Company in September 2015 as a vice president of division operations, supporting operations in affiliated hospitals in one of the Company’s operating divisions. In her role as division president, she oversees the operations of affiliated hospitals in Alaska, Arizona, Arkansas, Louisiana, Missouri, New Mexico, Oklahoma, and Texas. Ms. Ramsey has more than 25 years of for-profit and non-profit healthcare leadership experience. From 2009 until August 2015, Ms. Ramsey was a senior vice president at Houston Methodist, a non-profit health system comprised of a leading academic medical center in the Texas Medical Center and six community hospitals serving the Greater Houston, Texas area, where she also served as chief executive officer of Houston Methodist Willowbrook Hospital, a 312-bed full-service acute care hospital serving northwest Houston. Prior to that, Ms. Ramsey held chief executive officer and other senior management positions with various for-profit and non-profit hospitals in Texas and Louisiana, including 11 years with another hospital management company. She holds a master’s degree in business administration from The University of Houston and is a Fellow of the American College of Healthcare Executives.</w:t>
      </w:r>
    </w:p>
    <w:p>
      <w:pPr>
        <w:sectPr>
          <w:pgSz w:w="11900" w:h="16838" w:orient="portrait"/>
          <w:cols w:equalWidth="0" w:num="1">
            <w:col w:w="11380"/>
          </w:cols>
          <w:pgMar w:left="240" w:top="274"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Date: February 23, 2018</w:t>
            </w:r>
          </w:p>
        </w:tc>
        <w:tc>
          <w:tcPr>
            <w:tcW w:w="7580" w:type="dxa"/>
            <w:vAlign w:val="bottom"/>
            <w:gridSpan w:val="2"/>
          </w:tcPr>
          <w:p>
            <w:pPr>
              <w:ind w:left="2060"/>
              <w:spacing w:after="0"/>
              <w:rPr>
                <w:sz w:val="20"/>
                <w:szCs w:val="20"/>
                <w:color w:val="auto"/>
              </w:rPr>
            </w:pPr>
            <w:r>
              <w:rPr>
                <w:rFonts w:ascii="Arial" w:cs="Arial" w:eastAsia="Arial" w:hAnsi="Arial"/>
                <w:sz w:val="18"/>
                <w:szCs w:val="18"/>
                <w:color w:val="auto"/>
              </w:rPr>
              <w:t>COMMUNITY HEALTH SYSTEMS, INC.</w:t>
            </w:r>
          </w:p>
        </w:tc>
      </w:tr>
      <w:tr>
        <w:trPr>
          <w:trHeight w:val="230"/>
        </w:trPr>
        <w:tc>
          <w:tcPr>
            <w:tcW w:w="3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40" w:type="dxa"/>
            <w:vAlign w:val="bottom"/>
          </w:tcPr>
          <w:p>
            <w:pPr>
              <w:ind w:left="820"/>
              <w:spacing w:after="0"/>
              <w:rPr>
                <w:sz w:val="20"/>
                <w:szCs w:val="20"/>
                <w:color w:val="auto"/>
              </w:rPr>
            </w:pPr>
            <w:r>
              <w:rPr>
                <w:rFonts w:ascii="Arial" w:cs="Arial" w:eastAsia="Arial" w:hAnsi="Arial"/>
                <w:sz w:val="18"/>
                <w:szCs w:val="18"/>
                <w:color w:val="auto"/>
              </w:rPr>
              <w:t>(Registrant)</w:t>
            </w:r>
          </w:p>
        </w:tc>
      </w:tr>
      <w:tr>
        <w:trPr>
          <w:trHeight w:val="446"/>
        </w:trPr>
        <w:tc>
          <w:tcPr>
            <w:tcW w:w="3840" w:type="dxa"/>
            <w:vAlign w:val="bottom"/>
          </w:tcPr>
          <w:p>
            <w:pPr>
              <w:spacing w:after="0"/>
              <w:rPr>
                <w:sz w:val="24"/>
                <w:szCs w:val="24"/>
                <w:color w:val="auto"/>
              </w:rPr>
            </w:pPr>
          </w:p>
        </w:tc>
        <w:tc>
          <w:tcPr>
            <w:tcW w:w="7580" w:type="dxa"/>
            <w:vAlign w:val="bottom"/>
            <w:gridSpan w:val="2"/>
          </w:tcPr>
          <w:p>
            <w:pPr>
              <w:ind w:left="2060"/>
              <w:spacing w:after="0"/>
              <w:rPr>
                <w:sz w:val="20"/>
                <w:szCs w:val="20"/>
                <w:color w:val="auto"/>
              </w:rPr>
            </w:pPr>
            <w:r>
              <w:rPr>
                <w:rFonts w:ascii="Arial" w:cs="Arial" w:eastAsia="Arial" w:hAnsi="Arial"/>
                <w:sz w:val="18"/>
                <w:szCs w:val="18"/>
                <w:color w:val="auto"/>
              </w:rPr>
              <w:t>By:  /s/ Wayne T. Smith</w:t>
            </w:r>
          </w:p>
        </w:tc>
      </w:tr>
      <w:tr>
        <w:trPr>
          <w:trHeight w:val="195"/>
        </w:trPr>
        <w:tc>
          <w:tcPr>
            <w:tcW w:w="38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Wayne T. Smith</w:t>
            </w:r>
          </w:p>
        </w:tc>
      </w:tr>
      <w:tr>
        <w:trPr>
          <w:trHeight w:val="216"/>
        </w:trPr>
        <w:tc>
          <w:tcPr>
            <w:tcW w:w="38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3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2019-12-06T15:47:02Z</dcterms:created>
  <dcterms:modified xsi:type="dcterms:W3CDTF">2019-12-06T15:47:02Z</dcterms:modified>
</cp:coreProperties>
</file>