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COMMUNITY HEALTH SYSTEMS,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001-15925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13-3893191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4000 Meridian Boulevard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Franklin, Tennessee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465-7000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color w:val="auto"/>
        </w:rPr>
        <w:t>At the Annual Meeting of the Stockholders (the “Annual Meeting”) of Community Health Systems, Inc. (the “Company”) held on May 12, 2026, the Company’s stockholders voted on three proposals, each of which is described more fully in the Company’s Proxy Statement for the Annual Meeting filed with the Securities and Exchange Commission on April 2, 2026. The following describes the matters that were submitted to the vote of the stockholders of the Company at the Annual Meeting and the result of the votes on these matters:</w:t>
      </w:r>
    </w:p>
    <w:p>
      <w:pPr>
        <w:spacing w:after="0" w:line="180" w:lineRule="exact"/>
        <w:rPr>
          <w:sz w:val="20"/>
          <w:szCs w:val="20"/>
          <w:color w:val="auto"/>
        </w:rPr>
      </w:pPr>
    </w:p>
    <w:p>
      <w:pPr>
        <w:ind w:right="580" w:firstLine="382"/>
        <w:spacing w:after="0" w:line="282" w:lineRule="auto"/>
        <w:tabs>
          <w:tab w:leader="none" w:pos="6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each of the following persons as a director of the Company for a term that expires at the Company’s 2027 annual meeting of stockholders and until his or her respective successor has been elected and has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17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 w:type="dxa"/>
            <w:vAlign w:val="bottom"/>
          </w:tcPr>
          <w:p>
            <w:pPr>
              <w:spacing w:after="0"/>
              <w:rPr>
                <w:sz w:val="20"/>
                <w:szCs w:val="20"/>
                <w:color w:val="auto"/>
              </w:rPr>
            </w:pPr>
          </w:p>
        </w:tc>
        <w:tc>
          <w:tcPr>
            <w:tcW w:w="2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38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 Susan W. Brooks</w:t>
            </w:r>
          </w:p>
        </w:tc>
        <w:tc>
          <w:tcPr>
            <w:tcW w:w="280" w:type="dxa"/>
            <w:vAlign w:val="bottom"/>
          </w:tcPr>
          <w:p>
            <w:pPr>
              <w:spacing w:after="0"/>
              <w:rPr>
                <w:sz w:val="16"/>
                <w:szCs w:val="16"/>
                <w:color w:val="auto"/>
              </w:rPr>
            </w:pPr>
          </w:p>
        </w:tc>
        <w:tc>
          <w:tcPr>
            <w:tcW w:w="17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81,095,873</w:t>
            </w:r>
          </w:p>
        </w:tc>
        <w:tc>
          <w:tcPr>
            <w:tcW w:w="260" w:type="dxa"/>
            <w:vAlign w:val="bottom"/>
          </w:tcPr>
          <w:p>
            <w:pPr>
              <w:spacing w:after="0"/>
              <w:rPr>
                <w:sz w:val="16"/>
                <w:szCs w:val="16"/>
                <w:color w:val="auto"/>
              </w:rPr>
            </w:pP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2,891,262</w:t>
            </w:r>
          </w:p>
        </w:tc>
        <w:tc>
          <w:tcPr>
            <w:tcW w:w="280" w:type="dxa"/>
            <w:vAlign w:val="bottom"/>
          </w:tcPr>
          <w:p>
            <w:pPr>
              <w:spacing w:after="0"/>
              <w:rPr>
                <w:sz w:val="16"/>
                <w:szCs w:val="16"/>
                <w:color w:val="auto"/>
              </w:rPr>
            </w:pPr>
          </w:p>
        </w:tc>
        <w:tc>
          <w:tcPr>
            <w:tcW w:w="11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68,228</w:t>
            </w:r>
          </w:p>
        </w:tc>
        <w:tc>
          <w:tcPr>
            <w:tcW w:w="280" w:type="dxa"/>
            <w:vAlign w:val="bottom"/>
          </w:tcPr>
          <w:p>
            <w:pPr>
              <w:spacing w:after="0"/>
              <w:rPr>
                <w:sz w:val="16"/>
                <w:szCs w:val="16"/>
                <w:color w:val="auto"/>
              </w:rPr>
            </w:pPr>
          </w:p>
        </w:tc>
        <w:tc>
          <w:tcPr>
            <w:tcW w:w="21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Lt. Gen. Ronald L. Burgess, Jr.</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83,645,103</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359,126</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51,134</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 John A. Clerico</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83,505,387</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497,636</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52,340</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Michael Dinkins</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83,513,832</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490,398</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51,133</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 James S. Ely III</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83,500,803</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502,207</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52,353</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 John A. Fry</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82,997,112</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1,006,438</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51,813</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 Kevin J. Hammons</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83,604,879</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417,857</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32,627</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 Joseph A. Hastings, D.M.D.</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83,653,444</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358,347</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43,572</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 Elizabeth T. Hirsch</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83,640,131</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365,264</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49,968</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 William Norris Jennings, M.D.</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83,228,046</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778,850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48,467</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 K. Ranga Krishnan, MBBS</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83,223,787</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766,268</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65,308</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 Fawn D. Lopez</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83,268,829</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717,430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69,104</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 Wayne T. Smith</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83,441,645</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574,079</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39,639</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r>
        <w:trPr>
          <w:trHeight w:val="234"/>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 H. James Williams, Ph.D.</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83,599,759</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404,118</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51,486</w:t>
            </w:r>
          </w:p>
        </w:tc>
        <w:tc>
          <w:tcPr>
            <w:tcW w:w="2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27,004,521</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 The stockholders approved the non-binding advisory resolution regarding the compensation of the Company’s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20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80" w:type="dxa"/>
            <w:vAlign w:val="bottom"/>
          </w:tcPr>
          <w:p>
            <w:pPr>
              <w:spacing w:after="0"/>
              <w:rPr>
                <w:sz w:val="20"/>
                <w:szCs w:val="20"/>
                <w:color w:val="auto"/>
              </w:rPr>
            </w:pPr>
          </w:p>
        </w:tc>
        <w:tc>
          <w:tcPr>
            <w:tcW w:w="20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500" w:type="dxa"/>
            <w:vAlign w:val="bottom"/>
          </w:tcPr>
          <w:p>
            <w:pPr>
              <w:spacing w:after="0"/>
              <w:rPr>
                <w:sz w:val="20"/>
                <w:szCs w:val="20"/>
                <w:color w:val="auto"/>
              </w:rPr>
            </w:pPr>
          </w:p>
        </w:tc>
        <w:tc>
          <w:tcPr>
            <w:tcW w:w="25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81,701,049</w:t>
            </w:r>
          </w:p>
        </w:tc>
        <w:tc>
          <w:tcPr>
            <w:tcW w:w="380" w:type="dxa"/>
            <w:vAlign w:val="bottom"/>
          </w:tcPr>
          <w:p>
            <w:pPr>
              <w:spacing w:after="0"/>
              <w:rPr>
                <w:sz w:val="19"/>
                <w:szCs w:val="19"/>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1,814,301</w:t>
            </w:r>
          </w:p>
        </w:tc>
        <w:tc>
          <w:tcPr>
            <w:tcW w:w="480" w:type="dxa"/>
            <w:vAlign w:val="bottom"/>
          </w:tcPr>
          <w:p>
            <w:pPr>
              <w:spacing w:after="0"/>
              <w:rPr>
                <w:sz w:val="19"/>
                <w:szCs w:val="19"/>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540,013</w:t>
            </w:r>
          </w:p>
        </w:tc>
        <w:tc>
          <w:tcPr>
            <w:tcW w:w="500" w:type="dxa"/>
            <w:vAlign w:val="bottom"/>
          </w:tcPr>
          <w:p>
            <w:pPr>
              <w:spacing w:after="0"/>
              <w:rPr>
                <w:sz w:val="19"/>
                <w:szCs w:val="19"/>
                <w:color w:val="auto"/>
              </w:rPr>
            </w:pPr>
          </w:p>
        </w:tc>
        <w:tc>
          <w:tcPr>
            <w:tcW w:w="2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27,004,521</w:t>
            </w:r>
          </w:p>
        </w:tc>
      </w:tr>
    </w:tbl>
    <w:p>
      <w:pPr>
        <w:spacing w:after="0" w:line="179" w:lineRule="exact"/>
        <w:rPr>
          <w:sz w:val="20"/>
          <w:szCs w:val="20"/>
          <w:color w:val="auto"/>
        </w:rPr>
      </w:pPr>
    </w:p>
    <w:p>
      <w:pPr>
        <w:ind w:right="380" w:firstLine="382"/>
        <w:spacing w:after="0" w:line="282" w:lineRule="auto"/>
        <w:tabs>
          <w:tab w:leader="none" w:pos="6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20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80" w:type="dxa"/>
            <w:vAlign w:val="bottom"/>
          </w:tcPr>
          <w:p>
            <w:pPr>
              <w:spacing w:after="0"/>
              <w:rPr>
                <w:sz w:val="20"/>
                <w:szCs w:val="20"/>
                <w:color w:val="auto"/>
              </w:rPr>
            </w:pPr>
          </w:p>
        </w:tc>
        <w:tc>
          <w:tcPr>
            <w:tcW w:w="20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50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110,561,632</w:t>
            </w:r>
          </w:p>
        </w:tc>
        <w:tc>
          <w:tcPr>
            <w:tcW w:w="380" w:type="dxa"/>
            <w:vAlign w:val="bottom"/>
          </w:tcPr>
          <w:p>
            <w:pPr>
              <w:spacing w:after="0"/>
              <w:rPr>
                <w:sz w:val="19"/>
                <w:szCs w:val="19"/>
                <w:color w:val="auto"/>
              </w:rPr>
            </w:pPr>
          </w:p>
        </w:tc>
        <w:tc>
          <w:tcPr>
            <w:tcW w:w="2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351,405</w:t>
            </w:r>
          </w:p>
        </w:tc>
        <w:tc>
          <w:tcPr>
            <w:tcW w:w="480" w:type="dxa"/>
            <w:vAlign w:val="bottom"/>
          </w:tcPr>
          <w:p>
            <w:pPr>
              <w:spacing w:after="0"/>
              <w:rPr>
                <w:sz w:val="19"/>
                <w:szCs w:val="19"/>
                <w:color w:val="auto"/>
              </w:rPr>
            </w:pPr>
          </w:p>
        </w:tc>
        <w:tc>
          <w:tcPr>
            <w:tcW w:w="2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146,847</w:t>
            </w:r>
          </w:p>
        </w:tc>
        <w:tc>
          <w:tcPr>
            <w:tcW w:w="500" w:type="dxa"/>
            <w:vAlign w:val="bottom"/>
          </w:tcPr>
          <w:p>
            <w:pPr>
              <w:spacing w:after="0"/>
              <w:rPr>
                <w:sz w:val="19"/>
                <w:szCs w:val="19"/>
                <w:color w:val="auto"/>
              </w:rPr>
            </w:pPr>
          </w:p>
        </w:tc>
        <w:tc>
          <w:tcPr>
            <w:tcW w:w="25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tcPr>
          <w:p>
            <w:pPr>
              <w:spacing w:after="0"/>
              <w:rPr>
                <w:sz w:val="19"/>
                <w:szCs w:val="19"/>
                <w:color w:val="auto"/>
              </w:rPr>
            </w:pPr>
          </w:p>
        </w:tc>
      </w:tr>
      <w:tr>
        <w:trPr>
          <w:trHeight w:val="1177"/>
        </w:trPr>
        <w:tc>
          <w:tcPr>
            <w:tcW w:w="1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COMMUNITY HEALTH SYSTEMS, INC.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(Registrant)</w:t>
      </w:r>
    </w:p>
    <w:p>
      <w:pPr>
        <w:spacing w:after="0" w:line="355" w:lineRule="exact"/>
        <w:rPr>
          <w:sz w:val="20"/>
          <w:szCs w:val="20"/>
          <w:color w:val="auto"/>
        </w:rPr>
      </w:pPr>
    </w:p>
    <w:p>
      <w:pPr>
        <w:spacing w:after="0"/>
        <w:tabs>
          <w:tab w:leader="none" w:pos="660" w:val="left"/>
          <w:tab w:leader="none" w:pos="5620" w:val="left"/>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G.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Christopher G. Cobb</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 Legal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2026-05-13T15:36:11Z</dcterms:created>
  <dcterms:modified xsi:type="dcterms:W3CDTF">2026-05-13T15:36:11Z</dcterms:modified>
</cp:coreProperties>
</file>