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cyh-20260630.htm"/>
      <w:bookmarkStart w:id="1" w:name="kscyh20260630"/>
      <w:bookmarkEnd w:id="0"/>
      <w:bookmarkEnd w:id="1"/>
      <w:r>
        <w:rPr/>
        <w:t> </w:t>
      </w:r>
    </w:p>
    <w:p>
      <w:pPr>
        <w:pStyle w:val="TextBody"/>
        <w:bidi w:val="0"/>
        <w:spacing w:before="40" w:after="283"/>
        <w:jc w:val="center"/>
        <w:rPr>
          <w:rFonts w:ascii="Times New Roman" w:hAnsi="Times New Roman"/>
          <w:b/>
          <w:color w:val="000000"/>
          <w:sz w:val="27"/>
        </w:rPr>
      </w:pPr>
      <w:r>
        <w:rPr>
          <w:rFonts w:ascii="Times New Roman" w:hAnsi="Times New Roman"/>
          <w:b/>
          <w:color w:val="000000"/>
          <w:sz w:val="27"/>
        </w:rPr>
        <w:t>UNITED STATES</w:t>
      </w:r>
    </w:p>
    <w:p>
      <w:pPr>
        <w:pStyle w:val="TextBody"/>
        <w:bidi w:val="0"/>
        <w:spacing w:before="40" w:after="283"/>
        <w:jc w:val="center"/>
        <w:rPr>
          <w:rFonts w:ascii="Times New Roman" w:hAnsi="Times New Roman"/>
          <w:sz w:val="20"/>
        </w:rPr>
      </w:pPr>
      <w:r>
        <w:rPr>
          <w:rFonts w:ascii="Times New Roman" w:hAnsi="Times New Roman"/>
          <w:b/>
          <w:color w:val="000000"/>
          <w:sz w:val="27"/>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QUARTERLY REPORT PURSUANT TO SECTION 13 OR 15(d) OF THE SECURITIES EXCHANGE ACT OF 1934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quarterly period ended June 30,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b/>
                <w:color w:val="000000"/>
                <w:sz w:val="19"/>
              </w:rPr>
              <w:t>TRANSITION</w:t>
            </w:r>
            <w:r>
              <w:rPr>
                <w:rFonts w:ascii="Times New Roman" w:hAnsi="Times New Roman"/>
                <w:color w:val="000000"/>
                <w:sz w:val="19"/>
              </w:rPr>
              <w:t xml:space="preserve"> </w:t>
            </w:r>
            <w:r>
              <w:rPr>
                <w:rFonts w:ascii="Times New Roman" w:hAnsi="Times New Roman"/>
                <w:b/>
                <w:color w:val="000000"/>
                <w:sz w:val="19"/>
              </w:rPr>
              <w:t>REPORT PURSUANT TO SECTION 13 OR 15(d) OF THE SECURITIES EXCHANGE ACT OF 1934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transition period from ___________ to ________</w:t>
      </w:r>
    </w:p>
    <w:p>
      <w:pPr>
        <w:pStyle w:val="TextBody"/>
        <w:bidi w:val="0"/>
        <w:jc w:val="center"/>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001-15925</w:t>
      </w:r>
    </w:p>
    <w:p>
      <w:pPr>
        <w:pStyle w:val="TextBody"/>
        <w:bidi w:val="0"/>
        <w:spacing w:before="120" w:after="283"/>
        <w:jc w:val="center"/>
        <w:rPr>
          <w:rFonts w:ascii="Times New Roman" w:hAnsi="Times New Roman"/>
          <w:sz w:val="20"/>
        </w:rPr>
      </w:pPr>
      <w:r>
        <w:rPr>
          <w:rFonts w:ascii="Times New Roman" w:hAnsi="Times New Roman"/>
          <w:b/>
          <w:color w:val="000000"/>
          <w:sz w:val="48"/>
        </w:rPr>
        <w:t>COMMUNITY HEALTH SYSTEMS, INC.</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i/>
          <w:color w:val="000000"/>
          <w:sz w:val="18"/>
        </w:rPr>
        <w:t>(Exact name of registrant as specified in its charter)</w:t>
      </w:r>
      <w:r>
        <w:rPr>
          <w:rFonts w:ascii="Times New Roman" w:hAnsi="Times New Roman"/>
          <w:color w:val="000000"/>
          <w:sz w:val="20"/>
        </w:rPr>
        <w:t xml:space="preserve"> </w:t>
      </w:r>
    </w:p>
    <w:tbl>
      <w:tblPr>
        <w:tblW w:w="4517" w:type="dxa"/>
        <w:jc w:val="left"/>
        <w:tblInd w:w="0" w:type="dxa"/>
        <w:tblLayout w:type="fixed"/>
        <w:tblCellMar>
          <w:top w:w="28" w:type="dxa"/>
          <w:left w:w="28" w:type="dxa"/>
          <w:bottom w:w="28" w:type="dxa"/>
          <w:right w:w="28" w:type="dxa"/>
        </w:tblCellMar>
      </w:tblPr>
      <w:tblGrid>
        <w:gridCol w:w="2791"/>
        <w:gridCol w:w="1726"/>
      </w:tblGrid>
      <w:tr>
        <w:trPr/>
        <w:tc>
          <w:tcPr>
            <w:tcW w:w="279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13-3893191</w:t>
            </w:r>
          </w:p>
        </w:tc>
      </w:tr>
      <w:tr>
        <w:trPr/>
        <w:tc>
          <w:tcPr>
            <w:tcW w:w="2791"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16"/>
              </w:rPr>
            </w:pPr>
            <w:r>
              <w:rPr>
                <w:rFonts w:ascii="Times New Roman" w:hAnsi="Times New Roman"/>
                <w:i/>
                <w:color w:val="000000"/>
                <w:sz w:val="16"/>
              </w:rPr>
              <w:t>(State or other jurisdiction of</w:t>
            </w:r>
          </w:p>
          <w:p>
            <w:pPr>
              <w:pStyle w:val="TableContents"/>
              <w:bidi w:val="0"/>
              <w:spacing w:before="0" w:after="20"/>
              <w:jc w:val="center"/>
              <w:rPr>
                <w:rFonts w:ascii="Times New Roman" w:hAnsi="Times New Roman"/>
                <w:i/>
                <w:color w:val="000000"/>
                <w:sz w:val="16"/>
              </w:rPr>
            </w:pPr>
            <w:r>
              <w:rPr>
                <w:rFonts w:ascii="Times New Roman" w:hAnsi="Times New Roman"/>
                <w:i/>
                <w:color w:val="000000"/>
                <w:sz w:val="16"/>
              </w:rPr>
              <w:t>incorporation or organization)</w:t>
            </w:r>
          </w:p>
        </w:tc>
        <w:tc>
          <w:tcPr>
            <w:tcW w:w="172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16"/>
              </w:rPr>
            </w:pPr>
            <w:r>
              <w:rPr>
                <w:rFonts w:ascii="Times New Roman" w:hAnsi="Times New Roman"/>
                <w:i/>
                <w:color w:val="000000"/>
                <w:sz w:val="16"/>
              </w:rPr>
              <w:t>(I.R.S. Employer</w:t>
            </w:r>
          </w:p>
          <w:p>
            <w:pPr>
              <w:pStyle w:val="TableContents"/>
              <w:bidi w:val="0"/>
              <w:spacing w:before="0" w:after="20"/>
              <w:jc w:val="center"/>
              <w:rPr>
                <w:rFonts w:ascii="Times New Roman" w:hAnsi="Times New Roman"/>
                <w:i/>
                <w:color w:val="000000"/>
                <w:sz w:val="16"/>
              </w:rPr>
            </w:pPr>
            <w:r>
              <w:rPr>
                <w:rFonts w:ascii="Times New Roman" w:hAnsi="Times New Roman"/>
                <w:i/>
                <w:color w:val="000000"/>
                <w:sz w:val="16"/>
              </w:rPr>
              <w:t>Identification Number)</w:t>
            </w:r>
          </w:p>
        </w:tc>
      </w:tr>
      <w:tr>
        <w:trPr/>
        <w:tc>
          <w:tcPr>
            <w:tcW w:w="2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4000 Meridian Boulevard</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Franklin, Tennessee</w:t>
            </w:r>
          </w:p>
        </w:tc>
        <w:tc>
          <w:tcPr>
            <w:tcW w:w="17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37067</w:t>
            </w:r>
          </w:p>
          <w:p>
            <w:pPr>
              <w:pStyle w:val="TableContents"/>
              <w:bidi w:val="0"/>
              <w:spacing w:before="0" w:after="20"/>
              <w:jc w:val="center"/>
              <w:rPr>
                <w:rFonts w:ascii="Times New Roman" w:hAnsi="Times New Roman"/>
                <w:i/>
                <w:color w:val="000000"/>
                <w:sz w:val="16"/>
              </w:rPr>
            </w:pPr>
            <w:r>
              <w:rPr>
                <w:rFonts w:ascii="Times New Roman" w:hAnsi="Times New Roman"/>
                <w:i/>
                <w:color w:val="000000"/>
                <w:sz w:val="16"/>
              </w:rPr>
              <w:t>(Zip Code)</w:t>
            </w:r>
          </w:p>
        </w:tc>
      </w:tr>
      <w:tr>
        <w:trPr/>
        <w:tc>
          <w:tcPr>
            <w:tcW w:w="27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16"/>
              </w:rPr>
            </w:pPr>
            <w:r>
              <w:rPr>
                <w:rFonts w:ascii="Times New Roman" w:hAnsi="Times New Roman"/>
                <w:i/>
                <w:color w:val="000000"/>
                <w:sz w:val="16"/>
              </w:rPr>
              <w:t>(Address of principal executive offices)</w:t>
            </w:r>
          </w:p>
        </w:tc>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615-465-7000</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i/>
          <w:color w:val="000000"/>
          <w:sz w:val="20"/>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0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621"/>
        <w:gridCol w:w="3706"/>
      </w:tblGrid>
      <w:tr>
        <w:trPr/>
        <w:tc>
          <w:tcPr>
            <w:tcW w:w="27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$0.01 par value</w:t>
            </w:r>
          </w:p>
        </w:tc>
        <w:tc>
          <w:tcPr>
            <w:tcW w:w="162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CYH</w:t>
            </w:r>
          </w:p>
        </w:tc>
        <w:tc>
          <w:tcPr>
            <w:tcW w:w="370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6438" w:type="dxa"/>
        <w:jc w:val="left"/>
        <w:tblInd w:w="0" w:type="dxa"/>
        <w:tblLayout w:type="fixed"/>
        <w:tblCellMar>
          <w:top w:w="28" w:type="dxa"/>
          <w:left w:w="28" w:type="dxa"/>
          <w:bottom w:w="28" w:type="dxa"/>
          <w:right w:w="28" w:type="dxa"/>
        </w:tblCellMar>
      </w:tblPr>
      <w:tblGrid>
        <w:gridCol w:w="2146"/>
        <w:gridCol w:w="1711"/>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Accelerated filer ☑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1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8"/>
        </w:rPr>
        <w:t>As of July 16, 2026, there were 141,009,357</w:t>
      </w:r>
      <w:r>
        <w:rPr>
          <w:rFonts w:ascii="Times New Roman" w:hAnsi="Times New Roman"/>
          <w:color w:val="000000"/>
          <w:sz w:val="20"/>
        </w:rPr>
        <w:t xml:space="preserve"> </w:t>
      </w:r>
      <w:r>
        <w:rPr>
          <w:rFonts w:ascii="Times New Roman" w:hAnsi="Times New Roman"/>
          <w:color w:val="000000"/>
          <w:sz w:val="18"/>
        </w:rPr>
        <w:t>shares outstanding of the Registrant’s Common Stock, $0.01 par value.</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Community Health Systems,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
        <w:gridCol w:w="146"/>
        <w:gridCol w:w="706"/>
        <w:gridCol w:w="146"/>
        <w:gridCol w:w="7870"/>
        <w:gridCol w:w="146"/>
        <w:gridCol w:w="543"/>
      </w:tblGrid>
      <w:tr>
        <w:trPr/>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income">
              <w:r>
                <w:rPr>
                  <w:rStyle w:val="InternetLink"/>
                  <w:rFonts w:ascii="Times New Roman" w:hAnsi="Times New Roman"/>
                  <w:color w:val="0000FF"/>
                  <w:sz w:val="20"/>
                  <w:u w:val="single"/>
                </w:rPr>
                <w:t>Condensed Consolidated Statements of Income – Three and Six Months Ended June 30, 2026 and June 30,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Income – Three and Six Months Ended June 30, 2026 and June 30,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 June 30, 2026 and December 31,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 Six Months Ended June 30, 2026 and June 30,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condensed_consolidated_notes">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2"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2_unregistered_sale_equity_securiti">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16" w:type="dxa"/>
            <w:gridSpan w:val="5"/>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COMMUNITY HEALTH SYSTEMS, INC. AND SUBSIDIARIES</w:t>
      </w:r>
    </w:p>
    <w:p>
      <w:pPr>
        <w:pStyle w:val="TextBody"/>
        <w:bidi w:val="0"/>
        <w:jc w:val="center"/>
        <w:rPr>
          <w:rFonts w:ascii="Times New Roman" w:hAnsi="Times New Roman"/>
          <w:sz w:val="20"/>
        </w:rPr>
      </w:pPr>
      <w:bookmarkStart w:id="2" w:name="condensed_consolidated_statements_income"/>
      <w:bookmarkEnd w:id="2"/>
      <w:r>
        <w:rPr>
          <w:rFonts w:ascii="Times New Roman" w:hAnsi="Times New Roman"/>
          <w:b/>
          <w:color w:val="000000"/>
          <w:sz w:val="20"/>
        </w:rPr>
        <w:t>CONDENSED CONSOLIDATED STATEMENTS OF INCOME</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146"/>
        <w:gridCol w:w="211"/>
        <w:gridCol w:w="1141"/>
        <w:gridCol w:w="166"/>
        <w:gridCol w:w="146"/>
        <w:gridCol w:w="211"/>
        <w:gridCol w:w="1141"/>
        <w:gridCol w:w="166"/>
        <w:gridCol w:w="146"/>
        <w:gridCol w:w="211"/>
        <w:gridCol w:w="1141"/>
        <w:gridCol w:w="166"/>
        <w:gridCol w:w="146"/>
        <w:gridCol w:w="211"/>
        <w:gridCol w:w="1141"/>
        <w:gridCol w:w="611"/>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cost and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and (gain) loss on sale of businesses,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from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Community Health Systems,</w:t>
              <w:br/>
              <w:t>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Earnings per share attributable to Community Health</w:t>
              <w:br/>
              <w:t>   Systems,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135,494,789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133,763,733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134,958,950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133,322,663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136,505,102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134,882,981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135,872,382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134,174,794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COMMUNITY HEALTH SYSTEMS, INC. AND SUBSIDIARIES</w:t>
      </w:r>
    </w:p>
    <w:p>
      <w:pPr>
        <w:pStyle w:val="TextBody"/>
        <w:bidi w:val="0"/>
        <w:jc w:val="center"/>
        <w:rPr>
          <w:rFonts w:ascii="Times New Roman" w:hAnsi="Times New Roman"/>
          <w:sz w:val="20"/>
        </w:rPr>
      </w:pPr>
      <w:bookmarkStart w:id="3" w:name="condensed_consolidated_statements_compre"/>
      <w:bookmarkEnd w:id="3"/>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COMPREHENSIVE INCOME</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9717" w:type="dxa"/>
        <w:jc w:val="left"/>
        <w:tblInd w:w="0" w:type="dxa"/>
        <w:tblLayout w:type="fixed"/>
        <w:tblCellMar>
          <w:top w:w="28" w:type="dxa"/>
          <w:left w:w="28" w:type="dxa"/>
          <w:bottom w:w="28" w:type="dxa"/>
          <w:right w:w="28" w:type="dxa"/>
        </w:tblCellMar>
      </w:tblPr>
      <w:tblGrid>
        <w:gridCol w:w="5181"/>
        <w:gridCol w:w="146"/>
        <w:gridCol w:w="251"/>
        <w:gridCol w:w="501"/>
        <w:gridCol w:w="197"/>
        <w:gridCol w:w="173"/>
        <w:gridCol w:w="251"/>
        <w:gridCol w:w="501"/>
        <w:gridCol w:w="146"/>
        <w:gridCol w:w="146"/>
        <w:gridCol w:w="234"/>
        <w:gridCol w:w="351"/>
        <w:gridCol w:w="184"/>
        <w:gridCol w:w="162"/>
        <w:gridCol w:w="234"/>
        <w:gridCol w:w="468"/>
        <w:gridCol w:w="591"/>
      </w:tblGrid>
      <w:tr>
        <w:trPr/>
        <w:tc>
          <w:tcPr>
            <w:tcW w:w="5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fair value of available-for-sale debt securities,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income attributable to noncontrolling</w:t>
              <w:br/>
              <w: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Community Health</w:t>
              <w:br/>
              <w:t>   Systems,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COMMUNITY HEALTH SYSTEMS, INC. AND SUBSIDIARIES</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4"/>
        <w:gridCol w:w="146"/>
        <w:gridCol w:w="211"/>
        <w:gridCol w:w="676"/>
        <w:gridCol w:w="166"/>
        <w:gridCol w:w="146"/>
        <w:gridCol w:w="295"/>
        <w:gridCol w:w="949"/>
        <w:gridCol w:w="612"/>
      </w:tblGrid>
      <w:tr>
        <w:trPr/>
        <w:tc>
          <w:tcPr>
            <w:tcW w:w="7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Patient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Redeemable noncontrolling interests in equity of 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Community Health Systems, Inc.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per share, 100,000,000 shares authorized; none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$0.01 par value per share, 300,000,000 shares authorized; </w:t>
              <w:br/>
              <w:t xml:space="preserve">   141,010,284 shares issued and outstanding at June 30, 2026, and </w:t>
              <w:br/>
              <w:t>   138,626,917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Community Health Systems, Inc.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Noncontrolling interests in equity of 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COMMUNITY HEALTH SYSTEMS, INC. AND SUBSIDIARIES</w:t>
      </w:r>
    </w:p>
    <w:p>
      <w:pPr>
        <w:pStyle w:val="TextBody"/>
        <w:bidi w:val="0"/>
        <w:jc w:val="center"/>
        <w:rPr>
          <w:rFonts w:ascii="Times New Roman" w:hAnsi="Times New Roman"/>
          <w:b/>
          <w:color w:val="000000"/>
          <w:sz w:val="20"/>
        </w:rPr>
      </w:pPr>
      <w:bookmarkStart w:id="5" w:name="condensed_consolidated_statements_cash_f"/>
      <w:bookmarkEnd w:id="5"/>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9549" w:type="dxa"/>
        <w:jc w:val="left"/>
        <w:tblInd w:w="0" w:type="dxa"/>
        <w:tblLayout w:type="fixed"/>
        <w:tblCellMar>
          <w:top w:w="28" w:type="dxa"/>
          <w:left w:w="28" w:type="dxa"/>
          <w:bottom w:w="28" w:type="dxa"/>
          <w:right w:w="28" w:type="dxa"/>
        </w:tblCellMar>
      </w:tblPr>
      <w:tblGrid>
        <w:gridCol w:w="6746"/>
        <w:gridCol w:w="146"/>
        <w:gridCol w:w="196"/>
        <w:gridCol w:w="571"/>
        <w:gridCol w:w="166"/>
        <w:gridCol w:w="146"/>
        <w:gridCol w:w="196"/>
        <w:gridCol w:w="571"/>
        <w:gridCol w:w="811"/>
      </w:tblGrid>
      <w:tr>
        <w:trPr/>
        <w:tc>
          <w:tcPr>
            <w:tcW w:w="6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and (gain) loss on sale of businesses,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(gain) from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non-cash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 net of effects of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Patient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Supplies,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accrued liabilities and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facilities and other related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disposition of hospitals and other ancillary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available-for-sale debt securities and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available-for-sale debt securities and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investments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restricted stock shares for payroll tax withholding requirements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costs and other debt-related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noncontrolling investors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investors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ABL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payments,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10" w:after="283"/>
        <w:jc w:val="left"/>
        <w:rPr/>
      </w:pPr>
      <w:r>
        <w:rPr/>
        <w:t> </w:t>
      </w:r>
    </w:p>
    <w:p>
      <w:pPr>
        <w:pStyle w:val="TextBody"/>
        <w:bidi w:val="0"/>
        <w:spacing w:before="1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pPr>
      <w:r>
        <w:rPr/>
        <w:t> </w:t>
      </w:r>
    </w:p>
    <w:p>
      <w:pPr>
        <w:pStyle w:val="TextBody"/>
        <w:bidi w:val="0"/>
        <w:spacing w:before="10" w:after="283"/>
        <w:jc w:val="left"/>
        <w:rPr>
          <w:rFonts w:ascii="Times New Roman" w:hAnsi="Times New Roman"/>
          <w:sz w:val="20"/>
        </w:rPr>
      </w:pPr>
      <w:bookmarkStart w:id="6" w:name="condensed_consolidated_notes"/>
      <w:bookmarkEnd w:id="6"/>
      <w:r>
        <w:rPr>
          <w:rFonts w:ascii="Times New Roman" w:hAnsi="Times New Roman"/>
          <w:b/>
          <w:color w:val="000000"/>
          <w:sz w:val="20"/>
        </w:rPr>
        <w:t>1. BASIS OF PRESENTATION AND SIGNIFICANT ACCOUNTING POLICIES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of Community Health Systems, Inc. (the “Parent Company”) and its subsidiaries (together with the Parent Company, the “Company”) as of June 30, 2026 and December 31, 2025 and for the three- and six-month periods ended June 30, 2026 and 2025, have been prepared in accordance with accounting principles generally accepted in the United States of America (“U.S. GAAP”). In the opinion of management, such information contains all adjustments, consisting only of normal recurring adjustments, necessary for a fair presentation of the results for such periods. All intercompany transactions and balances have been eliminated. The results of operations for the three and six months ended June 30, 2026, are not necessarily indicative of the results to be expected for the full fiscal year ending December 31, 2026. The preparation of financial statements in conformity with U.S. GAAP requires management to make estimates and assumptions that affect the amounts reported in the condensed consolidated financial statements. Actual results could differ from these estimates under different assumptions or conditions.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Certain information and disclosures normally included in the notes to the consolidated financial statements have been condensed or omitted as permitted by the rules and regulations of the Securities and Exchange Commission (the “SEC”). The Company believes the disclosures are adequate to make the information presented not misleading. The accompanying unaudited condensed consolidated financial statements should be read in conjunction with the consolidated financial statements and notes thereto for the year ended December 31, 2025, contained in the Company’s Annual Report on Form 10-K filed with the SEC on February 19, 2026 (“2025 Form 10-K”).</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Noncontrolling interests in less-than-wholly-owned consolidated subsidiaries of the Parent Company are presented as a component of total equity in the condensed consolidated balance sheets to distinguish between the interests of the Parent Company and the interests of the noncontrolling owners. Noncontrolling interests that are redeemable or may become redeemable at a fixed or determinable price at the option of the holder or upon the occurrence of an event outside of the control of the Company are presented in mezzanine equity in the condensed consolidated balance sheets.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Substantially all of the Company’s operating expenses are “cost of revenue” items. Operating expenses that could be classified as general and administrative by the Company include the Company’s corporate office costs at its Franklin, Tennessee office, which were $65 million and $69 million for the three months ended June 30, 2026 and 2025, respectively, and $113 million and $138 million for the six months ended June 30, 2026 and 2025, respectively.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Throughout these notes to the unaudited condensed consolidated financial statements, Community Health Systems, Inc. and its consolidated subsidiaries are referred to on a collective basis as the “Company.” This drafting style is not meant to indicate that the publicly-traded Parent Company or any particular subsidiary of the Parent Company owns or operates any asset, business, or property. The hospitals, operations and businesses described in this filing are owned and operated, and management services provided, by distinct and indirect subsidiaries of Community Health Systems, Inc.</w:t>
      </w:r>
    </w:p>
    <w:p>
      <w:pPr>
        <w:pStyle w:val="TextBody"/>
        <w:bidi w:val="0"/>
        <w:spacing w:before="200" w:after="283"/>
        <w:jc w:val="left"/>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Certain prior period amounts have been reclassified to conform to the current period presentation within these notes to the condensed consolidated financial statements.</w:t>
      </w:r>
    </w:p>
    <w:p>
      <w:pPr>
        <w:pStyle w:val="TextBody"/>
        <w:bidi w:val="0"/>
        <w:spacing w:before="21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u w:val="single"/>
        </w:rPr>
      </w:pPr>
      <w:r>
        <w:rPr>
          <w:rFonts w:ascii="Times New Roman" w:hAnsi="Times New Roman"/>
          <w:color w:val="000000"/>
          <w:sz w:val="20"/>
          <w:u w:val="single"/>
        </w:rPr>
        <w:t>Net Operating Revenues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operating revenues are recorded at the transaction price estimated by the Company to reflect the total consideration due from patients and third-party payors in exchange for providing goods and services in patient care. These services are considered to be a single performance obligation and have a duration of less than one year. Revenues are recorded as these goods and services are provided. The transaction price, which involves significant estimates, is determined based on the Company’s standard charges for the goods and services provided, with a reduction recorded for price concessions related to third party contractual arrangements as well as patient discounts and other patient price concessions. During each of the three- and six-month periods ended June 30, 2026 and 2025, the impact of changes to the inputs used to determine the transaction price was considered immaterial.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Currently, several states utilize supplemental reimbursement programs for the purpose of providing reimbursement to providers that is not specifically tied to an individual’s care, some of which offsets a portion of the cost of providing care to Medicaid and indigent patients. The programs are funded with a combination of state and federal resources, including, in certain instances, fees or taxes levied on the providers. The programs are generally authorized by the Centers for Medicare &amp; Medicaid Services (“CMS”) for a specified period of time and require CMS’s approval to be extended. Under these supplemental programs, the Company recognizes revenue and related expenses in the period in which amounts are estimable and payment is reasonably assured. Reimbursement under these programs is reflected in net operating revenues. Taxes or other program-related costs are reflected in other operating expenses.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Company’s net operating revenues for the three and six months ended June 30, 2026 and 2025 have been presented in the following table based on an allocation of the estimated transaction price with the patient between the primary patient classification of insurance coverage (in millions):</w:t>
      </w:r>
    </w:p>
    <w:p>
      <w:pPr>
        <w:pStyle w:val="TextBody"/>
        <w:bidi w:val="0"/>
        <w:jc w:val="left"/>
        <w:rPr/>
      </w:pPr>
      <w:r>
        <w:rPr/>
        <w:t> </w:t>
      </w:r>
    </w:p>
    <w:tbl>
      <w:tblPr>
        <w:tblW w:w="7975" w:type="dxa"/>
        <w:jc w:val="left"/>
        <w:tblInd w:w="0" w:type="dxa"/>
        <w:tblLayout w:type="fixed"/>
        <w:tblCellMar>
          <w:top w:w="28" w:type="dxa"/>
          <w:left w:w="28" w:type="dxa"/>
          <w:bottom w:w="28" w:type="dxa"/>
          <w:right w:w="28" w:type="dxa"/>
        </w:tblCellMar>
      </w:tblPr>
      <w:tblGrid>
        <w:gridCol w:w="3616"/>
        <w:gridCol w:w="146"/>
        <w:gridCol w:w="213"/>
        <w:gridCol w:w="577"/>
        <w:gridCol w:w="147"/>
        <w:gridCol w:w="147"/>
        <w:gridCol w:w="213"/>
        <w:gridCol w:w="577"/>
        <w:gridCol w:w="146"/>
        <w:gridCol w:w="146"/>
        <w:gridCol w:w="211"/>
        <w:gridCol w:w="571"/>
        <w:gridCol w:w="146"/>
        <w:gridCol w:w="146"/>
        <w:gridCol w:w="211"/>
        <w:gridCol w:w="57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Managed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and 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 w:after="283"/>
        <w:jc w:val="left"/>
        <w:rPr/>
      </w:pPr>
      <w:r>
        <w:rPr/>
        <w:t> </w:t>
      </w:r>
    </w:p>
    <w:p>
      <w:pPr>
        <w:pStyle w:val="TextBody"/>
        <w:bidi w:val="0"/>
        <w:spacing w:before="10" w:after="283"/>
        <w:jc w:val="left"/>
        <w:rPr>
          <w:rFonts w:ascii="Times New Roman" w:hAnsi="Times New Roman"/>
          <w:color w:val="000000"/>
          <w:sz w:val="20"/>
          <w:u w:val="single"/>
        </w:rPr>
      </w:pPr>
      <w:r>
        <w:rPr>
          <w:rFonts w:ascii="Times New Roman" w:hAnsi="Times New Roman"/>
          <w:color w:val="000000"/>
          <w:sz w:val="20"/>
          <w:u w:val="single"/>
        </w:rPr>
        <w:t>Patient Accounts Receivable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Patient accounts receivable are recorded at net realizable value based on certain assumptions determined by each payor. For third-party payors including Medicare, Medicare Managed Care, Medicaid and Managed Care, the net realizable value is based on the estimated contractual reimbursement percentage, which is based on current contract prices or historical paid claims data by payor. For self-pay patient accounts receivable, which includes patients who are uninsured and the patient responsibility portion for patients with insurance, the net realizable value is determined using estimates of historical collection experience without regard to aging category. These estimates are adjusted for estimated conversions of patient responsibility portions, expected recoveries and any anticipated changes in trends.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Patient accounts receivable can be impacted by the effectiveness of the Company’s collection efforts. Additionally, significant changes in payor mix, business office operations, economic conditions or trends in federal and state governmental healthcare coverage and related policies could affect the net realizable value of patient accounts receivable. The Company also continually reviews the net realizable value of patient accounts receivable by monitoring historical cash collections as a percentage of trailing net operating revenues, as well as by analyzing current period net operating revenues and admissions by payor classification, days revenue outstanding, the composition of self-pay receivables between pure self-pay patients and the patient responsibility portion of third-party insured receivables, the impact of recent acquisitions and dispositions and the impact of current macroeconomic conditions and other events.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Final settlements for some payors and programs are subject to adjustment based on administrative review and audit by third parties. As a result of these final settlements, the Company has recorded amounts due to third-party payors of $124 million and $130 million as of June 30, 2026 and December 31, 2025, respectively, and these amounts are included in accrued liabilities-other in the accompanying condensed consolidated balance sheets. Amounts due from third-party payors were $127 million and $154 million as of June 30, 2026 and December 31, 2025, respectively, and are included in other current assets in the accompanying condensed consolidated balance sheets. Substantially all Medicare and Medicaid cost reports are final settled through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u w:val="single"/>
        </w:rPr>
      </w:pPr>
      <w:r>
        <w:rPr>
          <w:rFonts w:ascii="Times New Roman" w:hAnsi="Times New Roman"/>
          <w:color w:val="000000"/>
          <w:sz w:val="20"/>
          <w:u w:val="single"/>
        </w:rPr>
        <w:t>Charity Care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In the ordinary course of business, the Company renders services to patients who are financially unable to pay for hospital care. The Company’s policy is to not pursue collections for such amounts; therefore, the related charges for those patients who are financially unable to pay and that otherwise do not qualify for reimbursement from a governmental program are not reported in net operating revenues, and are thus classified as charity care. The Company determines amounts that qualify for charity care based on the patient’s household income relative to the federal poverty level guidelines, as established by the federal government. The Company made certain updates to its policy during the year ended December 31, 2025 in a manner which increased the number of accounts qualifying for charity care. This resulted in an increase in charity care services during the six months ended June 30, 2026 compared to the six months ended June 30,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These charity care services are estimated to be approximately $519 million and $334 million for the three months ended June 30, 2026 and 2025, respectively, and $863 million and $642 million for the six months ended June 30, 2026 and 2025, respectively, representing the value (at the Company’s standard charges) of these charity care services that are excluded from net operating revenues. The estimated cost incurred by the Company to provide these charity care services to patients who are unable to pay was approximately $50 million and $34 million for the three months ended June 30, 2026 and 2025, respectively, and $84 million and $69 million for the six months ended June 30, 2026 and 2025, respectively. The estimated cost of these charity care services was determined using a ratio of cost to gross charges and applying that ratio to the gross charges associated with providing care to charity patients for the period. </w:t>
      </w:r>
    </w:p>
    <w:p>
      <w:pPr>
        <w:pStyle w:val="TextBody"/>
        <w:bidi w:val="0"/>
        <w:spacing w:before="210" w:after="283"/>
        <w:jc w:val="left"/>
        <w:rPr>
          <w:rFonts w:ascii="Times New Roman" w:hAnsi="Times New Roman"/>
          <w:sz w:val="20"/>
        </w:rPr>
      </w:pPr>
      <w:r>
        <w:rPr>
          <w:rFonts w:ascii="Times New Roman" w:hAnsi="Times New Roman"/>
          <w:i/>
          <w:color w:val="000000"/>
          <w:sz w:val="20"/>
        </w:rPr>
        <w:t>Accounting for the Impairment or Disposal of Long-Lived Assets.</w:t>
      </w:r>
      <w:r>
        <w:rPr>
          <w:rFonts w:ascii="Times New Roman" w:hAnsi="Times New Roman"/>
          <w:color w:val="000000"/>
          <w:sz w:val="20"/>
        </w:rPr>
        <w:t xml:space="preserve"> During the six months ended June 30, 2026, the Company recorded a net gain of approximately $262 million, comprised of a gain of approximately $400 million related to the divestiture of one hospital and the divestiture of a controlling interest in another hospital, partially offset by (i) an approximately $131 million net impairment charge to adjust the carrying value of long-lived assets at hospitals that were divested at a sales price below carrying value, and (ii) an approximately $7 million impairment charge recorded to reduce the carrying value of several assets that were idled, disposed or held-for-sale. During the six months ended June 30, 2026, approximately $417 million of goodwill was allocated from the hospital operations reporting unit associated with the disposal groups for which impairment charges or a gain on sale was recorded during the period.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recorded a net gain of approximately $263 million, comprised of a gain of approximately $291 million related to the divestiture of four hospitals, partially offset by (i) an approximately $23 million impairment charge to adjust the carrying value of long-lived assets at two hospitals that were divested at a sales price below carrying value, and (ii) an approximately $5 million impairment charge recorded to reduce the carrying value of several assets that were idled, disposed or held-for-sale.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 will continue to evaluate the potential for impairment of the long-lived assets of hospitals and other held-and-used businesses as well as evaluate offers for potential sales, as applicable. Based on such analysis, additional impairment charges may be recorded in the future.</w:t>
      </w:r>
    </w:p>
    <w:p>
      <w:pPr>
        <w:pStyle w:val="TextBody"/>
        <w:bidi w:val="0"/>
        <w:spacing w:before="210" w:after="283"/>
        <w:jc w:val="left"/>
        <w:rPr>
          <w:rFonts w:ascii="Times New Roman" w:hAnsi="Times New Roman"/>
          <w:sz w:val="20"/>
        </w:rPr>
      </w:pPr>
      <w:r>
        <w:rPr>
          <w:rFonts w:ascii="Times New Roman" w:hAnsi="Times New Roman"/>
          <w:i/>
          <w:color w:val="000000"/>
          <w:sz w:val="20"/>
        </w:rPr>
        <w:t>New Accounting Pronouncements</w:t>
      </w:r>
      <w:r>
        <w:rPr>
          <w:rFonts w:ascii="Times New Roman" w:hAnsi="Times New Roman"/>
          <w:color w:val="000000"/>
          <w:sz w:val="20"/>
        </w:rPr>
        <w:t>. In September 2025, the Financial Accounting Standards Board issued Accounting Standards Update (“ASU”) 2025-06, “Intangibles - Goodwill and Other - Internal-Use Software (Topic 350): Targeted Improvements to the Accounting for Internal-Use Software.” This ASU modifies the criteria for when software costs may be capitalized by eliminating consideration of software project development stages and by enhancing guidance for the "probable-to-complete" threshold. This ASU is effective for annual reporting periods beginning after December 15, 2027, and interim periods within those annual reporting periods. Early adoption of this ASU is permitted. The Company is currently evaluating the impact that adoption of this ASU will have on its condensed consolidated financial statements.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 has evaluated all other recently issued, but not yet effective, ASUs and does not expect the eventual adoption of such ASUs to have a material impact on its consolidated financial position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sz w:val="20"/>
        </w:rPr>
      </w:pPr>
      <w:r>
        <w:rPr>
          <w:rFonts w:ascii="Times New Roman" w:hAnsi="Times New Roman"/>
          <w:b/>
          <w:color w:val="000000"/>
          <w:sz w:val="20"/>
        </w:rPr>
        <w:t>2. ACCOUNTING FOR STOCK-BASED COMPENSATION</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Stock-based compensation awards have been granted under the Community Health Systems, Inc. Amended and Restated 2009 Stock Option and Award Plan, which was most recently amended and restated as of March 12, 2025 and most recently approved by the Company’s stockholders at the annual meeting of stockholders held on May 13, 2025 (the “2009 Plan”).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2009 Plan provides for the grant of incentive stock options intended to qualify under Section 422 of the Internal Revenue Code and for the grant of stock options which do not so qualify, stock appreciation rights, restricted stock, restricted stock units (“RSUs”), performance-based shares or units and other share awards. Persons eligible to receive grants under the 2009 Plan include the Company’s directors, officers, employees and consultants. To date, all options granted under the 2009 Plan have been “nonqualified” stock options for tax purposes. Generally, these options vest in one-third increments on each of the first three anniversaries of the option grant date and expire on the tenth anniversary of the option grant date. The exercise price of all options granted under the 2009 Plan is equal to the fair value of the Company’s common stock on the option grant date. As of June 30, 2026, 7,564,580 shares of unissued common stock were reserved for future grants under the 2009 Plan.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reflects the impact of total compensation expense related to stock-based equity plans on the reported operating results for the respective periods (in millions):</w:t>
      </w:r>
    </w:p>
    <w:p>
      <w:pPr>
        <w:pStyle w:val="TextBody"/>
        <w:bidi w:val="0"/>
        <w:jc w:val="left"/>
        <w:rPr/>
      </w:pPr>
      <w:r>
        <w:rPr/>
        <w:t> </w:t>
      </w:r>
    </w:p>
    <w:tbl>
      <w:tblPr>
        <w:tblW w:w="7342" w:type="dxa"/>
        <w:jc w:val="left"/>
        <w:tblInd w:w="0" w:type="dxa"/>
        <w:tblLayout w:type="fixed"/>
        <w:tblCellMar>
          <w:top w:w="28" w:type="dxa"/>
          <w:left w:w="28" w:type="dxa"/>
          <w:bottom w:w="28" w:type="dxa"/>
          <w:right w:w="28" w:type="dxa"/>
        </w:tblCellMar>
      </w:tblPr>
      <w:tblGrid>
        <w:gridCol w:w="3166"/>
        <w:gridCol w:w="146"/>
        <w:gridCol w:w="310"/>
        <w:gridCol w:w="398"/>
        <w:gridCol w:w="244"/>
        <w:gridCol w:w="214"/>
        <w:gridCol w:w="310"/>
        <w:gridCol w:w="398"/>
        <w:gridCol w:w="166"/>
        <w:gridCol w:w="146"/>
        <w:gridCol w:w="270"/>
        <w:gridCol w:w="347"/>
        <w:gridCol w:w="212"/>
        <w:gridCol w:w="187"/>
        <w:gridCol w:w="270"/>
        <w:gridCol w:w="347"/>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on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on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 xml:space="preserve">At June 30, 2026, $19 million of unrecognized stock-based compensation expense related to outstanding unvested stock options, restricted stock and restricted stock units (the terms of which are summarized below) was expected to be recognized over a weighted-average period of 26 months. Of that amount, $3 million relates to outstanding unvested stock options expected to be recognized over a weighted-average period of 26 months and $16 million relates to outstanding unvested restricted stock and RSUs expected to be recognized over a weighted-average period of 26 months. There were no modifications to awards during the six months ended June 30, 2026 and 2025. </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stock options was estimated using the Black-Scholes option pricing model with the following assumptions and weighted-average fair values during the three and six months ended June 30, 2026 and 2025:</w:t>
      </w:r>
    </w:p>
    <w:p>
      <w:pPr>
        <w:pStyle w:val="TextBody"/>
        <w:bidi w:val="0"/>
        <w:jc w:val="left"/>
        <w:rPr/>
      </w:pPr>
      <w:r>
        <w:rPr/>
        <w:t> </w:t>
      </w:r>
    </w:p>
    <w:tbl>
      <w:tblPr>
        <w:tblW w:w="5693" w:type="dxa"/>
        <w:jc w:val="left"/>
        <w:tblInd w:w="0" w:type="dxa"/>
        <w:tblLayout w:type="fixed"/>
        <w:tblCellMar>
          <w:top w:w="28" w:type="dxa"/>
          <w:left w:w="28" w:type="dxa"/>
          <w:bottom w:w="28" w:type="dxa"/>
          <w:right w:w="28" w:type="dxa"/>
        </w:tblCellMar>
      </w:tblPr>
      <w:tblGrid>
        <w:gridCol w:w="1846"/>
        <w:gridCol w:w="146"/>
        <w:gridCol w:w="940"/>
        <w:gridCol w:w="203"/>
        <w:gridCol w:w="732"/>
        <w:gridCol w:w="146"/>
        <w:gridCol w:w="736"/>
        <w:gridCol w:w="159"/>
        <w:gridCol w:w="785"/>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88.7%</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 xml:space="preserve">In determining the expected term, the Company examined concentrations of option holdings and historical patterns of option exercises and forfeitures, as well as forward-looking factors, in an effort to determine if there were any discernible employee populations. From this analysis, in determining the expected term for both of the six-month periods ended June 30, 2026 and 2025, the Company identified one population, consisting of persons receiving grants of stock options. The computation of expected term was performed using the simplified method for all stock options granted in the periods presented. The simplified method was used as a result of the Company determining that historical exercise data does not provide a reasonable basis for the expected term of its grants, due primarily to the limited number of stock option exercises that have occurred. </w:t>
      </w:r>
    </w:p>
    <w:p>
      <w:pPr>
        <w:pStyle w:val="TextBody"/>
        <w:bidi w:val="0"/>
        <w:spacing w:before="10" w:after="283"/>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 xml:space="preserve">The risk-free interest rate is based on the U.S. Treasury yield curve in effect at the time of the grant. The pre-vesting forfeiture rate is based on historical rates and forward-looking factors for each population identified. The Company adjusts the estimated forfeiture rate to its actual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expected volatility rate was estimated based on historical volatility. In determining expected volatility, the Company also reviewed the market-based implied volatility of actively traded options of its common stock and determined that historical volatility utilized to estimate the expected volatility rate did not differ significantly from the implied volatility.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Options outstanding and exercisable under the 2009 Plan as of June 30, 2026, and changes during each of the three-month periods following December 31, 2025, were as follows (in millions, except share and per share data):</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2941"/>
        <w:gridCol w:w="146"/>
        <w:gridCol w:w="146"/>
        <w:gridCol w:w="931"/>
        <w:gridCol w:w="146"/>
        <w:gridCol w:w="146"/>
        <w:gridCol w:w="303"/>
        <w:gridCol w:w="672"/>
        <w:gridCol w:w="146"/>
        <w:gridCol w:w="146"/>
        <w:gridCol w:w="1126"/>
        <w:gridCol w:w="146"/>
        <w:gridCol w:w="392"/>
        <w:gridCol w:w="643"/>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as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 years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years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The weighted-average grant date fair value of stock options granted during the three months ended June 30, 2026 was $1.98. No stock options were granted during the three months ended June 30, 2025. The weighted-average grant date fair value of stock options granted during the six months ended June 30, 2026 and 2025 was $2.46 and $2.27, respectively. The aggregate intrinsic value (calculated as the number of in-the-money stock options multiplied by the difference between the Company’s closing stock price on the last trading day of the reporting period ($3.34) and the exercise price of the respective stock options) in the table above represents the amount that would have been received by the option holders had all option holders exercised their options on June 30, 2026. This amount changes based on the market value of the Company’s common stock. No stock options were exercised during the three and six months ended June 30, 2026 and 2025. The aggregate intrinsic value of options vested and expected to vest approximates that of the outstanding options.</w:t>
      </w:r>
    </w:p>
    <w:p>
      <w:pPr>
        <w:pStyle w:val="TextBody"/>
        <w:bidi w:val="0"/>
        <w:spacing w:before="10" w:after="283"/>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The Company has also awarded restricted stock under the 2009 Plan to employees of certain subsidiaries. With respect to time-based vesting restricted stock that has been awarded under the 2009 Plan, the restrictions on these shares have generally lapsed in one-third increments on each of the first three anniversaries of the award date. In addition, certain of the restricted stock awards granted to the Company’s senior executives have contained performance objectives required to be met in addition to any time-based vesting requirements. If the applicable performance objectives are not attained, these awards will be forfeited in their entirety. For performance-based awards, the performance objectives are measured cumulatively over a three-year period. If the applicable target performance objective is met at the end of the three-year period, then the restricted stock award subject to such performance objective will vest in full on the third anniversary of the award date. Additionally, for these performance-based awards, based on the level of achievement for the applicable performance objective within the parameters specified in the award agreement, the number of shares to be issued in connection with the vesting of the award may be adjusted to decrease or increase the number of shares specified in the original award. Notwithstanding the above-mentioned performance objectives and vesting requirements, the restrictions with respect to restricted stock granted under the 2009 Plan may lapse earlier in the event of death, disability, change in control of the Company or, other than for performance-based awards, termination of employment by the Company for any reason other than for cause of the holder of the restricted stock. On March 1, 2026, restricted stock awards subject to performance objectives granted on March 1, 2023 vested based on the Company’s cumulative performance compared to performance objectives for the 2023 through 2025 performance period, which were set prior to the date of grant. Such awards vested at 86.8% of the number of shares originally granted to the Company’s then-serving chief financial officer based on the performance objectives applicable to the then-serving chief financial officer, and at 100% of the number of shares originally granted to other senior executives based on the performance objectives applicable to such other senior executives. In addition, such awards granted on March 1, 2023 to the Company’s then-serving chief executive officer were forfeited and cancelled in connection with his retirement as chief executive officer, effective September 30, 2025. Restricted stock awards subject to performance objectives that have not yet been satisfied are not considered outstanding for purposes of determining diluted earnings per share unless the performance objectives have been satisfied on the basis of results through the end of each respective reporting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Restricted stock outstanding under the 2009 Plan as of June 30, 2026, and changes during each of the three-month periods following December 31, 2025, were as follows:</w:t>
      </w:r>
    </w:p>
    <w:p>
      <w:pPr>
        <w:pStyle w:val="TextBody"/>
        <w:bidi w:val="0"/>
        <w:jc w:val="left"/>
        <w:rPr/>
      </w:pPr>
      <w:r>
        <w:rPr/>
        <w:t> </w:t>
      </w:r>
    </w:p>
    <w:tbl>
      <w:tblPr>
        <w:tblW w:w="5942" w:type="dxa"/>
        <w:jc w:val="left"/>
        <w:tblInd w:w="0" w:type="dxa"/>
        <w:tblLayout w:type="fixed"/>
        <w:tblCellMar>
          <w:top w:w="28" w:type="dxa"/>
          <w:left w:w="28" w:type="dxa"/>
          <w:bottom w:w="28" w:type="dxa"/>
          <w:right w:w="28" w:type="dxa"/>
        </w:tblCellMar>
      </w:tblPr>
      <w:tblGrid>
        <w:gridCol w:w="2701"/>
        <w:gridCol w:w="146"/>
        <w:gridCol w:w="146"/>
        <w:gridCol w:w="991"/>
        <w:gridCol w:w="166"/>
        <w:gridCol w:w="146"/>
        <w:gridCol w:w="452"/>
        <w:gridCol w:w="1003"/>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Grant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RSUs have been granted to the Company’s non-management directors under the 2009 Plan. Each of the Company’s then-serving non-management directors received grants under the 2009 Plan of 52,023 RSUs and 59,801 RSUs with a grant date of March 1, 2026 and 2025, respectively. Both the March 2026 and 2025 grants had a grant date fair value of approximately $180,000. Vesting of RSUs granted to non-management directors occurs in one-third increments on each of the first three anniversaries of the award date or upon the director’s earlier cessation of service on the Company’s Board of Directors, other than for cause. Each non-management director may elect, prior to the beginning of the calendar year in which the award is granted, to defer settlement of their RSUs into shares of the Company’s common stock, which would otherwise be issuable upon vesting, until either his or her (i) separation from service with the Company or (ii) attainment of an age specified in advance by the non-management director. A total of six directors elected to defer settlement of the RSUs granted on March 1, 2026 into shares of the Company’s common stock to a future date. A total of seven directors elected to defer settlement of the RSUs granted on March 1, 2025 into shares of the Company’s common stock to a future date.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RSUs outstanding under the 2009 Plan as of June 30, 2026, and changes during each of the three-month periods following December 31, 2025, were as follows:</w:t>
      </w:r>
    </w:p>
    <w:p>
      <w:pPr>
        <w:pStyle w:val="TextBody"/>
        <w:bidi w:val="0"/>
        <w:jc w:val="left"/>
        <w:rPr/>
      </w:pPr>
      <w:r>
        <w:rPr/>
        <w:t> </w:t>
      </w:r>
    </w:p>
    <w:tbl>
      <w:tblPr>
        <w:tblW w:w="6122"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452"/>
        <w:gridCol w:w="1003"/>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Grant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b/>
          <w:color w:val="000000"/>
          <w:sz w:val="20"/>
        </w:rPr>
      </w:pPr>
      <w:r>
        <w:rPr>
          <w:rFonts w:ascii="Times New Roman" w:hAnsi="Times New Roman"/>
          <w:b/>
          <w:color w:val="000000"/>
          <w:sz w:val="20"/>
        </w:rPr>
        <w:t>3. ACQUISITIONS AND DIVESTITURES</w:t>
      </w:r>
    </w:p>
    <w:p>
      <w:pPr>
        <w:pStyle w:val="TextBody"/>
        <w:bidi w:val="0"/>
        <w:spacing w:before="210" w:after="283"/>
        <w:jc w:val="left"/>
        <w:rPr>
          <w:rFonts w:ascii="Times New Roman" w:hAnsi="Times New Roman"/>
          <w:sz w:val="20"/>
        </w:rPr>
      </w:pPr>
      <w:r>
        <w:rPr>
          <w:rFonts w:ascii="Times New Roman" w:hAnsi="Times New Roman"/>
          <w:b/>
          <w:i/>
          <w:color w:val="000000"/>
          <w:sz w:val="20"/>
        </w:rPr>
        <w:t>Acquisitions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accounts for all transactions that represent business combinations using the acquisition method of accounting, where the identifiable assets acquired, the liabilities assumed and any noncontrolling interest in the acquired entity are recognized and measured at their fair values on the date the Company obtains control in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any noncontrolling interests has been obtained, limited to 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year from the acquisition date) are recorded when identified. Goodwill is determined as the excess of the fair value of the consideration conveyed in the acquisition over the fair value of the net assets acquired.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Company accounts for asset acquisitions pursuant to a cost accumulation model. Direct transaction costs are recognized as part of the cost of an acquisition. The Company also evaluates which elements of a transaction should be accounted for as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During the six months ended June 30, 2026, one or more subsidiaries of the Company paid approximately $53 million to acquire the operating assets and related businesses of certain physician practices and clinics, as well as controlling interests in two ambulatory surgery centers. The purchase price for these transactions was primarily allocated to working capital, goodwill and noncontrolling interests. The preliminary allocation of the purchase price has been determined by the Company based on available information and is subject to settling amounts related to purchased working capital. Adjustments to the preliminary purchase price allocation are not expected to be material.</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Divestitures</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as reflected in the table below, the Company completed the divestiture of four hospitals in Arkansas, three hospitals in Pennsylvania, one hospital in Alabama, and sold its 80% ownership interest in one hospital in Tennessee. The following table provides a summary of hospitals that the Company divested (or, in the cases of Merit Health Biloxi and Merit Health Madison, in which the Company sold its 50% ownership interest, and in the cases of Tennova Healthcare - Clarksville and Cedar Park Regional Medical Center, in which the Company sold its 80% ownership interest) during the six months ended June 30, 2026 and the year ended December 31, 2025:</w:t>
      </w:r>
    </w:p>
    <w:p>
      <w:pPr>
        <w:pStyle w:val="TextBody"/>
        <w:bidi w:val="0"/>
        <w:spacing w:before="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06"/>
        <w:gridCol w:w="146"/>
        <w:gridCol w:w="2602"/>
        <w:gridCol w:w="146"/>
        <w:gridCol w:w="1887"/>
        <w:gridCol w:w="146"/>
        <w:gridCol w:w="781"/>
        <w:gridCol w:w="146"/>
        <w:gridCol w:w="1345"/>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Licensed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Hospital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Buyer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City, 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Effective Date</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Tennova Healthcare - Clarksville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Vanderbilt University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Clarksville, Tennessee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Wilkes-Barre General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Tenor Health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Wilkes-Barre, 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Regional Hospital of Scranton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Tenor Health Foundation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Scranton, 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Moses Taylor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Tenor Health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Scranton, 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Crestwood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Huntsville Hospital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Huntsville, Alabama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Medical Center - Bentonville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Bentonville, Arkansas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Medical Center - Springdale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Springdale, Arkansas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Willow Creek Women’s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Johnson, Arkansas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Siloam Springs Regional Hospital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Siloam Springs, Arkansas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Merit Health Biloxi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Memorial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Biloxi, Mississippi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2025</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ShorePoint Health - Port Charlotte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AdventHealth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 Charlotte, 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ShorePoint Health - Punta Gorda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AdventHealth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Punta Gorda, 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2025</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Lake Norman Regional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Duke University Health System,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Mooresville,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Merit Health Madison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University of Mississippi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Canton, Mississippi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 2025</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Cedar Park Regional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Ascension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Cedar Park, 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Health Physicians' Specialty Hospital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Washington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Fayetteville, Arkansas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1,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10" w:after="283"/>
        <w:jc w:val="left"/>
        <w:rPr/>
      </w:pPr>
      <w:r>
        <w:rPr/>
        <w:t> </w:t>
      </w:r>
    </w:p>
    <w:p>
      <w:pPr>
        <w:pStyle w:val="TextBody"/>
        <w:bidi w:val="0"/>
        <w:spacing w:before="10" w:after="283"/>
        <w:jc w:val="left"/>
        <w:rPr>
          <w:rFonts w:ascii="Times New Roman" w:hAnsi="Times New Roman"/>
          <w:sz w:val="20"/>
        </w:rPr>
      </w:pPr>
      <w:r>
        <w:rPr>
          <w:rFonts w:ascii="Times New Roman" w:hAnsi="Times New Roman"/>
          <w:b/>
          <w:color w:val="000000"/>
          <w:sz w:val="20"/>
        </w:rPr>
        <w:t>4. GOODWILL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the carrying amount of goodwill for the six months ended June 30, 2026 are as follows (in millions):</w:t>
      </w:r>
    </w:p>
    <w:p>
      <w:pPr>
        <w:pStyle w:val="TextBody"/>
        <w:bidi w:val="0"/>
        <w:jc w:val="left"/>
        <w:rPr/>
      </w:pPr>
      <w:r>
        <w:rPr/>
        <w:t> </w:t>
      </w:r>
    </w:p>
    <w:tbl>
      <w:tblPr>
        <w:tblW w:w="7290" w:type="dxa"/>
        <w:jc w:val="left"/>
        <w:tblInd w:w="0" w:type="dxa"/>
        <w:tblLayout w:type="fixed"/>
        <w:tblCellMar>
          <w:top w:w="28" w:type="dxa"/>
          <w:left w:w="28" w:type="dxa"/>
          <w:bottom w:w="28" w:type="dxa"/>
          <w:right w:w="28" w:type="dxa"/>
        </w:tblCellMar>
      </w:tblPr>
      <w:tblGrid>
        <w:gridCol w:w="5911"/>
        <w:gridCol w:w="146"/>
        <w:gridCol w:w="211"/>
        <w:gridCol w:w="631"/>
        <w:gridCol w:w="39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 as part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allocated to hospitals divested or held-for-sale (as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Goodwill is allocated to each identified reporting unit, which is defined as an operating segment or one level below the operating segment (referred to as a component of the entity). Management has determined that the Company’s operating segment meets the criteria to be classified as a reporting unit.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Goodwill is evaluated for impairment annually and when an event occurs or circumstances change that, more likely than not, reduce the fair value of the reporting unit below its carrying value. The Company performed its last annual goodwill impairment evaluation during the fourth quarter of 2025 using an October 31, 2025 measurement date, which indicated no impairment.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determination of fair value in the Company’s goodwill impairment analysis is based on an estimate of fair value for the reporting unit utilizing known and estimated inputs at the evaluation date. Some of those inputs include, but are not limited to, the most recent price of the Company’s common stock and fair value of long-term debt, the Company’s recent financial results, estimates of future revenue and expense growth, estimated market multiples, expected capital expenditures, income tax rates, costs of invested capital and a discount rate.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estimates of fair value could be adversely affected if the actual outcome of one or more of the assumptions described above changes materially in the future, including as a result of any decline in the Company’s stock price and the fair value of its long-term debt, an increase in the volatility of the Company’s stock price and the fair value of its long-term debt, lower-than-expected hospital volumes and/or net operating revenues, higher market interest rates, increased operating costs or other adverse impacts on the Company’s financial results. Such changes impacting the calculation of fair value could result in a material impairment charge in the future.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INCOME TAXES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total amount of unrecognized benefit that would affect the effective tax rate, if recognized, was $46 million at June 30, 2026. A total of $10 million of interest and penalties is included in the amount of the liability for uncertain tax positions at June 30, 2026. It is the Company’s policy to recognize interest and penalties related to unrecognized benefits in its condensed consolidated statements of income as income tax expense.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Company’s income tax returns for the 2021 and 2022 tax years are under examination by the Internal Revenue Service. The Company believes the result of this examination will not be material to its consolidated results of operations or consolidated financial position. The Company has extended the federal statute of limitations through March 31, 2028 for Community Health Systems, Inc. for the tax periods ended December 31, 2021 and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Company’s provision for income taxes was $76 million and $118 million for the three months ended June 30, 2026 and 2025, respectively, and $165 million and $160 million for the six months ended June 30, 2026 and 2025, respectively. The Company’s effective tax rates were 42.2% and 26.9% for the three months ended June 30, 2026 and 2025, respectively, and 67.6% and 31.7% for the six months ended June 30, 2026 and 2025, respectively. The decrease in the provision for income taxes and the change in the effective tax rate for the three months ended June 30, 2026, compared to the same period in 2025, was primarily due to a decrease in income before taxes, a decrease in non-deductible goodwill related to divested hospitals, and the tax effects of the federal budget reconciliation legislation which was enacted on July 4, 2025. The increase in the provision for income taxes and the change in the effective tax rate for the six months ended June 30, 2026, compared to the same period in 2025, was primarily due to an increase in non-deductible goodwill related to divested hospitals, partially offset by a decrease in income before taxes and the tax effects of the aforementioned federal budget reconciliation legislation.</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Cash paid for income taxes, net of refunds received, resulted in a net payment of $61 million and $181 million during the three months ended June 30, 2026 and 2025, respectively, and $61 million and $101 million during the six months ended June 30, 2026 and 2025, respectively. Cash paid for taxes related to gains on divested hospitals was approximately $56 million and $74 million during the three and six months ended June 30, 2026 and 2025, respectively.</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During the three months ended June 30, 2026, the Company purchased $30 million of solar tax credits at a discounted amount of $28 million. Such solar tax credits are considered federal estimated income tax payments. The $2 million discount is recorded as a federal income tax benefit for the three months ended June 30, 2026.</w:t>
      </w:r>
    </w:p>
    <w:p>
      <w:pPr>
        <w:pStyle w:val="TextBody"/>
        <w:bidi w:val="0"/>
        <w:spacing w:before="210" w:after="283"/>
        <w:jc w:val="left"/>
        <w:rPr>
          <w:rFonts w:ascii="Times New Roman" w:hAnsi="Times New Roman"/>
          <w:sz w:val="20"/>
        </w:rPr>
      </w:pPr>
      <w:r>
        <w:rPr>
          <w:rFonts w:ascii="Times New Roman" w:hAnsi="Times New Roman"/>
          <w:b/>
          <w:color w:val="000000"/>
          <w:sz w:val="20"/>
        </w:rPr>
        <w:t>6. LONG-TERM DEBT</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Long-term debt, net of unamortized debt issuance costs and discounts or premiums, as applicable, consists of the following (in millions):</w:t>
      </w:r>
    </w:p>
    <w:p>
      <w:pPr>
        <w:pStyle w:val="TextBody"/>
        <w:bidi w:val="0"/>
        <w:jc w:val="left"/>
        <w:rPr/>
      </w:pPr>
      <w:r>
        <w:rPr/>
        <w:t> </w:t>
      </w:r>
    </w:p>
    <w:tbl>
      <w:tblPr>
        <w:tblW w:w="6870" w:type="dxa"/>
        <w:jc w:val="left"/>
        <w:tblInd w:w="0" w:type="dxa"/>
        <w:tblLayout w:type="fixed"/>
        <w:tblCellMar>
          <w:top w:w="28" w:type="dxa"/>
          <w:left w:w="28" w:type="dxa"/>
          <w:bottom w:w="28" w:type="dxa"/>
          <w:right w:w="28" w:type="dxa"/>
        </w:tblCellMar>
      </w:tblPr>
      <w:tblGrid>
        <w:gridCol w:w="3931"/>
        <w:gridCol w:w="146"/>
        <w:gridCol w:w="218"/>
        <w:gridCol w:w="592"/>
        <w:gridCol w:w="166"/>
        <w:gridCol w:w="146"/>
        <w:gridCol w:w="299"/>
        <w:gridCol w:w="961"/>
        <w:gridCol w:w="41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6⅞% Senior Notes due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5¼% Senior Secured Notes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4¾% Senior 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10⅞% Senior Secured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10¾% Senior Secured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9¾% Senior Secured Notes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6⅞% Junior-Priority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6⅛% Junior-Priority Secured Notes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and financing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deferred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 2026, the Company exercised a special call provision to redeem 10% of the original principal amount, or approximately $223 million, of the 10.875% Senior Secured Notes due 2032, at a redemption price of 103% of the principal amount, plus accrued and unpaid interest. A pre-tax loss from early extinguishment of debt of approximately $8 million was recognized associated with this redemption.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approximately $600 million of cash on hand from recent divestiture proceeds to repurchase approximately $368 million principal amount of its 4.750% Senior Secured Notes due 2031, or approximately 35% of the total outstanding principal amount, and to repurchase approximately $231 million principal amount of its 10.875% Senior Secured Notes due 2032, or approximately 13% of the total outstanding principal amount, that were validly tendered and accepted for purchase pursuant to a tender offer that launched on April 22, 2026, and was completed on May 6, 2026, and to pay related fees and expenses. Upon completion of the tender offer, approximately $689 million principal amount of the 4.750% Senior Secured Notes due 2031 remained outstanding, and approximately $1.549 billion principal amount of the 10.875% Senior Secured Notes due 2032 remained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pre-tax and after-tax loss from early extinguishment of debt of $5 million and $4 million, respectively, for the three months ended June 30, 2026, resulted from these transactions. A pre-tax and after-tax loss from early extinguishment of debt of $12 million and $11 million, respectively, for the six months ended June 30, 2026, resulted from these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5, 2024, the Company and CHS/Community Health Systems, Inc. (“CHS”) entered into the Second Amendment and Restatement Agreement (the “Amendment”) to refinance and replace the amended and restated asset-based loan (“ABL”) credit agreement (the “ABL Credit Agreement” and, as amended by the Amendment, the “Amended and Restated ABL Credit Agreement”), dated as of November 22, 2021, with JPMorgan Chase Bank, N.A., as administrative agent, and the lenders and other agents party thereto. Pursuant to the Amended and Restated ABL Credit Agreement, the lenders have extended to CHS a revolving asset-based loan facility in the maximum aggregate principal amount of $1.0 billion, subject to borrowing base capacity (the “ABL Facility”). The ABL Facility includes borrowing capacity available for letters of credit of $200 million. CHS and all domestic subsidiaries of CHS that guarantee CHS’ other outstanding senior and senior secured indebtedness guarantee the obligations of CHS under the ABL Facility. Subject to certain exceptions, all obligations under the ABL Facility and the related guarantees are secured by a perfected first-priority security interest in substantially all of the receivables, deposit, collection and other accounts and contract rights, books, records and other instruments related to the foregoing of the Company, CHS and the guarantors, as well as a perfected junior-priority third lien security interest in substantially all of the other assets of the Company, CHS and the guarantors, subject to customary exceptions and intercreditor arrangements. Principal amounts outstanding under the ABL Facility will be due and payable in full on June 5, 2029.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the Company had no outstanding borrowings and approximately $751 million of additional borrowing capacity (after taking into consideration the $32 million of outstanding letters of credit) under the ABL Facility. Letters of credit were reduced during the six months ended June 30, 2026 by $2 million, primarily due to a reduction in collateral for a construction-related bond. The issued letters of credit were primarily in support of potential insurance-related claims and certain bonds.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ABL Facility contains customary representations and warranties, subject to limitations and exceptions, and customary covenants restricting the Company’s ability, subject to certain exceptions, to, among other things (1) declare dividends, make distributions or redeem or repurchase capital stock, (2) prepay, redeem or repurchase other debt, (3) incur liens or grant negative pledges, (4) make loans and investments and enter into acquisitions and joint ventures, (5) incur additional indebtedness or provide certain guarantees, (6) engage in mergers, acquisitions and asset sales, (7) conduct transactions with affiliates, (8) alter the nature of the Company’s, CHS’ or the guarantors’ businesses, (9) grant certain guarantees with respect to physician practices, (10) engage in sale and leaseback transactions or (11) change the Company’s fiscal year. The Company is also required to comply with a consolidated fixed charge coverage ratio, upon certain triggering events described below, and various affirmative covenants. The consolidated fixed charge coverage ratio is calculated as the ratio of (x) consolidated EBITDA (as defined in the ABL Facility) less capital expenditures to (y) the sum of consolidated interest expense (as defined in the ABL Facility), scheduled principal payments, income taxes and restricted payments made in cash or in permitted investments. For purposes of calculating the consolidated fixed charge coverage ratio, the calculation of consolidated EBITDA as defined in the ABL Facility is a trailing 12-month calculation that begins with the Company’s consolidated net income, with certain adjustments for interest, taxes, depreciation and amortization, net income attributable to noncontrolling interests, stock compensation expense, restructuring costs, and the financial impact of other non-cash or non-recurring items recorded during any such 12-month period. The consolidated fixed charge coverage ratio is a required covenant only in periods where the total borrowings outstanding under the ABL Facility reduce the amount available in the facility to less than the greater of (i) $95 million or (ii) 10% of the calculated borrowing base. As a result, in the event the Company has less than $95 million available under the ABL Facility, the Company would need to comply with the consolidated fixed charge coverage ratio. At June 30, 2026, the Company is not subject to the consolidated fixed charge coverage ratio as such triggering event had not occurred during the twelve months ended June 30, 2026.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 paid interest of $176 million and $178 million on borrowings during the three months ended June 30, 2026 and 2025, respectively, and $437 million and $407 million on borrowings during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fair value of financial instruments has been estimated by the Company using available market information as of June 30, 2026 and December 31, 2025, and valuation methodologies considered appropriate. The estimates presented in the table below are not necessarily indicative of amounts the Company could realize in a current market exchange (in millions):</w:t>
      </w:r>
    </w:p>
    <w:p>
      <w:pPr>
        <w:pStyle w:val="TextBody"/>
        <w:bidi w:val="0"/>
        <w:jc w:val="left"/>
        <w:rPr/>
      </w:pPr>
      <w:r>
        <w:rPr/>
        <w:t> </w:t>
      </w:r>
    </w:p>
    <w:tbl>
      <w:tblPr>
        <w:tblW w:w="9118" w:type="dxa"/>
        <w:jc w:val="left"/>
        <w:tblInd w:w="0" w:type="dxa"/>
        <w:tblLayout w:type="fixed"/>
        <w:tblCellMar>
          <w:top w:w="28" w:type="dxa"/>
          <w:left w:w="28" w:type="dxa"/>
          <w:bottom w:w="28" w:type="dxa"/>
          <w:right w:w="28" w:type="dxa"/>
        </w:tblCellMar>
      </w:tblPr>
      <w:tblGrid>
        <w:gridCol w:w="3981"/>
        <w:gridCol w:w="146"/>
        <w:gridCol w:w="243"/>
        <w:gridCol w:w="658"/>
        <w:gridCol w:w="146"/>
        <w:gridCol w:w="146"/>
        <w:gridCol w:w="259"/>
        <w:gridCol w:w="702"/>
        <w:gridCol w:w="146"/>
        <w:gridCol w:w="146"/>
        <w:gridCol w:w="243"/>
        <w:gridCol w:w="658"/>
        <w:gridCol w:w="146"/>
        <w:gridCol w:w="146"/>
        <w:gridCol w:w="259"/>
        <w:gridCol w:w="702"/>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6⅞% Senior Notes due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 Senior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5¼% Senior Secured Notes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4¾% Senior Secured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10⅞% Senior Secured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10¾% Senior Secured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9¾% Senior Secured Notes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6⅞% Junior-Priority Secured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6⅛% Junior-Priority Secured Notes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ABL Facility and other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The carrying value of the Company’s long-term debt in the above table is presented net of unamortized deferred debt issuance costs. The estimated fair value is determined using the methodologies discussed below in accordance with accounting standards related to the determination of fair value based on the U.S. GAAP fair value hierarchy as discussed in Note 8 - Fair Value. The estimated fair value for financial instruments with a fair value that does not equal its carrying value is considered a Level 1 valuation. The Company utilizes the market approach and obtains indicative pricing through publicly available subscription services such as Bloomberg to determine fair values where relevant.</w:t>
      </w:r>
    </w:p>
    <w:p>
      <w:pPr>
        <w:pStyle w:val="TextBody"/>
        <w:bidi w:val="0"/>
        <w:spacing w:before="21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The carrying amount approximates fair value due to the short-term maturity of these instruments (less than three months).</w:t>
      </w:r>
    </w:p>
    <w:p>
      <w:pPr>
        <w:pStyle w:val="TextBody"/>
        <w:bidi w:val="0"/>
        <w:spacing w:before="210" w:after="283"/>
        <w:jc w:val="left"/>
        <w:rPr>
          <w:rFonts w:ascii="Times New Roman" w:hAnsi="Times New Roman"/>
          <w:sz w:val="20"/>
        </w:rPr>
      </w:pPr>
      <w:r>
        <w:rPr>
          <w:rFonts w:ascii="Times New Roman" w:hAnsi="Times New Roman"/>
          <w:i/>
          <w:color w:val="000000"/>
          <w:sz w:val="20"/>
        </w:rPr>
        <w:t>Investments in equity securities.</w:t>
      </w:r>
      <w:r>
        <w:rPr>
          <w:rFonts w:ascii="Times New Roman" w:hAnsi="Times New Roman"/>
          <w:color w:val="000000"/>
          <w:sz w:val="20"/>
        </w:rPr>
        <w:t xml:space="preserve"> Estimated fair value is based on closing price as quoted in public markets.</w:t>
      </w:r>
    </w:p>
    <w:p>
      <w:pPr>
        <w:pStyle w:val="TextBody"/>
        <w:bidi w:val="0"/>
        <w:spacing w:before="210" w:after="283"/>
        <w:jc w:val="left"/>
        <w:rPr>
          <w:rFonts w:ascii="Times New Roman" w:hAnsi="Times New Roman"/>
          <w:sz w:val="20"/>
        </w:rPr>
      </w:pPr>
      <w:r>
        <w:rPr>
          <w:rFonts w:ascii="Times New Roman" w:hAnsi="Times New Roman"/>
          <w:i/>
          <w:color w:val="000000"/>
          <w:sz w:val="20"/>
        </w:rPr>
        <w:t>Available-for-sale debt securities.</w:t>
      </w:r>
      <w:r>
        <w:rPr>
          <w:rFonts w:ascii="Times New Roman" w:hAnsi="Times New Roman"/>
          <w:color w:val="000000"/>
          <w:sz w:val="20"/>
        </w:rPr>
        <w:t xml:space="preserve"> Estimated fair value is based on closing price as quoted in public markets or other various valuation techniques. </w:t>
      </w:r>
    </w:p>
    <w:p>
      <w:pPr>
        <w:pStyle w:val="TextBody"/>
        <w:bidi w:val="0"/>
        <w:spacing w:before="210" w:after="283"/>
        <w:jc w:val="left"/>
        <w:rPr>
          <w:rFonts w:ascii="Times New Roman" w:hAnsi="Times New Roman"/>
          <w:sz w:val="20"/>
        </w:rPr>
      </w:pPr>
      <w:r>
        <w:rPr>
          <w:rFonts w:ascii="Times New Roman" w:hAnsi="Times New Roman"/>
          <w:i/>
          <w:color w:val="000000"/>
          <w:sz w:val="20"/>
        </w:rPr>
        <w:t>Trading securities.</w:t>
      </w:r>
      <w:r>
        <w:rPr>
          <w:rFonts w:ascii="Times New Roman" w:hAnsi="Times New Roman"/>
          <w:color w:val="000000"/>
          <w:sz w:val="20"/>
        </w:rPr>
        <w:t xml:space="preserve"> Estimated fair value is based on closing price as quoted in public markets.</w:t>
      </w:r>
    </w:p>
    <w:p>
      <w:pPr>
        <w:pStyle w:val="TextBody"/>
        <w:bidi w:val="0"/>
        <w:spacing w:before="210" w:after="283"/>
        <w:jc w:val="left"/>
        <w:rPr>
          <w:rFonts w:ascii="Times New Roman" w:hAnsi="Times New Roman"/>
          <w:sz w:val="20"/>
        </w:rPr>
      </w:pPr>
      <w:r>
        <w:rPr>
          <w:rFonts w:ascii="Times New Roman" w:hAnsi="Times New Roman"/>
          <w:i/>
          <w:color w:val="000000"/>
          <w:sz w:val="20"/>
        </w:rPr>
        <w:t>Senior Notes, Senior Secured Notes and Junior-Priority Secured Notes.</w:t>
      </w:r>
      <w:r>
        <w:rPr>
          <w:rFonts w:ascii="Times New Roman" w:hAnsi="Times New Roman"/>
          <w:color w:val="000000"/>
          <w:sz w:val="20"/>
        </w:rPr>
        <w:t xml:space="preserve"> Estimated fair value is based on the closing market price for these notes.</w:t>
      </w:r>
    </w:p>
    <w:p>
      <w:pPr>
        <w:pStyle w:val="TextBody"/>
        <w:bidi w:val="0"/>
        <w:spacing w:before="210" w:after="283"/>
        <w:jc w:val="left"/>
        <w:rPr>
          <w:rFonts w:ascii="Times New Roman" w:hAnsi="Times New Roman"/>
          <w:sz w:val="20"/>
        </w:rPr>
      </w:pPr>
      <w:r>
        <w:rPr>
          <w:rFonts w:ascii="Times New Roman" w:hAnsi="Times New Roman"/>
          <w:i/>
          <w:color w:val="000000"/>
          <w:sz w:val="20"/>
        </w:rPr>
        <w:t>ABL Facility and other debt.</w:t>
      </w:r>
      <w:r>
        <w:rPr>
          <w:rFonts w:ascii="Times New Roman" w:hAnsi="Times New Roman"/>
          <w:color w:val="000000"/>
          <w:sz w:val="20"/>
        </w:rPr>
        <w:t xml:space="preserve"> The carrying amount of the ABL Facility and all other debt approximates fair value due to the nature of these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10" w:after="283"/>
        <w:jc w:val="left"/>
        <w:rPr>
          <w:rFonts w:ascii="Times New Roman" w:hAnsi="Times New Roman"/>
          <w:sz w:val="20"/>
        </w:rPr>
      </w:pPr>
      <w:r>
        <w:rPr>
          <w:rFonts w:ascii="Times New Roman" w:hAnsi="Times New Roman"/>
          <w:b/>
          <w:color w:val="000000"/>
          <w:sz w:val="20"/>
        </w:rPr>
        <w:t>8. FAIR VALUE</w:t>
      </w:r>
      <w:r>
        <w:rPr>
          <w:rFonts w:ascii="Times New Roman" w:hAnsi="Times New Roman"/>
          <w:color w:val="000000"/>
          <w:sz w:val="20"/>
        </w:rPr>
        <w:t xml:space="preserve"> </w:t>
      </w:r>
    </w:p>
    <w:p>
      <w:pPr>
        <w:pStyle w:val="TextBody"/>
        <w:bidi w:val="0"/>
        <w:spacing w:before="210" w:after="283"/>
        <w:jc w:val="left"/>
        <w:rPr>
          <w:rFonts w:ascii="Times New Roman" w:hAnsi="Times New Roman"/>
          <w:i/>
          <w:color w:val="000000"/>
          <w:sz w:val="20"/>
        </w:rPr>
      </w:pPr>
      <w:r>
        <w:rPr>
          <w:rFonts w:ascii="Times New Roman" w:hAnsi="Times New Roman"/>
          <w:i/>
          <w:color w:val="000000"/>
          <w:sz w:val="20"/>
        </w:rPr>
        <w:t>Fair Value Hierarchy</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the Company utilizes the U.S. GAAP fair value hierarchy that distinguishes between market participant assumptions based on market data obtained from sources independent of the reporting entity (observable inputs that are classified within Levels 1 and 2 of the hierarchy) and the reporting entity’s own assumption about market participant assumptions (unobservable inputs classified within Level 3 of the hierarchy).</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inputs used to measure fair value are classified into the following fair value hierarchy:</w:t>
      </w:r>
    </w:p>
    <w:p>
      <w:pPr>
        <w:pStyle w:val="TextBody"/>
        <w:bidi w:val="0"/>
        <w:spacing w:before="21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Quoted market prices in active markets for identical assets or liabilities.</w:t>
      </w:r>
    </w:p>
    <w:p>
      <w:pPr>
        <w:pStyle w:val="TextBody"/>
        <w:bidi w:val="0"/>
        <w:spacing w:before="21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Observable market-based inputs or unobservable inputs that are corroborated by market data.</w:t>
      </w:r>
    </w:p>
    <w:p>
      <w:pPr>
        <w:pStyle w:val="TextBody"/>
        <w:bidi w:val="0"/>
        <w:spacing w:before="21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Unobservable inputs that are supported by little or no market activity and are significant to the fair value of the assets or liabilities. Level 3 includes values determined using pricing models, discounted cash flow methodologies, or similar techniques reflecting the Company’s own assumptions.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In instances where the determination of the fair value hierarchy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of factors specific to the asset or liability. Transfers between levels within the fair value hierarchy are recognized by the Company on the date of the change in circumstances that requires such transfer. There were no transfers between levels during the six months ended June 30, 2026 and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sets forth, by level within the fair value hierarchy, the financial assets and liabilities recorded at fair value on a recurring basis as of June 30, 2026 and December 31, 2025 (in millions):</w:t>
      </w:r>
    </w:p>
    <w:p>
      <w:pPr>
        <w:pStyle w:val="TextBody"/>
        <w:bidi w:val="0"/>
        <w:jc w:val="left"/>
        <w:rPr/>
      </w:pPr>
      <w:r>
        <w:rPr/>
        <w:t> </w:t>
      </w:r>
    </w:p>
    <w:tbl>
      <w:tblPr>
        <w:tblW w:w="7219" w:type="dxa"/>
        <w:jc w:val="left"/>
        <w:tblInd w:w="0" w:type="dxa"/>
        <w:tblLayout w:type="fixed"/>
        <w:tblCellMar>
          <w:top w:w="28" w:type="dxa"/>
          <w:left w:w="28" w:type="dxa"/>
          <w:bottom w:w="28" w:type="dxa"/>
          <w:right w:w="28" w:type="dxa"/>
        </w:tblCellMar>
      </w:tblPr>
      <w:tblGrid>
        <w:gridCol w:w="2791"/>
        <w:gridCol w:w="146"/>
        <w:gridCol w:w="270"/>
        <w:gridCol w:w="540"/>
        <w:gridCol w:w="146"/>
        <w:gridCol w:w="146"/>
        <w:gridCol w:w="277"/>
        <w:gridCol w:w="458"/>
        <w:gridCol w:w="146"/>
        <w:gridCol w:w="146"/>
        <w:gridCol w:w="245"/>
        <w:gridCol w:w="490"/>
        <w:gridCol w:w="146"/>
        <w:gridCol w:w="146"/>
        <w:gridCol w:w="277"/>
        <w:gridCol w:w="458"/>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669" w:type="dxa"/>
        <w:jc w:val="left"/>
        <w:tblInd w:w="0" w:type="dxa"/>
        <w:tblLayout w:type="fixed"/>
        <w:tblCellMar>
          <w:top w:w="28" w:type="dxa"/>
          <w:left w:w="28" w:type="dxa"/>
          <w:bottom w:w="28" w:type="dxa"/>
          <w:right w:w="28" w:type="dxa"/>
        </w:tblCellMar>
      </w:tblPr>
      <w:tblGrid>
        <w:gridCol w:w="2791"/>
        <w:gridCol w:w="146"/>
        <w:gridCol w:w="419"/>
        <w:gridCol w:w="841"/>
        <w:gridCol w:w="146"/>
        <w:gridCol w:w="146"/>
        <w:gridCol w:w="277"/>
        <w:gridCol w:w="458"/>
        <w:gridCol w:w="146"/>
        <w:gridCol w:w="146"/>
        <w:gridCol w:w="245"/>
        <w:gridCol w:w="490"/>
        <w:gridCol w:w="146"/>
        <w:gridCol w:w="146"/>
        <w:gridCol w:w="277"/>
        <w:gridCol w:w="458"/>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0" w:after="283"/>
        <w:jc w:val="left"/>
        <w:rPr>
          <w:rFonts w:ascii="Times New Roman" w:hAnsi="Times New Roman"/>
          <w:color w:val="000000"/>
          <w:sz w:val="20"/>
        </w:rPr>
      </w:pPr>
      <w:r>
        <w:rPr>
          <w:rFonts w:ascii="Times New Roman" w:hAnsi="Times New Roman"/>
          <w:color w:val="000000"/>
          <w:sz w:val="20"/>
        </w:rPr>
        <w:t>Investments in equity securities classified as Level 1 are measured using quoted market prices. Level 2 available-for-sale debt securities and trading securities primarily consist of bonds and notes issued by the United States government and its agencies and domestic and foreign corporations. The estimated fair values of these securities are determined using various valuation techniques, including a multi-dimensional relational model that incorporates standard observable inputs and assumptions such as benchmark yields, reported trades, broker/dealer quotes, issuer spreads, benchmark securities, bids/offers and other pertinent reference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 utilizes operating and finance leases for the use of certain hospitals, medical office buildings, and medical equipment. The components of lease cost and rent expense for the three and six months ended June 30, 2026 and 2025 are as follows (in millions):</w:t>
      </w:r>
    </w:p>
    <w:p>
      <w:pPr>
        <w:pStyle w:val="TextBody"/>
        <w:bidi w:val="0"/>
        <w:jc w:val="left"/>
        <w:rPr/>
      </w:pPr>
      <w:r>
        <w:rPr/>
        <w:t> </w:t>
      </w:r>
    </w:p>
    <w:tbl>
      <w:tblPr>
        <w:tblW w:w="7468" w:type="dxa"/>
        <w:jc w:val="left"/>
        <w:tblInd w:w="0" w:type="dxa"/>
        <w:tblLayout w:type="fixed"/>
        <w:tblCellMar>
          <w:top w:w="28" w:type="dxa"/>
          <w:left w:w="28" w:type="dxa"/>
          <w:bottom w:w="28" w:type="dxa"/>
          <w:right w:w="28" w:type="dxa"/>
        </w:tblCellMar>
      </w:tblPr>
      <w:tblGrid>
        <w:gridCol w:w="3111"/>
        <w:gridCol w:w="146"/>
        <w:gridCol w:w="287"/>
        <w:gridCol w:w="471"/>
        <w:gridCol w:w="199"/>
        <w:gridCol w:w="199"/>
        <w:gridCol w:w="287"/>
        <w:gridCol w:w="430"/>
        <w:gridCol w:w="166"/>
        <w:gridCol w:w="146"/>
        <w:gridCol w:w="219"/>
        <w:gridCol w:w="437"/>
        <w:gridCol w:w="172"/>
        <w:gridCol w:w="151"/>
        <w:gridCol w:w="219"/>
        <w:gridCol w:w="437"/>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rent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Supplemental balance sheet information related to leases is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2"/>
        <w:gridCol w:w="546"/>
        <w:gridCol w:w="3753"/>
        <w:gridCol w:w="146"/>
        <w:gridCol w:w="382"/>
        <w:gridCol w:w="761"/>
        <w:gridCol w:w="166"/>
        <w:gridCol w:w="146"/>
        <w:gridCol w:w="522"/>
        <w:gridCol w:w="1047"/>
        <w:gridCol w:w="214"/>
      </w:tblGrid>
      <w:tr>
        <w:trPr/>
        <w:tc>
          <w:tcPr>
            <w:tcW w:w="25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finance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Supplemental cash flow information related to leases for the six months ended June 30, 2026 and 2025 is as follows (in millions):</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6196"/>
        <w:gridCol w:w="146"/>
        <w:gridCol w:w="250"/>
        <w:gridCol w:w="375"/>
        <w:gridCol w:w="173"/>
        <w:gridCol w:w="173"/>
        <w:gridCol w:w="250"/>
        <w:gridCol w:w="411"/>
        <w:gridCol w:w="3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Operating cash flows from operating leases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Included in the change in other operating assets and liabilities in the condensed consolidated statements of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sz w:val="20"/>
        </w:rPr>
      </w:pPr>
      <w:r>
        <w:rPr>
          <w:rFonts w:ascii="Times New Roman" w:hAnsi="Times New Roman"/>
          <w:b/>
          <w:color w:val="000000"/>
          <w:sz w:val="20"/>
        </w:rPr>
        <w:t>10. STOCKHOLDERS’ DEFICIT</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Authorized capital shares of the Company include 400,000,000 shares of capital stock consisting of 300,000,000 shares of common stock and 100,000,000 shares of preferred stock. Each of the aforementioned classes of capital stock has a par value of $0.01 per share. Shares of preferred stock, none of which were outstanding as of June 30, 2026, may be issued in one or more series having such rights, preferences and other provisions as determined by the Board of Directors without approval by the holders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 a holding company, which operates through its subsidiaries. The ABL Facility and the indentures governing each series of the Company’s outstanding notes contain various covenants under which the assets of the subsidiaries of the Company are subject to certain restrictions relating to, among other matters, dividends and distributions, as referenced in the paragraph below.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ABL Facility and the indentures governing each series of the Company’s outstanding notes restrict the Company’s subsidiaries from, among other matters, paying dividends and making distributions to the Company, which thereby limits the Company’s ability to pay dividends and/or repurchase stock. As of June 30, 2026, under the most restrictive test in these agreements (and subject to certain exceptions), the Company has approximately $300 million of capacity to pay permitted dividends and/or repurchase shares of stock or make other restricted 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schedule below presents the reconciliation of the carrying amount of total equity, equity attributable to the Company’s stockholders, and equity attributable to noncontrolling interests as of June 30, 2026, and during each of the three-month periods following December 31, 2025 (in millions).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3"/>
        <w:gridCol w:w="146"/>
        <w:gridCol w:w="350"/>
        <w:gridCol w:w="671"/>
        <w:gridCol w:w="151"/>
        <w:gridCol w:w="146"/>
        <w:gridCol w:w="146"/>
        <w:gridCol w:w="216"/>
        <w:gridCol w:w="415"/>
        <w:gridCol w:w="146"/>
        <w:gridCol w:w="146"/>
        <w:gridCol w:w="220"/>
        <w:gridCol w:w="531"/>
        <w:gridCol w:w="151"/>
        <w:gridCol w:w="146"/>
        <w:gridCol w:w="350"/>
        <w:gridCol w:w="671"/>
        <w:gridCol w:w="151"/>
        <w:gridCol w:w="146"/>
        <w:gridCol w:w="238"/>
        <w:gridCol w:w="633"/>
        <w:gridCol w:w="151"/>
        <w:gridCol w:w="146"/>
        <w:gridCol w:w="350"/>
        <w:gridCol w:w="671"/>
        <w:gridCol w:w="151"/>
        <w:gridCol w:w="146"/>
        <w:gridCol w:w="254"/>
        <w:gridCol w:w="677"/>
        <w:gridCol w:w="196"/>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Community Health Systems,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b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Disposition of less-than-wholly owned </w:t>
              <w:br/>
              <w: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Adjustment to redemption value of </w:t>
              <w:br/>
              <w:t xml:space="preserve">   redeemable noncontrolling </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Cancellation of restricted stock for </w:t>
              <w:br/>
              <w:t>   tax withholdings on vested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interests in acquired entities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Disposition of less-than-wholly owned </w:t>
              <w:br/>
              <w: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Adjustment to redemption value of </w:t>
              <w:br/>
              <w:t xml:space="preserve">   redeemable noncontrolling </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schedule presents the reconciliation of the carrying amount of total equity, equity attributable to the Company’s stockholders, and equity attributable to the noncontrolling interests as of June 30, 2025, and during each of the three-month periods following December 31, 2024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3"/>
        <w:gridCol w:w="146"/>
        <w:gridCol w:w="350"/>
        <w:gridCol w:w="671"/>
        <w:gridCol w:w="151"/>
        <w:gridCol w:w="146"/>
        <w:gridCol w:w="146"/>
        <w:gridCol w:w="216"/>
        <w:gridCol w:w="415"/>
        <w:gridCol w:w="146"/>
        <w:gridCol w:w="146"/>
        <w:gridCol w:w="220"/>
        <w:gridCol w:w="531"/>
        <w:gridCol w:w="151"/>
        <w:gridCol w:w="146"/>
        <w:gridCol w:w="350"/>
        <w:gridCol w:w="671"/>
        <w:gridCol w:w="151"/>
        <w:gridCol w:w="146"/>
        <w:gridCol w:w="238"/>
        <w:gridCol w:w="633"/>
        <w:gridCol w:w="151"/>
        <w:gridCol w:w="146"/>
        <w:gridCol w:w="350"/>
        <w:gridCol w:w="671"/>
        <w:gridCol w:w="151"/>
        <w:gridCol w:w="146"/>
        <w:gridCol w:w="254"/>
        <w:gridCol w:w="677"/>
        <w:gridCol w:w="196"/>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Community Health Systems,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b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Distributions to noncontrolling </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Disposition of less-than-wholly owned </w:t>
              <w:br/>
              <w: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Adjustment to redemption value of </w:t>
              <w:br/>
              <w:t>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Cancellation of restricted stock for </w:t>
              <w:br/>
              <w:t>   tax withholdings on vested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Contributions from noncontrolling </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Disposition of less-than-wholly owned </w:t>
              <w:br/>
              <w:t>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Adjustment to redemption value of </w:t>
              <w:br/>
              <w:t>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11. EARNINGS PER SHARE</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sets forth the components of the denominator for the computation of basic and diluted earnings per share for net income attributable to Community Health Systems, Inc.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4"/>
        <w:gridCol w:w="146"/>
        <w:gridCol w:w="146"/>
        <w:gridCol w:w="1141"/>
        <w:gridCol w:w="146"/>
        <w:gridCol w:w="146"/>
        <w:gridCol w:w="146"/>
        <w:gridCol w:w="1141"/>
        <w:gridCol w:w="146"/>
        <w:gridCol w:w="146"/>
        <w:gridCol w:w="146"/>
        <w:gridCol w:w="1141"/>
        <w:gridCol w:w="146"/>
        <w:gridCol w:w="146"/>
        <w:gridCol w:w="146"/>
        <w:gridCol w:w="1141"/>
        <w:gridCol w:w="391"/>
      </w:tblGrid>
      <w:tr>
        <w:trPr/>
        <w:tc>
          <w:tcPr>
            <w:tcW w:w="3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135,494,789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133,763,733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134,958,950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133,322,663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equity-based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136,505,102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134,882,981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135,872,382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134,174,794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sets forth the dilutive securities outstanding not included in the computation of earnings per share because their effect is antidilutive:</w:t>
      </w:r>
    </w:p>
    <w:tbl>
      <w:tblPr>
        <w:tblW w:w="10205" w:type="dxa"/>
        <w:jc w:val="left"/>
        <w:tblInd w:w="0" w:type="dxa"/>
        <w:tblLayout w:type="fixed"/>
        <w:tblCellMar>
          <w:top w:w="28" w:type="dxa"/>
          <w:left w:w="28" w:type="dxa"/>
          <w:bottom w:w="28" w:type="dxa"/>
          <w:right w:w="28" w:type="dxa"/>
        </w:tblCellMar>
      </w:tblPr>
      <w:tblGrid>
        <w:gridCol w:w="4484"/>
        <w:gridCol w:w="146"/>
        <w:gridCol w:w="146"/>
        <w:gridCol w:w="931"/>
        <w:gridCol w:w="146"/>
        <w:gridCol w:w="146"/>
        <w:gridCol w:w="146"/>
        <w:gridCol w:w="931"/>
        <w:gridCol w:w="146"/>
        <w:gridCol w:w="146"/>
        <w:gridCol w:w="146"/>
        <w:gridCol w:w="931"/>
        <w:gridCol w:w="146"/>
        <w:gridCol w:w="146"/>
        <w:gridCol w:w="146"/>
        <w:gridCol w:w="931"/>
        <w:gridCol w:w="391"/>
      </w:tblGrid>
      <w:tr>
        <w:trPr/>
        <w:tc>
          <w:tcPr>
            <w:tcW w:w="4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securities outstanding not included in the computation</w:t>
              <w:br/>
              <w:t>   of earnings per share because their effect is antidilutive: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 and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6,273,219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Company is principally engaged in the provision of healthcare services, including a broad range of general and specialized hospital healthcare services and outpatient services. Services are delivered within hospitals that the Company owns or operates as well as related healthcare entities that exist to support and supplement services provided in their associated hospital, including, for example, physician practices, urgent care centers, freestanding emergency departments, occupational medicine clinics, imaging centers, cancer centers and ambulatory surgery centers.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Company has a single reportable segment represented by hospital operations, which includes its general acute care hospitals and related healthcare entities that provide inpatient and outpatient healthcare services. The Company defined its single reportable segment consistent with the manner in which internally reported financial information is regularly reviewed by the Company’s chief executive officer, who is the Company’s chief operating decision maker (“CODM”). Resources are allocated and financial performance is assessed on a consolidated basis.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CODM does not review assets at a different level or category than the amounts disclosed in the condensed consolidated balance sheets.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Company’s CODM uses net income, as presented in the condensed consolidated statements of income, to assess performance and allocate resources. Net income is used in the annual budgeting process as well as throughout the period when projecting or forecasting quarterly and full-year performance. The CODM considers budget-to-actual and actual versus prior period (prior month, prior year, etc.) variances on a periodic basis as a means of assessing performance. The following segment information, including significant segment expenses, is presented in millions:</w:t>
      </w:r>
    </w:p>
    <w:p>
      <w:pPr>
        <w:pStyle w:val="TextBody"/>
        <w:bidi w:val="0"/>
        <w:spacing w:before="210" w:after="283"/>
        <w:jc w:val="left"/>
        <w:rPr/>
      </w:pPr>
      <w:r>
        <w:rPr/>
        <w:t> </w:t>
      </w:r>
    </w:p>
    <w:tbl>
      <w:tblPr>
        <w:tblW w:w="9963" w:type="dxa"/>
        <w:jc w:val="left"/>
        <w:tblInd w:w="0" w:type="dxa"/>
        <w:tblLayout w:type="fixed"/>
        <w:tblCellMar>
          <w:top w:w="28" w:type="dxa"/>
          <w:left w:w="28" w:type="dxa"/>
          <w:bottom w:w="28" w:type="dxa"/>
          <w:right w:w="28" w:type="dxa"/>
        </w:tblCellMar>
      </w:tblPr>
      <w:tblGrid>
        <w:gridCol w:w="4086"/>
        <w:gridCol w:w="146"/>
        <w:gridCol w:w="295"/>
        <w:gridCol w:w="799"/>
        <w:gridCol w:w="232"/>
        <w:gridCol w:w="204"/>
        <w:gridCol w:w="295"/>
        <w:gridCol w:w="799"/>
        <w:gridCol w:w="166"/>
        <w:gridCol w:w="146"/>
        <w:gridCol w:w="268"/>
        <w:gridCol w:w="726"/>
        <w:gridCol w:w="211"/>
        <w:gridCol w:w="185"/>
        <w:gridCol w:w="268"/>
        <w:gridCol w:w="726"/>
        <w:gridCol w:w="41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Medical specialist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Impairment and (gain) loss on sale of </w:t>
              <w:br/>
              <w:t>   businesses,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from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0" w:after="283"/>
        <w:jc w:val="left"/>
        <w:rPr>
          <w:rFonts w:ascii="Times New Roman" w:hAnsi="Times New Roman"/>
          <w:color w:val="000000"/>
          <w:sz w:val="20"/>
        </w:rPr>
      </w:pPr>
      <w:r>
        <w:rPr>
          <w:rFonts w:ascii="Times New Roman" w:hAnsi="Times New Roman"/>
          <w:color w:val="000000"/>
          <w:sz w:val="20"/>
        </w:rPr>
        <w:t>Other segment items include various purchased services and other operating expenses including, for example, lease cost and rent expense, contract labor, repairs and maintenance, utilities, professional liability claims expense and software maintenance fees.</w:t>
      </w:r>
    </w:p>
    <w:p>
      <w:pPr>
        <w:pStyle w:val="TextBody"/>
        <w:bidi w:val="0"/>
        <w:spacing w:before="210" w:after="283"/>
        <w:jc w:val="left"/>
        <w:rPr/>
      </w:pPr>
      <w:r>
        <w:rPr/>
        <w:t> </w:t>
      </w:r>
    </w:p>
    <w:p>
      <w:pPr>
        <w:pStyle w:val="TextBody"/>
        <w:bidi w:val="0"/>
        <w:spacing w:before="10" w:after="283"/>
        <w:jc w:val="left"/>
        <w:rPr>
          <w:rFonts w:ascii="Times New Roman" w:hAnsi="Times New Roman"/>
          <w:b/>
          <w:color w:val="000000"/>
          <w:sz w:val="20"/>
        </w:rPr>
      </w:pPr>
      <w:r>
        <w:rPr>
          <w:rFonts w:ascii="Times New Roman" w:hAnsi="Times New Roman"/>
          <w:b/>
          <w:color w:val="000000"/>
          <w:sz w:val="20"/>
        </w:rPr>
        <w:t>13. CONTINGENCIES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Company is a party to various legal, regulatory and governmental proceedings incidental to its business. Based on current knowledge, management does not believe that loss contingencies arising from pending legal, regulatory and governmental matters will have a material adverse effect on the consolidated financial position or liquidity of the Company. However, in light of the inherent uncertainties involved in pending legal, regulatory and governmental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COMMUNITY HEALTH SYSTEMS, INC. AND SUBSIDIARIES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NOTES TO CONDENSED CONSOLIDATED FINANCIAL STATEMENTS (UNAUDITED) – (continued)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With respect to all legal, regulatory and governmental proceedings, the Company considers the likelihood of a negative outcome. If the Company determines the likelihood of a negative outcome with respect to any such matter is probable and the amount of the loss can be reasonably estimated, the Company records an accrual for the estimated loss for the expected outcome of the matter. If the likelihood of a negative outcome with respect to material matters is reasonably possible and the Company is able to determine an estimate of the possible loss or a range of loss, whether in excess of a related accrued liability or where there is no accrued liability, the Company discloses the estimate of the possible loss or range of loss. However, the Company is unable to estimate a possible loss or range of loss in some instances based on the significant uncertainties involved in, and/or the preliminary nature of, certain legal, regulatory and governmental matters.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table below presents a reconciliation of the beginning and ending liability balances (in millions) during the six months ended June 30, 2026, with respect to the Company’s determination of the contingencies of the Company in respect of which an accrual has been recorded. The liability as of June 30, 2026 is comprised of individually insignificant amounts for various matters.</w:t>
      </w:r>
    </w:p>
    <w:p>
      <w:pPr>
        <w:pStyle w:val="TextBody"/>
        <w:bidi w:val="0"/>
        <w:spacing w:before="210" w:after="283"/>
        <w:jc w:val="left"/>
        <w:rPr>
          <w:rFonts w:ascii="Times New Roman" w:hAnsi="Times New Roman"/>
          <w:color w:val="000000"/>
          <w:sz w:val="20"/>
          <w:u w:val="single"/>
        </w:rPr>
      </w:pPr>
      <w:r>
        <w:rPr>
          <w:rFonts w:ascii="Times New Roman" w:hAnsi="Times New Roman"/>
          <w:color w:val="000000"/>
          <w:sz w:val="20"/>
          <w:u w:val="single"/>
        </w:rPr>
        <w:t>Summary of Recorded Amounts</w:t>
      </w:r>
    </w:p>
    <w:p>
      <w:pPr>
        <w:pStyle w:val="TextBody"/>
        <w:bidi w:val="0"/>
        <w:jc w:val="left"/>
        <w:rPr/>
      </w:pPr>
      <w:r>
        <w:rPr/>
        <w:t> </w:t>
      </w:r>
    </w:p>
    <w:tbl>
      <w:tblPr>
        <w:tblW w:w="4244" w:type="dxa"/>
        <w:jc w:val="left"/>
        <w:tblInd w:w="0" w:type="dxa"/>
        <w:tblLayout w:type="fixed"/>
        <w:tblCellMar>
          <w:top w:w="28" w:type="dxa"/>
          <w:left w:w="28" w:type="dxa"/>
          <w:bottom w:w="28" w:type="dxa"/>
          <w:right w:w="28" w:type="dxa"/>
        </w:tblCellMar>
      </w:tblPr>
      <w:tblGrid>
        <w:gridCol w:w="2596"/>
        <w:gridCol w:w="146"/>
        <w:gridCol w:w="488"/>
        <w:gridCol w:w="803"/>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Probable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insured claim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applicable accounting guidance, the Company establishes a liability for litigation, regulatory and governmental matters for which, based on information currently available, the Company believes that a negative outcome is known or is probable and the amount of the loss is reasonably estimable. For all such matters (whether or not discussed in this contingencies footnote), such amounts have been recorded in other accrued liabilities in the condensed consolidated balance sheets and are included in the table above. Due to the uncertainties and difficulty in predicting the ultimate resolution of these contingencies, the actual amount could differ from the estimated amount reflected as a liability in the condensed consolidated balance sheets.</w:t>
      </w:r>
    </w:p>
    <w:p>
      <w:pPr>
        <w:pStyle w:val="TextBody"/>
        <w:bidi w:val="0"/>
        <w:jc w:val="left"/>
        <w:rPr/>
      </w:pPr>
      <w:r>
        <w:rPr/>
        <w:t> </w:t>
      </w:r>
    </w:p>
    <w:p>
      <w:pPr>
        <w:pStyle w:val="TextBody"/>
        <w:bidi w:val="0"/>
        <w:spacing w:before="10" w:after="283"/>
        <w:jc w:val="left"/>
        <w:rPr/>
      </w:pPr>
      <w:r>
        <w:rPr/>
        <w:t> </w:t>
      </w:r>
    </w:p>
    <w:p>
      <w:pPr>
        <w:pStyle w:val="TextBody"/>
        <w:bidi w:val="0"/>
        <w:spacing w:before="1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2_managements_discussion_analysis_f"/>
      <w:bookmarkEnd w:id="7"/>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You should read this discussion together with our condensed consolidated financial statements and the accompanying notes included herein.</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Throughout this Quarterly Report on Form 10-Q, or Form 10-Q, we refer to Community Health Systems, Inc., or the Parent Company, and its consolidated subsidiaries in a simplified manner and on a collective basis, using words like “we,” “our,” “us” and the “Company.” This drafting style is suggested by the Securities and Exchange Commission, or SEC, and is not meant to indicate that the publicly-traded Parent Company or any particular subsidiary of the Parent Company owns or operates any asset, business or property. The hospitals, operations and businesses described in this filing are owned and operated by distinct and indirect subsidiaries of Community Health Systems, Inc.</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We are one of the nation’s largest healthcare companies. Our affiliates are leading providers of healthcare services, developing and operating healthcare delivery systems in 32 distinct markets across 12 states. As of June 30, 2026, our subsidiaries own or lease 60 affiliated hospitals, with more than 8,000 beds, and operate more than 800 sites of care, including physician practices, urgent care centers, freestanding emergency departments, occupational medicine clinics, imaging centers, cancer centers and ambulatory surgery centers. We generate revenues by providing a broad range of general and specialized hospital healthcare services and outpatient services to patients in the communities in which we are located. For the hospitals and other sites of care that we own and operate, we are paid for our services by governmental agencies, private insurers and directly by the patients we serve. </w:t>
      </w:r>
    </w:p>
    <w:p>
      <w:pPr>
        <w:pStyle w:val="TextBody"/>
        <w:bidi w:val="0"/>
        <w:spacing w:before="210" w:after="283"/>
        <w:jc w:val="left"/>
        <w:rPr>
          <w:rFonts w:ascii="Times New Roman" w:hAnsi="Times New Roman"/>
          <w:sz w:val="20"/>
        </w:rPr>
      </w:pPr>
      <w:r>
        <w:rPr>
          <w:rFonts w:ascii="Times New Roman" w:hAnsi="Times New Roman"/>
          <w:b/>
          <w:color w:val="000000"/>
          <w:sz w:val="20"/>
        </w:rPr>
        <w:t>Acquisition and Divestiture Activity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we paid approximately $53 million to acquire the operating assets and related businesses of certain physician practices and clinics, as well as controlling interests in two ambulatory surgery centers. The purchase price for these transactions will primarily be allocated to working capital, goodwill and noncontrolling interests.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During the six months ended June 30, 2026, as reflected in the table below, we completed the divestiture of four hospitals in Arkansas, three hospitals in Pennsylvania, one hospital in Alabama, and sold our 80% ownership interest in one hospital in Tennessee. These hospitals represented annual net operating revenues in 2025 of approximately $1.6 billion and we received total net proceeds of approximately $1.2 billion in connection with these dispositions.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provides a summary of hospitals that we divested (or, in the cases of Merit Health Biloxi and Merit Health Madison, in which we sold our 50% ownership interest, and in the cases of Tennova Healthcare - Clarksville and Cedar Park Regional Medical Center, in which we sold our 80% ownership interest) during the six months ended June 30, 2026 and the year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6"/>
        <w:gridCol w:w="146"/>
        <w:gridCol w:w="2602"/>
        <w:gridCol w:w="146"/>
        <w:gridCol w:w="1887"/>
        <w:gridCol w:w="146"/>
        <w:gridCol w:w="781"/>
        <w:gridCol w:w="146"/>
        <w:gridCol w:w="1345"/>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Hospital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Buyer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City, 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Licensed</w:t>
              <w:br/>
              <w:t>Beds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Effective Date</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Tennova Healthcare - Clarksville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Vanderbilt University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Clarksville, Tennessee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Wilkes-Barre General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Tenor Health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Wilkes-Barre, 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Regional Hospital of Scranton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Tenor Health Foundation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Scranton, 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Moses Taylor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Tenor Health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Scranton, 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Crestwood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Huntsville Hospital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Huntsville, Alabama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Medical Center - Bentonville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Bentonville, Arkansas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Medical Center - Springdale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Springdale, Arkansas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Willow Creek Women’s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Johnson, Arkansas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Siloam Springs Regional Hospital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Freeman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Siloam Springs, Arkansas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Merit Health Biloxi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Memorial Health System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Biloxi, Mississippi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2025</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ShorePoint Health - Port Charlotte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AdventHealth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 Charlotte, 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ShorePoint Health - Punta Gorda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AdventHealth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Punta Gorda, 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2025</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Lake Norman Regional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Duke University Health System,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Mooresville,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Merit Health Madison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University of Mississippi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Canton, Mississippi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 2025</w:t>
            </w:r>
          </w:p>
        </w:tc>
      </w:tr>
      <w:tr>
        <w:trPr/>
        <w:tc>
          <w:tcPr>
            <w:tcW w:w="3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Cedar Park Regional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Ascension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Cedar Park, 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Northwest Health Physicians' Specialty Hospital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Washington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Fayetteville, Arkansas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1, 2025</w:t>
            </w:r>
          </w:p>
        </w:tc>
      </w:tr>
      <w:tr>
        <w:trPr/>
        <w:tc>
          <w:tcPr>
            <w:tcW w:w="3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We may give consideration to divesting certain additional hospitals and non-hospital businesses. Generally, these hospitals and non-hospital businesses are not in one of our strategically beneficial service areas, are less complementary to our business strategy and/or have lower operating margins. In addition, we continue to receive interest from potential acquirers for certain of our hospitals and non-hospital businesses. As such, we may sell additional hospitals and/or non-hospital businesses if we consider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disposition to be in our best interests. We expect proceeds from any such divestitures to be used for general corporate purposes (including potential debt repayments and/or debt repurchases) and capital expenditures.</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Overview of Operating Results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operating revenues decreased from $3.133 billion for the three months ended June 30, 2025 to $2.825 billion for the three months ended June 30, 2026. On a same-store basis, net operating revenues for the three months ended June 30, 2026 increased $65 million compared to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We had net income of $104 million during the three months ended June 30, 2026, compared to $320 million for the same period in 2025. Net income for the three months ended June 30, 2026 included the following: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an after-tax charge of $4 million for loss from early extinguishment of debt,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charge of $2 million for employee terminations and other restructuring charges,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an after-tax benefit of $101 million resulting primarily from a gain from the divestiture of one hospital, partially offset by (i) a net impairment charge to adjust the carrying value of long-lived assets at a hospital that was divested at a sales price below carrying value, and (ii) an impairment charge recorded to reduce the carrying value of several assets that were idled, disposed or held-for-sale.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Net income for the three months ended June 30, 2025 included the following:</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benefit of $139 million for gain from early extinguishment of debt,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benefit of $151 million resulting from a gain related to the divestiture of two hospitals, partially offset by a loss on the divestiture of our ownership interest in a hospital and the impairment of certain long-lived assets that were idled, or disposed as well as divestiture related costs.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Consolidated inpatient admissions for the three months ended June 30, 2026, decreased 11.4%, compared to the same period in 2025. Consolidated adjusted admissions for the three months ended June 30, 2026, decreased 11.7%, compared to the same period in 2025. Same-store inpatient admissions for the three months ended June 30, 2026, increased 1.9%, compared to the same period in 2025, and same-store adjusted admissions for the three months ended June 30, 2026, increased 2.9%, compared to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operating revenues decreased from $6.292 billion for the six months ended June 30, 2025 to $5.790 billion for the six months ended June 30, 2026. On a same-store basis, net operating revenues for the six months ended June 30, 2026 increased $135 million compared to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We had net income of $79 million during the six months ended June 30, 2026, compared to $345 million for the same period in 2025. Net income for the six months ended June 30, 2026 included the following: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an after-tax charge of $11 million for loss from early extinguishment of debt,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charge of $2 million for employee terminations and other restructuring charges,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an after-tax benefit of $115 million resulting primarily from gains from the divestiture of one hospital and the divestiture of a controlling interest in another hospital, partially offset by (i) a net impairment charge to adjust the carrying value of long-lived assets at hospitals that were divested at a sales price below carrying value, and (ii) an impairment charge recorded to reduce the carrying value of several assets that were idled, disposed or held-for-sale.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Net income for the six months ended June 30, 2025 included the following:</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benefit of $139 million for gain from early extinguishment of debt,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charge of $7 million for expenses related to costs associated with our multi-year initiative to modernize and consolidate technology platforms and associated processes,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 after-tax benefit of $148 million resulting from a gain related to the divestiture of four hospitals, partially offset by losses on the divestiture of our ownership interest in two separate hospitals and the impairment of certain long-lived assets that were idled or disposed as well as divestiture related costs.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Both consolidated inpatient admissions and adjusted admissions decreased 11.1% for the six months ended June 30, 2026, compared to the same period in 2025. Same-store inpatient admissions for the six months ended June 30, 2026, were flat, compared to the same period in 2025, and same-store adjusted admissions for the six months ended June 30, 2026, increased 1.0%, compared to the same period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Self-pay revenues represented approximately 1.4% and 0.6% for the three months ended June 30, 2026 and 2025, respectively, and 1.2% and 0.6% for the six months ended June 30, 2026 and 2025, respectively. The amount of foregone revenue related to providing charity care services as a percentage of net operating revenues was approximately 18.3% and 10.7% for the three months ended June 30, 2026 and 2025, respectively, and 14.9% and 10.2% for the six months ended June 30, 2026 and 2025, respectively. Direct and indirect costs incurred in providing charity care services as a percentage of net operating revenues was approximately 1.8% and 1.1% for the three months ended June 30, 2026 and 2025, respectively, and 1.5% and 1.1% for the six months ended June 30, 2026 and 2025, respectively. </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Overview of Legislative and Other Governmental Developments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healthcare industry is subject to changing political, regulatory, economic and other influences that may affect our business and is heavily regulated. Federal agencies oversee, regulate and otherwise affect many aspects of our business, including through Medicare and Medicaid policies, policies affecting the size of the uninsured population and enforcement and interpretation of fraud and abuse laws. The outcome of the 2024 federal elections, including Republican control of both the executive and legislative branches, has increased regulatory uncertainty and the likelihood of ongoing significant policy changes. President Trump has issued several executive orders that impact or may impact the healthcare industry, including orders focused on price transparency and tariffs, and an executive order that established a presidential advisory commission tasked with restructuring government agencies and reducing government expenditures, although this commission was disbanded in mid-2025. Other actions by the presidential administration have resulted in holds on or cancellations of congressionally authorized spending as well as interruptions in the distribution of government funds. In addition, the presidential administration has significant influence on healthcare policy changes through government agency regulation. In March 2025, the Department of Health and Human Services, or HHS, announced a significant agency restructuring that will reduce the HHS workforce and consolidate divisions of the agency. HHS also announced a change in its policy on public participation in rulemaking that may negatively affect the ability of industry participants to receive advance notice of and offer feedback on some policy changes. Regulatory uncertainty has also increased as a result of recent decisions issued by the U.S. Supreme Court that affect review of federal agency actions, including </w:t>
      </w:r>
      <w:r>
        <w:rPr>
          <w:rFonts w:ascii="Times New Roman" w:hAnsi="Times New Roman"/>
          <w:i/>
          <w:color w:val="000000"/>
          <w:sz w:val="20"/>
        </w:rPr>
        <w:t>Loper Bright Enterprises v. Raimondo</w:t>
      </w:r>
      <w:r>
        <w:rPr>
          <w:rFonts w:ascii="Times New Roman" w:hAnsi="Times New Roman"/>
          <w:color w:val="000000"/>
          <w:sz w:val="20"/>
        </w:rPr>
        <w:t>. These U.S. Supreme Court decisions increase judicial scrutiny of agency authority, shift greater responsibility for statutory interpretation to courts and expand the timeline in which a plaintiff can sue regulators. These decisions may increase legal challenges to healthcare regulations and agency guidance and decisions and result in inconsistent judicial interpretations and delays in and other impacts to agency rulemaking and legislative processes. Moreover, evolving interpretations or enforcement of applicable laws and regulations could require us to make changes in our facilities or operations or require us to incur other costs to comply. For example, in May 2025, CMS rescinded Emergency Medical Treatment and Active Labor Act, or EMTALA, guidance issued to hospitals by the prior presidential administration regarding the preemption of state laws restricting abortion. Hospitals may face conflicting interpretations as to the requirements imposed by EMTALA in relation to state laws that address access to abortion or other reproductive health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last two decades, the U.S. Congress and certain state legislatures have introduced and passed a large number of proposals and legislation affecting the healthcare system, including laws intended to increase access to health insurance and reduce healthcare costs and government spending and increase or, more recently, decrease access to health insurance. The Patient Protection and Affordable Care Act, as amended by the Health Care and Education Reconciliation Act of 2010, or, collectively, the Affordable Care Act, expanded health insurance coverage through a combination of public program expansion and private sector health insurance reforms, but changes in the law’s implementation, subsequent legislation and regulations, state initiatives and other factors have affected or may affect the number of individuals that elect or are able to obtain public or private health insurance and the scope of such coverage, if obtained. For example, COVID-19 relief legislation, as modified by subsequent legislation, temporarily enhanced subsidies available for individuals to purchase coverage through Affordable Care Act marketplaces through 2025, but these enhanced subsidies expired at the end of 2025, increasing coverage costs for many individuals. Further, CMS issued final rules in 2025 and 2026 affecting individual market coverage that include changes such as expanding eligibility for high-deductible, low-premium plans and allowing for non-network plans to be offered on federally-facilitated marketplaces. These rules are currently the subject of legal challenges. Moreover, the federal budget reconciliation legislation enacted on July 4, 2025, or the 2025 Reconciliation Law, includes healthcare policy changes that are expected to decrease access to health insurance. Among other provisions, the 2025 Reconciliation Law makes changes to Affordable Care Act marketplace insurance, including effectively ending automatic renewals of coverage by requiring pre-enrollment verification of eligibility and restricting subsidized marketplace coverage and Medicare and Medicaid eligibility based on immigration status. Other legislative and executive branch initiatives related to health insurance could also result in increased prices for consumers purchasing health insurance coverage or may permit the sale of insurance plans that do not satisfy current Affordable Care Act consumer protections. Any of these developments could increase rates of uninsured and underinsured individuals and destabilize insurance markets.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number of people with Affordable Care Act marketplace coverage has decreased since 2025 and may continue to decrease, including as a result of changes in federal policy such as the expiration of enhanced subsidies for individuals to purchase coverage through the Affordable Care Act marketplaces at the end of 2025 as noted above and enrollment integrity efforts. Although we are unable to fully assess the impact of these developments, we believe that the decrease in Affordable Care Act marketplace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adversely impacted our financial results during the three months ended June 30, 2026, and may continue to adversely impact our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Of critical importance to us is the potential impact of any changes specific to the Medicaid program, including changes resulting from legislative and administrative actions at the federal and state levels. Federal actions may impact funding for, or the structure of, the Medicaid program and may shape provider reimbursement rates, eligibility and coverage policies and other aspects of the state Medicaid programs in a manner that could materially and adversely affect us. For example, the 2025 Reconciliation Law includes policy changes that have resulted in and are expected to continue to result in Medicaid spending reductions and changes in administration of state Medicaid programs. The law limits eligibility for Medicaid, including by imposing work or community engagement requirements for adults in Medicaid expansion states, and limits some Medicaid financing mechanisms, including through restrictions intended to reduce the federal matching funds received by state Medicaid programs. Reductions in federal matching funds and increased state obligations and administrative burden could have significant effects, such as resulting in state limitations on eligibility or coverage or changes to Medicaid expansion programs, particularly if states are unable to offset reductions. The effects of the 2025 Reconciliation Law could be particularly significant in states that expanded Medicaid under the Affordable Care Act, especially if a significant number of individuals formerly covered under Medicaid expansion lose Medicaid eligibility but do not obtain other health insurance coverage. Of the 12 states in which we operated hospitals as of June 30, 2026, six states have taken action to expand their Medicaid programs. The other six states in which we operated hospitals as of June 30, 2026, have opted out of Medicaid expansion, including Florida, Alabama, Tennessee, Mississippi and Texas, in which states we operated a significant number of hospitals as of June 30, 2026. Although we are unable to fully assess the magnitude of the future impact of the 2025 Reconciliation Law, we expect the law to adversely impact our revenue and financial results as well as increase the amount of our self-pay patients, including as a result of this legislation’s limitations on Medicaid eligibility and reductions in federal Medicaid funding as noted above.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Medicaid reform proposals may result in further reductions to Medicaid expenditures and involve additional administrative changes. For example, some members of Congress and the presidential administration have raised, and Congress may in the future adopt, other proposals intended to reduce Medicaid expenditures such as restructuring the Medicaid program to give states a “block grant” or fixed amount of overall funding for their respective Medicaid programs or to impose spending caps such as per Medicaid beneficiary limits on federal contributions. Any future changes that reduce federal funding for Medicaid expansion populations could trigger laws in some states that would end those states’ Medicaid expansion or require other changes to the program. In addition to changes related to federal funding, CMS administrators may make changes to Medicaid payment models and may impose new restrictions or grant states additional flexibilities in the administration of Medicaid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federal deficit and other federal and state budgetary pressures have affected government healthcare program expenditures, and we anticipate these effects will continue. For example, the 2025 Reconciliation Law is expected to decrease federal healthcare spending, particularly with respect to Medicaid, and is generally expected to have significant impact on state budgets, which may result in state-level changes such as reductions to the scope of covered services or tax increases. It is possible that future legislation will impose or otherwise result in additional spending reductions.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2025 Reconciliation Law authorized the Rural Health Transformation, or RHT, Program, which is intended to strengthen and modernize healthcare in rural communities. Through the RHT Program, $50 billion in federal grants will be distributed over five years, with $10 billion available in each of federal fiscal years 2026 through 2030, which may partially offset Medicaid spending reductions expected as a result of the 2025 Reconciliation Law as described herein, although the magnitude of such grants will be far less than the anticipated Medicaid spending reductions. In December 2025, CMS announced that all 50 states will receive awards under the RHT Program. Providers may be granted subcontracts or subawards, and providers could receive payments for healthcare items and services, subject to funding policies and limitations. All funds must be spent before October 1, 2032. We are actively evaluating and pursuing various funding opportunities in each state in which we operate. No funds have been obligated to or received by us during the three and six months ended June 30, 2026.</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Reimbursement by government programs may be affected by broad shifts in payment policy. For example, recent changes related to the 340B Drug Pricing Program have implications for all hospitals reimbursed under the outpatient prospective payment system, or PPS, including those, like ours, that do not participate in the program. In 2018, CMS implemented a payment policy that reduced Medicare payments for 340B hospitals for most drugs obtained at 340B-discounted rates and that resulted in increased payments for non-340B hospitals. In June 2022, the U.S. Supreme Court, in </w:t>
      </w:r>
      <w:r>
        <w:rPr>
          <w:rFonts w:ascii="Times New Roman" w:hAnsi="Times New Roman"/>
          <w:i/>
          <w:color w:val="000000"/>
          <w:sz w:val="20"/>
        </w:rPr>
        <w:t>American Hospital Association v. Becerra</w:t>
      </w:r>
      <w:r>
        <w:rPr>
          <w:rFonts w:ascii="Times New Roman" w:hAnsi="Times New Roman"/>
          <w:color w:val="000000"/>
          <w:sz w:val="20"/>
        </w:rPr>
        <w:t xml:space="preserve">, invalidated past payment cuts for hospitals participating in the 340B Drug Pricing Program. In light of the U.S. Supreme Court decision and to achieve budget neutrality, CMS reduced payment rates for non-drug services under the outpatient PPS for calendar year 2023, and lump sum payments were distributed to affected 340B providers as the remedy for calendar years 2018 through 2022. This reduction to payment rates adversely affected our results for the three and six months ended June 30, 2026. Moreover, in order to comply with budget neutrality requirements, HHS finalized a corresponding offset in future non-drug item and service payments for all outpatient PPS providers (except new providers) that will reduce the outpatient PPS conversion factor by 0.5% annually until the past invalidated payments are offset. This annual 0.5% reduction began in calendar year 2026 and was expected to continue for approximately 16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years, but CMS has indicated that it may accelerate this timeline by implementing a larger reduction beginning in calendar year 2027. We anticipate that the reduction to the outpatient PPS conversion factor will adversely impact our results.</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Sources of Revenue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presents the approximate percentages of net operating revenues by payor source for the periods indicated. The data for the periods presented are not strictly comparable due to the effect that businesses acquired, sold, closed or opened during each of the respective periods, as applicable, have had on these statistics.</w:t>
      </w:r>
    </w:p>
    <w:p>
      <w:pPr>
        <w:pStyle w:val="TextBody"/>
        <w:bidi w:val="0"/>
        <w:jc w:val="left"/>
        <w:rPr/>
      </w:pPr>
      <w:r>
        <w:rPr/>
        <w:t> </w:t>
      </w:r>
    </w:p>
    <w:tbl>
      <w:tblPr>
        <w:tblW w:w="8292" w:type="dxa"/>
        <w:jc w:val="left"/>
        <w:tblInd w:w="0" w:type="dxa"/>
        <w:tblLayout w:type="fixed"/>
        <w:tblCellMar>
          <w:top w:w="28" w:type="dxa"/>
          <w:left w:w="28" w:type="dxa"/>
          <w:bottom w:w="28" w:type="dxa"/>
          <w:right w:w="28" w:type="dxa"/>
        </w:tblCellMar>
      </w:tblPr>
      <w:tblGrid>
        <w:gridCol w:w="3616"/>
        <w:gridCol w:w="146"/>
        <w:gridCol w:w="147"/>
        <w:gridCol w:w="578"/>
        <w:gridCol w:w="274"/>
        <w:gridCol w:w="147"/>
        <w:gridCol w:w="147"/>
        <w:gridCol w:w="578"/>
        <w:gridCol w:w="271"/>
        <w:gridCol w:w="146"/>
        <w:gridCol w:w="146"/>
        <w:gridCol w:w="571"/>
        <w:gridCol w:w="271"/>
        <w:gridCol w:w="146"/>
        <w:gridCol w:w="146"/>
        <w:gridCol w:w="571"/>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Managed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and 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shown above, we receive a substantial portion of our revenues from the Medicare, Medicare Managed Care and Medicaid programs. Included in Managed Care and other third-party payors is net operating revenues from insurance companies with which we have insurance provider contracts, insurance companies for which we do not have insurance provider contracts, workers’ compensation carriers and non-patient service revenue, such as gain (loss) on investments, rental income and cafeteria sales. We generally expect the portion of revenues received from the Medicare and Medicare Managed Care programs to increase over the long-term due to the general aging of the population and other factors. The general trend toward increased enrollment in Medicare Managed Care and Medicaid managed care programs, which has slowed or reversed in some cases in recent years, may adversely affect our net operating revenues. We may also be impacted by regulatory requirements imposed on insurers, such as minimum medical-loss ratios and specific benefit requirements. Furthermore, in the normal course of business, managed care programs, insurance companies and employers actively negotiate the amounts paid to hospitals. Our relationships with payors may be impacted by policy developments such as price transparency initiatives and out-of-network billing restrictions, including those in the No Surprises Act. There can be no assurance that we will retain our existing reimbursement arrangements or that third-party payors will not attempt to further reduce the rates they pay for our services. The revenues we receive and our relationships with payors are also expected to be impacted by the 2025 Reconciliation Law, which includes healthcare policy changes that are expected to decrease access to health insurance and result in significant cuts to federal healthcare spending.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operating revenues include amounts estimated by management to be reimbursable by Medicare and Medicaid under prospective payment systems and provisions of cost-based reimbursement and other payment methods. In addition, we are reimbursed by non-governmental payors using a variety of payment methodologies. Amounts we receive for the treatment of patients covered by Medicare, Medicaid and non-governmental payors are generally less than our standard billing rates. We account for the differences between the estimated program reimbursement rates and our standard billing rates as contractual allowance adjustments, which we deduct from gross revenues to arrive at net operating revenues.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by an insignificant amount in both of the three- and six-month periods ended June 30, 2026 and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payment rates under the Medicare program for hospital inpatient and outpatient acute care services are based on prospective payment systems, which depend upon a patient’s diagnosis or the clinical complexity of services provided to a patient, among other factors. These rates are indexed for inflation annually, although increases have historically been less than actual inflation. In its final rule establishing payment rates for federal fiscal year 2026 (which began October 1, 2025) for hospital inpatient acute care services reimbursed under the prospective system, CMS increased payment rates by approximately 2.6%. This increase reflects a market basket increase of 3.3%, reduced by a 0.7 percentage point productivity adjustment. Hospitals that do not submit required patient quality data are subject to payment reductions. We are complying with this data submission requirement. Payments may also be affected by various other adjustments, including those that depend on patient-specific or hospital specific factors. For example, the “two midnight rule” establishes admission and medical review criteria for inpatient services limiting when services to Medicare beneficiaries are payable as inpatient hospital services. Reductions in the rate of increase or overall reductions in Medicare reimbursement may cause a decline in the growth of our net operating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 rates under the Medicaid program vary by state. In addition to the base payment rates for specific claims for services rendered to Medicaid enrollees, several states utilize supplemental reimbursement programs to make separate payments that are not specifically tied to an individual’s care, some of which offset a portion of the cost of providing care to Medicaid and indigent patients. These programs are funded with a combination of state and federal resources, including, in certain instances, fees or taxes levied on the providers. The programs are generally authorized by CMS for a specified period of time and require CMS’s approval to be extended. In addition, as noted above, the 2025 Reconciliation Law includes several changes to Medicaid financing mechanisms, including limitations on provider taxes and state directed payment arrangements. It is difficult to predict the ultimate impact of the legislation on these supplemental programs or whether or on what terms CMS will extend the supplemental programs in the states in which we operate. Under these supplemental programs, we recognize revenue and related expenses in the period in which amounts are estimable and payment is reasonably assured. Reimbursement under these programs is reflected in net operating revenues and included as Medicaid revenue in the table above, and fees, taxes or other program related costs are reflected in other operating expenses.</w:t>
      </w:r>
    </w:p>
    <w:p>
      <w:pPr>
        <w:pStyle w:val="TextBody"/>
        <w:bidi w:val="0"/>
        <w:spacing w:before="21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hospitals and other sites of care offer a broad variety of inpatient and outpatient medical and surgical services. These include general acute care, emergency room, general and specialty surgery, critical care, internal medicine, obstetrics, diagnostic services, psychiatric and rehabilitation services. Utilization of services and our results of operations are dependent on a multitude of factors including seasonal fluctuations in demand. Historically, the strongest demand for hospital services generally occurs during the winter months, and the weakest demand generally occurs during the summer months.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tables summarize, for the periods indicated, selected operating data.</w:t>
      </w:r>
    </w:p>
    <w:p>
      <w:pPr>
        <w:pStyle w:val="TextBody"/>
        <w:bidi w:val="0"/>
        <w:jc w:val="left"/>
        <w:rPr/>
      </w:pPr>
      <w:r>
        <w:rPr/>
        <w:t> </w:t>
      </w:r>
    </w:p>
    <w:tbl>
      <w:tblPr>
        <w:tblW w:w="9782" w:type="dxa"/>
        <w:jc w:val="left"/>
        <w:tblInd w:w="0" w:type="dxa"/>
        <w:tblLayout w:type="fixed"/>
        <w:tblCellMar>
          <w:top w:w="28" w:type="dxa"/>
          <w:left w:w="28" w:type="dxa"/>
          <w:bottom w:w="28" w:type="dxa"/>
          <w:right w:w="28" w:type="dxa"/>
        </w:tblCellMar>
      </w:tblPr>
      <w:tblGrid>
        <w:gridCol w:w="4981"/>
        <w:gridCol w:w="146"/>
        <w:gridCol w:w="147"/>
        <w:gridCol w:w="578"/>
        <w:gridCol w:w="274"/>
        <w:gridCol w:w="147"/>
        <w:gridCol w:w="147"/>
        <w:gridCol w:w="578"/>
        <w:gridCol w:w="271"/>
        <w:gridCol w:w="146"/>
        <w:gridCol w:w="146"/>
        <w:gridCol w:w="571"/>
        <w:gridCol w:w="271"/>
        <w:gridCol w:w="146"/>
        <w:gridCol w:w="146"/>
        <w:gridCol w:w="571"/>
        <w:gridCol w:w="516"/>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results, as a percentage of net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and (gain) loss on sale of businesses,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from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Community Health</w:t>
              <w:br/>
              <w:t>   Systems,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8"/>
        <w:gridCol w:w="146"/>
        <w:gridCol w:w="181"/>
        <w:gridCol w:w="653"/>
        <w:gridCol w:w="399"/>
        <w:gridCol w:w="181"/>
        <w:gridCol w:w="181"/>
        <w:gridCol w:w="895"/>
        <w:gridCol w:w="319"/>
        <w:gridCol w:w="146"/>
        <w:gridCol w:w="178"/>
        <w:gridCol w:w="642"/>
        <w:gridCol w:w="392"/>
        <w:gridCol w:w="178"/>
        <w:gridCol w:w="178"/>
        <w:gridCol w:w="698"/>
        <w:gridCol w:w="520"/>
      </w:tblGrid>
      <w:tr>
        <w:trPr/>
        <w:tc>
          <w:tcPr>
            <w:tcW w:w="4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(decrease) increase from prior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Admissions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admissions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length of stay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Community Health</w:t>
              <w:br/>
              <w:t>   Systems,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percentage increase (decrease) from prior year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Admissions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admissions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Operating expenses include salaries and benefits, supplies, other operating expenses, and lease cost and rent.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Admissions represents the number of patients admitted for inpatient treatment.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Adjusted admissions is a general measure of combined inpatient and outpatient volume. We computed adjusted admissions by multiplying admissions by gross patient revenues and then dividing that number by gross inpatient revenues.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Average length of stay represents the average number of days inpatients stay in our hospitals.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Excludes information for businesses divested or closed during each of the respective periods, as applicable.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Items (b) through (e) are metrics used to manage our performance. These metrics provide useful insight to investors about the volume and acuity of services we provide, which aid in evaluating our financial results.</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operating revenues decreased to $2.825 billion for the three months ended June 30, 2026, compared to $3.133 billion for the same period in 2025. Net operating revenues on a same-store basis from hospitals that were operated throughout both periods increased $65 million, or 2.4%, during the three months ended June 30, 2026, compared to the same period in 2025. On a period-over-period basis, the increase in same-store net operating revenues was primarily attributable to increased volumes and reimbursement rates and higher supplemental reimbursement program revenue, partially offset by an unfavorable change in payor mix. Non-same-store net operating revenues decreased $373 million during the three months ended June 30, 2026, compared to the same period in 2025, due to the divestiture of hospitals in 2026 and 2025. On a consolidated basis, inpatient admissions decreased by 11.4% and adjusted admissions decreased by 11.7% during the three months ended June 30, 2026, compared to the same period in 2025. On a same-store basis, net operating revenues per adjusted admission decreased 0.5%, while inpatient admissions increased by 1.9% and adjusted admissions increased by 2.9% for the three months ended June 30, 2026, compared to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Total operating expenses, as a percentage of net operating revenues, increased from 83.7% during the three months ended June 30, 2025 to 86.2% during the three months ended June 30, 2026. Operating expenses, excluding depreciation and amortization and impairment and (gain) loss on sale of businesses, as a percentage of net operating revenues, increased from 87.9% for the three months ended June 30, 2025 to 88.5% for the three months ended June 30, 2026. Salaries and benefits, as a percentage of net operating revenues, increased from 42.4% for the three months ended June 30, 2025 to 43.8% for the three months ended June 30, 2026, primarily due to increased hiring commensurate with lower utilization of contract labor, inflationary wage increases and the decrease in net operating revenues. Supplies, as a percentage of net operating revenues, decreased from 15.0% for the three months ended June 30, 2025 to 14.2% for the three months ended June 30, 2026, primarily due to changes in the mix of services and the benefit of cost savings initiatives, partially offset by the decrease in net operating revenues. Other operating expenses, as a percentage of net operating revenues, increased from 28.1% for the three months ended June 30, 2025 to 28.3% for the three months ended June 30, 2026, primarily due to the decrease in net operating revenues and higher medical specialist fees, partially offset by lower contract labor and professional liability expenses. Lease cost and rent, as a percentage of net operating revenues, decreased from 2.4% for the three months ended June 30, 2025 to 2.2% for the three months ended June 30, 2026.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Depreciation and amortization, as a percentage of net operating revenues, increased from 3.4% for the three months ended June 30, 2025 to 3.8% for the three months ended June 30, 2026, primarily due to the decrease in net operating revenues.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Impairment and (gain) loss on sale of businesses, net was income of $172 million for the three months ended June 30, 2026, compared to $239 million for the same period in 2025. The income recognized during the three months ended June 30, 2026 was comprised of a gain of approximately $184 million related primarily to the divestiture of one hospital, partially offset by (i) an approximately $5 million net impairment charge to adjust the carrying value of long-lived assets at a hospital that was divested at a sales price below carrying value, and (ii) an approximately $7 million impairment charge recorded to reduce the carrying value of several assets that were idled, disposed or held-for-sale. The income recognized during the three months ended June 30, 2025 was comprised of a gain of approximately $241 million related to the divestiture of two hospitals, partially offset by an approximately $2 million impairment charge to adjust the carrying value of long-lived assets at a hospital that was divested at a sales price below carrying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net, decreased $8 million to $206 million for the three months ended June 30, 2026 from $214 million for the three months ended June 30,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Equity in earnings of unconsolidated affiliates, as a percentage of net operating revenues, remained consistent at 0.1% for both of the three-month periods ended June 30, 2026 and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Loss from early extinguishment of debt of $5 million was recognized during the three months ended June 30, 2026, as a result of the repurchase of certain of our outstanding notes as discussed further in “Liquidity and Capital Resources.” There was a gain of $138 million from early extinguishment of debt during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net results of the above-mentioned changes resulted in income before income taxes decreasing $258 million to $180 million for the three months ended June 30, 2026, compared to $438 million for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Our provision for income taxes for the three months ended June 30, 2026 and 2025 was $76 million and $118 million, respectively, and the effective tax rates were 42.2% and 26.9% for the three months ended June 30, 2026 and 2025, respectively. The decrease in the provision for income taxes and the change in our effective tax rate for the three months ended June 30, 2026, compared to the same period in 2025 was primarily due to a decrease in income before income taxes, a decrease in non-deductible goodwill related to divested hospitals, and the tax effects of the federal budget reconciliation legislation which was enacted on July 4,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Net income, as a percentage of net operating revenues, was 3.7% for the three months ended June 30, 2026, compared to 10.2% for the same period in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Net income attributable to noncontrolling interests as a percentage of net operating revenues was 1.2% for both of the three-month periods ended June 30, 2026 and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income attributable to Community Health Systems, Inc. stockholders was $70 million for the three months ended June 30, 2026, compared to $282 million for the same period in 2025.</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operating revenues decreased to $5.790 billion for the six months ended June 30, 2026, compared to $6.292 billion for the same period in 2025. Net operating revenues on a same-store basis from hospitals that were operated throughout both periods increased $135 million, or 2.5%, during the six months ended June 30, 2026, compared to the same period in 2025. On a period-over-period basis, the increase in same-store net operating revenues was primarily attributable to increased reimbursement rates and supplemental reimbursement program revenue partially offset by an unfavorable change in payor mix. Non-same-store net operating revenues decreased $637 million during the six months ended June 30, 2026, compared to the same period in 2025, due to the divestiture of hospitals in 2026 and 2025. On a consolidated basis, both inpatient admissions and adjusted admissions decreased by 11.1% during the six months ended June 30, 2026, compared to the same period in 2025. On a same-store basis, net operating revenues per adjusted admission increased 1.5%, while inpatient admissions were flat, and adjusted admissions increased by 1.0% for the six months ended June 30, 2026, compared to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Total operating expenses, as a percentage of net operating revenues, increased from 87.4% during the six months ended June 30, 2025 to 88.4% during the six months ended June 30, 2026. Operating expenses, excluding depreciation and amortization and impairment and (gain) loss on sale of businesses, as a percentage of net operating revenues, increased from 88.2% for the six months ended June 30, 2025 to 89.1% for the six months ended June 30, 2026. Salaries and benefits, as a percentage of net operating revenues, increased from 42.9% for the six months ended June 30, 2025 to 44.1% for the six months ended June 30, 2026, primarily due to increased hiring commensurate with lower utilization of contract labor, inflationary wage increases and the decrease in net operating revenues. Supplies, as a percentage of net operating revenues, decreased from 15.2% for the six months ended June 30, 2025 to 14.6% for the six months ended June 30, 2026, primarily due to changes in the mix of services and the benefit of cost savings initiatives, partially offset by the decrease in net operating revenues. Other operating expenses, as a percentage of net operating revenues, increased from 27.8% for the six months ended June 30, 2025 to 28.1% for the six months ended June 30, 2026, primarily due to the decrease in net operating revenues, increased supplemental reimbursement program expense and higher medical specialist fees, partially offset by lower contract labor and professional liability expenses. Lease cost and rent, as a percentage of net operating revenues, remained consistent at 2.3% for both of the six-month periods ended June 30, 2026 and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Depreciation and amortization, as a percentage of net operating revenues, increased from 3.4% for the six months ended June 30, 2025 to 3.8% for the six months ended June 30, 2026, primarily due to the decrease in net operating revenues and the placement of additional assets into service in the current year compared to the prior year.</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Impairment and (gain) loss on sale of businesses, net was income of $262 million for the six months ended June 30, 2026, compared to $263 million for the same period in 2025. The income recognized during the six months ended June 30, 2026 was comprised of a gain of approximately $400 million related to the divestiture of one hospital and the divestiture of a controlling interest in another hospital, partially offset by (i) an approximately $131 million net impairment charge to adjust the carrying value of long-lived assets at hospitals that were divested at a sales price below carrying value, and (ii) an approximately $7 million impairment charge recorded to reduce the carrying value of several assets that were idled, disposed or held-for-sale. The income recognized during the six months ended June 30, 2025 was comprised of a gain of approximately $291 million related to the divestiture of four hospitals, partially offset by (i) an approximately $23 million impairment charge to adjust the carrying value of long-lived assets at two hospitals that were divested at a price below carrying value, and (ii) an approximately $5 million impairment charge recorded to reduce the carrying value of several assets that were idled, disposed or held-for-sale.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net, decreased $13 million to $419 million for the six months ended June 30, 2026 from $432 million for the six months ended June 30,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Loss from early extinguishment of debt of $12 million was recognized during the six months ended June 30, 2026, compared to a gain from early extinguishment of $138 million for the same period in 2025, as a result of the refinancing and extinguishment of certain of our outstanding notes as discussed further in “Liquidity and Capital Resources.”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Equity in earnings of unconsolidated affiliates, as a percentage of net operating revenues, remained consistent at 0.1% for both of the six-month periods ended June 30, 2026 and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net results of the above-mentioned changes resulted in income before income taxes decreasing $261 million to $244 million for the six months ended June 30, 2026, compared to $505 million for the same period in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Our provision for income taxes for the six months ended June 30, 2026 and 2025 was $165 million and $160 million, respectively, and the effective tax rates were 67.6% and 31.7% for the six months ended June 30, 2026 and 2025, respectively. The increase in the provision for income taxes and the change in our effective tax rate for the six months ended June 30, 2026, compared to the same period in 2025 was primarily due to an increase in non-deductible goodwill related to divested hospitals, partially offset by a decrease in income before taxes and the tax effects of the federal budget reconciliation legislation which was enacted on July 4, 2025.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Net income, as a percentage of net operating revenues, was 1.4% for the six months ended June 30, 2026, compared to 5.5% for the same period in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Net income attributable to noncontrolling interests as a percentage of net operating revenues was 1.2% for both of the six-month periods ended June 30, 2026 and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income attributable to Community Health Systems, Inc. stockholders was $12 million for the six months ended June 30, 2026, compared to $269 million for the same period in 2025.</w:t>
      </w:r>
    </w:p>
    <w:p>
      <w:pPr>
        <w:pStyle w:val="TextBody"/>
        <w:bidi w:val="0"/>
        <w:spacing w:before="21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Net cash used in operating activities was approximately $209 million for the six months ended June 30, 2026, compared to approximately $208 million of net cash provided by operating activities for the six months ended June 30, 2025, a change of $417 million. The decrease in net cash provided by operating activities is primarily due to a decrease in accounts payable, an increase in patient accounts receivable and higher cash paid for interest, partially offset by lower cash paid for taxes during the six months ended June 30, 2026, compared to the same period in 2025. Cash paid for interest was $437 million during the six months ended June 30, 2026, compared to $407 million for the same period in 2025. Cash paid for income taxes, net of refunds received, resulted in a net payment of $61 million and $101 million during the six months ended June 30, 2026 and 2025, respectively. Approximately $56 million and $74 million of cash paid for taxes during the six months ended June 30, 2026 and 2025, respectively, related to taxes associated with gains on divested hospitals.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Net cash provided by investing activities was approximately $1.0 billion for the six months ended June 30, 2026, compared to approximately $786 million for the same period in 2025. Net cash provided by investing activities during the six months ended June 30, 2026 was impacted by an increase of $205 million in cash proceeds from dispositions of hospitals and other ancillary operations and a decrease in cash used for other investments of $32 million, partially offset by cash expenditures for the purchases of facilities and other related businesses of $53 million.</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Our net cash used in financing activities was approximately $902 million for the six months ended June 30, 2026, compared to approximately $575 million for the same period in 2025, a change of $327 million. This was primarily due to the net impact of our debt borrowings and repayments during the six months ended June 30, 2026, compared to the same period in 2025. </w:t>
      </w:r>
    </w:p>
    <w:p>
      <w:pPr>
        <w:pStyle w:val="TextBody"/>
        <w:bidi w:val="0"/>
        <w:spacing w:before="20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working capital was approximately $1.1 billion at June 30, 2026 and approximately $1.0 billion at December 31, 2025. Net working capital increased by approximately $39 million between December 31, 2025 and June 30, 2026. The increase is primarily due to increases in patient accounts receivable and prepaid expenses and decreases in accounts payable, accrued liabilities for employee compensation and accrued interest during the six months ended June 30, 2026, partially offset by decreases in cash, supplies, and other current assets and an increase in income tax payable.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cash flows from operations, available sources of capital include amounts available under the asset-based loan credit agreement, or the ABL Credit Agreement, and anticipated access to public and private debt markets as well as proceeds from the disposition of hospitals or other investments such as our minority equity interests in various businesses, as applicable.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ABL Credit Agreement, the lenders have extended to CHS/Community Health Systems, Inc. (a wholly-owned subsidiary of the Parent Company), or CHS, a revolving asset-based loan facility, or ABL Facility. The maximum aggregate amount under the ABL Facility is $1.0 billion, subject to borrowing base capacity. At June 30, 2026, we had no outstanding borrowings and approximately $751 million of additional borrowing capacity (after taking into consideration $32 million of outstanding letters of credit) under the ABL Facility. Letters of credit were reduced during the six months ended June 30, 2026 by $2 million, primarily due to a reduction in collateral for a construction-related bond. The issued letters of credit were primarily in support of potential insurance-related claims and certain bonds. Principal amounts outstanding under the ABL Facility, if any, will be due and payable in full on June 5, 2029.</w:t>
      </w:r>
    </w:p>
    <w:p>
      <w:pPr>
        <w:pStyle w:val="TextBody"/>
        <w:bidi w:val="0"/>
        <w:spacing w:before="210" w:after="283"/>
        <w:jc w:val="left"/>
        <w:rPr>
          <w:rFonts w:ascii="Times New Roman" w:hAnsi="Times New Roman"/>
          <w:i/>
          <w:color w:val="000000"/>
          <w:sz w:val="20"/>
        </w:rPr>
      </w:pPr>
      <w:r>
        <w:rPr>
          <w:rFonts w:ascii="Times New Roman" w:hAnsi="Times New Roman"/>
          <w:i/>
          <w:color w:val="000000"/>
          <w:sz w:val="20"/>
        </w:rPr>
        <w:t>2026 Financing Activity</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On February 2, 2026, we exercised a special call provision to redeem 10% of the original principal amount, or approximately $223 million, of the 10.875% Senior Secured Notes due 2032, at a redemption price of 103% of the principal amount, plus accrued and unpaid interest.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approximately $600 million of cash on hand from recent divestiture proceeds to repurchase approximately $368 million principal amount of its 4.750% Senior Secured Notes due 2031, or approximately 35% of the total outstanding principal amount, and repurchase approximately $231 million principal amount of its 10.875% Senior Secured Notes due 2032, or approximately 13% of the total outstanding principal amount, that were validly tendered and accepted for purchase pursuant to a tender offer that launched on April 22, 2026, and was completed on May 6, 2026, and to pay related fees and expenses. Upon completion of the tender offer, approximately $689 million principal amount of the 4.750% Senior Secured Notes due 2031 remained outstanding and approximately $1.549 billion principal amount of the 10.875% Senior Secured Notes due 2032 remained outstanding.</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For additional information regarding the repurchase of the 4.750% Senior Secured Notes due 2031 and 10.875% Senior Secured Notes due 2032, in connection with this tender offer, see the Current Reports on Form 8-K filed by the Company with the SEC on April 23, 2026 and May 6, 2026.</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 pre-tax loss from early extinguishment of debt of approximately $5 million and $12 million was recognized associated with these financing activities during the three and six months ended June 30, 2026, respectively.</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Additional Liquidity Information</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Our ability to meet the restricted covenants and financial ratios and tests in the ABL Facility and the indentures governing our outstanding notes can be affected by events beyond our control, and we cannot assure you that we will meet those tests. A breach of any of these covenants could result in a default under the ABL Facility and/or the indentures that govern our outstanding notes. Upon the occurrence of an event of default under the ABL Facility or indentures that govern our outstanding notes, all amounts outstanding under the ABL Facility and the indentures that govern our outstanding notes may become immediately due and payable and all commitments under the ABL Facility to extend further credit may be terminated.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As of June 30, 2026, approximately $26 million of our outstanding debt of approximately $9.6 billion is due within the next 12 months.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Net proceeds from divestitures, if any, are expected to be used for general corporate purposes (including potential debt repayments and/or debt repurchases) and capital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our current levels of cash, internally generated cash flows and current levels of availability for additional borrowing under the ABL Facility, our anticipated continued access to the capital markets, and the use of proceeds from any potential future dispositions as noted above, will be sufficient to finance acquisitions, capital expenditures, working capital requirements, and any debt repurchases or other debt repayments we may elect to make or be required to make through the next 12 months and the foreseeable future thereafter. However, ongoing negative economic conditions (including in relation to inflationary pressures, elevated interest rate levels, impacts from the imposition of, or changes in, tariffs, and geopolitical uncertainties) have resulted in, and may continue to result in, significant disruptions of financial and capital markets, which could reduce our ability to access capital and negatively affect our liquidity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elect from time to time to continue to purchase our outstanding debt, including through open market purchases, privately negotiated transactions or otherwise. Any such debt repurchases will depend upon prevailing market conditions, our liquidity requirements, contractual restrictions, applicable securities law requirements and other factors.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outside of the ordinary course of business to our upcoming cash obligations during the three months ended June 30, 2026, from those disclosed under “Capital Resources” in Management’s Discussion and Analysis of Financial Condition and Results of Operations in the 2025 Form 10-K.</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Capital Resources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Cash expenditures for the purchases of facilities and other related businesses were $53 million for the six months ended June 30, 2026 related to cash paid for the acquisition of certain physician practices and clinics, as well as controlling interests in two ambulatory surgery centers, compared to less than $1 million for the six months ended June 30, 2025, which primarily related to cash expenditures for physician practices and clinics.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Capital expenditures relate primarily to expansion and renovation of existing facilities, construction of additional access points such as free-standing emergency departments and ambulatory surgery centers, investments in higher acuity service lines and information technology infrastructure, as well as routine expenditures for equipment, minor renovations and other upgrades. Capital expenditures totaled $152 million and $176 million for the six months ended June 30, 2026 and 2025, respectively. We expect total capital expenditures of approximately $350 million to $400 million in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a hospital purchase agreement from our March 1, 2016 acquisition of Northwest Health - Starke, formerly known as Starke Hospital, we committed to make an investment of up to $15 million toward the construction of a replacement facility in Starke County, Indiana. Construction is required to be completed by the earlier of (i) five years after we enter into a new lease (or amendment to the existing lease) with Starke County, Indiana, or (ii) September 30, 2026. </w:t>
      </w:r>
    </w:p>
    <w:p>
      <w:pPr>
        <w:pStyle w:val="TextBody"/>
        <w:bidi w:val="0"/>
        <w:spacing w:before="210" w:after="283"/>
        <w:jc w:val="left"/>
        <w:rPr>
          <w:rFonts w:ascii="Times New Roman" w:hAnsi="Times New Roman"/>
          <w:sz w:val="20"/>
        </w:rPr>
      </w:pPr>
      <w:r>
        <w:rPr>
          <w:rFonts w:ascii="Times New Roman" w:hAnsi="Times New Roman"/>
          <w:b/>
          <w:color w:val="000000"/>
          <w:sz w:val="20"/>
        </w:rPr>
        <w:t>Reimbursement, Legislative and Regulatory Changes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Ongoing presidential actions, legislative and regulatory efforts and judicial interpretations could reduce or otherwise adversely affect the amount of payments we receive from Medicare and Medicaid and other payors, including through lapses in appropriations and holds on or cancellations of congressionally authorized spending. As noted above, the 2025 Reconciliation Law includes healthcare policy changes that are expected to decrease access to health insurance and result in significant cuts to federal healthcare spending. There is uncertainty regarding the implementation and ultimate impact of the law, but it may adversely affect our revenues. In addition, within the statutory framework of the Medicare and Medicaid programs, there are substantial areas subject to administrative rulings, interpretations and discretion that may affect payments made under those programs. It is unclear how the restructuring efforts within HHS or broader governmental deregulatory initiatives will impact administration of or payment under the Medicare and Medicaid programs. Legal challenges to healthcare regulations and agency guidance, including those related to Medicare and Medicaid payment policies, may also adversely affect payments, and we expect legal challenges to increase as a result of recent U.S. Supreme Court decisions as noted above. The increased potential for legal challenges may result in delays in and other impacts to the agency rulemaking process. Further, the federal and state governments may reduce, withhold or defer the funds available under the Medicare and Medicaid programs, require repayment of previously received funds or require more stringent utilization and quality reviews of hospital facilities. Additionally, there may be a continued rise in managed care programs and further restructuring of the financing and delivery of healthcare in the United States. Any of these events could adversely impact our future financial results. We cannot estimate the impact of Medicare and Medicaid reimbursement changes that have been enacted or otherwise determined or that are currently or may in the future be under consideration. Moreover, we cannot predict whether additional reimbursement reductions, including as a result of the factors described above, will be made or whether any such changes or other restructuring of the financing and delivery of healthcare would have a material adverse effect on our business, financial conditions, results of operations, cash flow, capital resources and liquidity. </w:t>
      </w:r>
    </w:p>
    <w:p>
      <w:pPr>
        <w:pStyle w:val="TextBody"/>
        <w:bidi w:val="0"/>
        <w:spacing w:before="210" w:after="283"/>
        <w:jc w:val="left"/>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are based upon our condensed consolidated financial statements, which have been prepared in accordance with accounting principles generally accepted in the United States of America, or U.S. GAAP. The preparation of these financial statements requires us to make estimates and judgments that affect the reported amount of assets and liabilities, revenues and expenses, and related disclosure of contingent assets and liabilities at the date of our condensed consolidated financial statements. Actual results may differ from these estimates under different assumptions or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Critical accounting policies are defined as those policies that involve a significant level of estimation uncertainty and have had or are reasonably likely to have a material impact on the financial condition or results of operations of the registrant. We believe that our critical accounting policies are limited to those described below. The following information should be read in conjunction with our significant accounting policies included in Note 1 - Basis of Presentation and Significant Accounting Policies of the Notes to the Consolidated Financial Statements included under Part II, Item 8 of the 2025 Form 10-K.</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operating revenues include amounts estimated by management to be reimbursable by Medicare and Medicaid under prospective payment systems and provisions of cost-reimbursement and other payment methods. In addition, we are reimbursed by non-governmental payors using a variety of payment methodologies. Amounts we receive for treatment of patients covered by these programs are generally less than our standard billing rates. Explicit price concessions are recorded for contractual allowances that are calculated and recorded through a combination of internally- and externally-developed data collection and analysis tools to automate the monthly estimation of required contractual allowances. Within these automated systems, payors’ historical paid claims data and contracted amounts are utilized to calculate the contractual allowances. This data is updated on a monthly basis. All hospital contractual allowance calculations are subjected to monthly review by management to ensure reasonableness and accuracy. We account for the differences between the estimated program reimbursement rates and the standard billing rates as contractual allowance adjustments, which is one component of the deductions from gross revenues to arrive at net operating revenues. The process of estimating contractual allowances requires us to estimate the amount expected to be received based on payor contract provisions. The key assumption in this process is the estimated contractual reimbursement percentage, which is based on payor classification, historical paid claims data and, when applicable, application of the expected managed care plan reimbursement based on contract terms.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Due to the complexities involved in these estimates, actual payments we receive could be different from the amounts we estimate and record. If the actual contractual reimbursement percentage under government programs and managed care contracts differed by 1% at June 30, 2026 from our estimated reimbursement percentage, net income for the six months ended June 30, 2026 would have changed by approximately $99 million, and net patient accounts receivable at June 30, 2026 would have changed by approximately $129 million.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by an insignificant amount for each of the three- and six-month periods ended June 30, 2026 and 2025. </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Patient Accounts Receivable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Substantially all of our accounts receivable are related to providing healthcare services to patients at our hospitals and affiliated businesses. Collection of these patient accounts receivable is our primary source of cash and is critical to our operating performance. Our primary collection risks relate to uninsured patients and outstanding patient balances for which the primary insurance payor has paid some but not all of the outstanding balance, with the remaining outstanding balance (generally deductibles and co-payments) owed by the patient. For all procedures scheduled in advance, our policy is to verify insurance coverage prior to the date of the procedure. Insurance coverage is not verified in advance of procedures for walk-in and emergency room patients.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estimate any adjustments to the transaction price for implicit price concessions by reserving a percentage of all self-pay patient accounts receivable without regard to aging category, based on collection history, adjusted for expected recoveries and any anticipated changes in trends. Our ability to estimate the transaction price and any implicit price concessions is not impacted by not utilizing an aging of our net patient accounts receivable as we believe that substantially all of the risk exists at the point in time such accounts are identified as self-pay. The percentage used to reserve for all self-pay accounts is based on our collection history. We believe that we collect substantially all of our third-party insured receivables, which include receivables from governmental agencies.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Patient accounts receivable can be impacted by the effectiveness of our collection efforts and, as described in our significant accounting policies included in Note 1 - Basis of Presentation and Significant Accounting Policies of the Notes to Condensed Consolidated Financial Statements included under Part I, Item 1 of this Form 10-Q, numerous factors may affect the net realizable value of patient accounts receivable. If the actual collection percentage differed by 1% at June 30, 2026 from our estimated collection percentage as a result of a change in expected recoveries, net income for the six months ended June 30, 2026 would have changed by approximately $38 million, and net patient accounts receivable at June 30, 2026 would have changed by approximately $49 million. We also continually review our overall reserve adequacy by monitoring historical cash collections as a percentage of trailing net operating revenues, as well as by analyzing current period net operating revenues and admissions by payor classification, days revenue outstanding, the composition of self-pay receivables between pure self-pay patients and the patient responsibility portion of third-party insured receivables and the impact of recent acquisitions and dispositions.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Our policy is to write-off gross patient accounts receivable if the balance is under $10 or when such amounts are placed with outside collection agencies. We believe this policy accurately reflects our ongoing collection efforts and is consistent with industry practices. We had approximately $1.4 billion at both June 30, 2026 and December 31, 2025, being pursued by various outside collection agencies. We expect to collect less than 4%, net of estimated collection fees, of the amounts being pursued by outside collection agencies. As these amounts have been written-off, they are not included in our patient accounts receivable. Collections on amounts previously written-off are recognized as a recovery of net operating revenues when received. However, we take into consideration estimated collections of these future amounts written-off in determining the implicit price concessions used to measure the transaction price for the applicable portfolio of patient accounts receivable.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All of the following information is derived from our hospitals, excluding clinics, unless otherwise noted.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Patient accounts receivable from our hospitals represent approximately 98% of our total consolidated patient accounts receivable.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Days revenue outstanding, adjusted for the impact of receivables for state Medicaid supplemental payment programs and divested facilities, was 59 days at June 30, 2026 and 54 days at December 31, 2025.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Total gross patient accounts receivable (prior to allowance for contractual adjustments and implicit price concessions) was approximately $17.5 billion and $16.9 billion as of June 30, 2026 and December 31, 2025, respectively. The approximate percentage of total gross patient accounts receivable (prior to allowance for contractual adjustments and implicit price concessions) summarized by payor and aging categories is as follows: </w:t>
      </w:r>
    </w:p>
    <w:p>
      <w:pPr>
        <w:pStyle w:val="TextBody"/>
        <w:bidi w:val="0"/>
        <w:jc w:val="left"/>
        <w:rPr/>
      </w:pPr>
      <w:r>
        <w:rPr/>
        <w:t> </w:t>
      </w:r>
    </w:p>
    <w:tbl>
      <w:tblPr>
        <w:tblW w:w="8464" w:type="dxa"/>
        <w:jc w:val="left"/>
        <w:tblInd w:w="0" w:type="dxa"/>
        <w:tblLayout w:type="fixed"/>
        <w:tblCellMar>
          <w:top w:w="28" w:type="dxa"/>
          <w:left w:w="28" w:type="dxa"/>
          <w:bottom w:w="28" w:type="dxa"/>
          <w:right w:w="28" w:type="dxa"/>
        </w:tblCellMar>
      </w:tblPr>
      <w:tblGrid>
        <w:gridCol w:w="3616"/>
        <w:gridCol w:w="146"/>
        <w:gridCol w:w="180"/>
        <w:gridCol w:w="390"/>
        <w:gridCol w:w="271"/>
        <w:gridCol w:w="146"/>
        <w:gridCol w:w="319"/>
        <w:gridCol w:w="461"/>
        <w:gridCol w:w="271"/>
        <w:gridCol w:w="146"/>
        <w:gridCol w:w="262"/>
        <w:gridCol w:w="623"/>
        <w:gridCol w:w="271"/>
        <w:gridCol w:w="146"/>
        <w:gridCol w:w="368"/>
        <w:gridCol w:w="532"/>
        <w:gridCol w:w="31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Gross Receivables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0 - 90</w:t>
              <w:br/>
              <w:t>Days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90 - 180</w:t>
              <w:br/>
              <w:t>Days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180 - 365</w:t>
              <w:br/>
              <w:t>Days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Over 365</w:t>
              <w:br/>
              <w:t>Days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Managed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and 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464" w:type="dxa"/>
        <w:jc w:val="left"/>
        <w:tblInd w:w="0" w:type="dxa"/>
        <w:tblLayout w:type="fixed"/>
        <w:tblCellMar>
          <w:top w:w="28" w:type="dxa"/>
          <w:left w:w="28" w:type="dxa"/>
          <w:bottom w:w="28" w:type="dxa"/>
          <w:right w:w="28" w:type="dxa"/>
        </w:tblCellMar>
      </w:tblPr>
      <w:tblGrid>
        <w:gridCol w:w="3616"/>
        <w:gridCol w:w="146"/>
        <w:gridCol w:w="180"/>
        <w:gridCol w:w="390"/>
        <w:gridCol w:w="271"/>
        <w:gridCol w:w="146"/>
        <w:gridCol w:w="231"/>
        <w:gridCol w:w="549"/>
        <w:gridCol w:w="271"/>
        <w:gridCol w:w="146"/>
        <w:gridCol w:w="262"/>
        <w:gridCol w:w="623"/>
        <w:gridCol w:w="271"/>
        <w:gridCol w:w="146"/>
        <w:gridCol w:w="368"/>
        <w:gridCol w:w="532"/>
        <w:gridCol w:w="31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Gross Receivables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0 - 90</w:t>
              <w:br/>
              <w:t>Days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90 - 180</w:t>
              <w:br/>
              <w:t>Days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180 - 365</w:t>
              <w:br/>
              <w:t>Days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Over 365</w:t>
              <w:br/>
              <w:t>Days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Managed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Managed Care and 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approximate percentage of total gross patient accounts receivable (prior to allowances for contractual adjustments and implicit price concessions) summarized by payor-type is as follows:</w:t>
      </w:r>
    </w:p>
    <w:p>
      <w:pPr>
        <w:pStyle w:val="TextBody"/>
        <w:bidi w:val="0"/>
        <w:jc w:val="left"/>
        <w:rPr/>
      </w:pPr>
      <w:r>
        <w:rPr/>
        <w:t> </w:t>
      </w:r>
    </w:p>
    <w:tbl>
      <w:tblPr>
        <w:tblW w:w="4780" w:type="dxa"/>
        <w:jc w:val="left"/>
        <w:tblInd w:w="0" w:type="dxa"/>
        <w:tblLayout w:type="fixed"/>
        <w:tblCellMar>
          <w:top w:w="28" w:type="dxa"/>
          <w:left w:w="28" w:type="dxa"/>
          <w:bottom w:w="28" w:type="dxa"/>
          <w:right w:w="28" w:type="dxa"/>
        </w:tblCellMar>
      </w:tblPr>
      <w:tblGrid>
        <w:gridCol w:w="1756"/>
        <w:gridCol w:w="146"/>
        <w:gridCol w:w="165"/>
        <w:gridCol w:w="645"/>
        <w:gridCol w:w="271"/>
        <w:gridCol w:w="146"/>
        <w:gridCol w:w="255"/>
        <w:gridCol w:w="1005"/>
        <w:gridCol w:w="3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combined total at our hospitals and clinics for the estimated implicit price concessions for self-pay patient accounts receivable and allowances for other self-pay discounts and contractuals, as a percentage of gross self-pay receivables, was approximately 91% and 90% at June 30, 2026 and December 31, 2025, respectively. If the receivables that have been written-off, but where collections are still being pursued by outside collection agencies, were included in both the allowances and gross self-pay receivables specified above, the percentage of combined allowances to total self-pay receivables would have been 93% at both June 30, 2026 and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At June 30, 2026, we had approximately $3.2 billion of goodwill recorded, all of which resides at our hospital operations reporting unit. Goodwill represents the excess of the fair value of the consideration conveyed in an acquisition over the fair value of net assets acquired. Goodwill is evaluated for impairment annually and when an event occurs or circumstances change that, more likely than not, reduce the fair value of the reporting unit below its carrying value. We performed our last annual goodwill impairment evaluation during the fourth quarter of 2025 using the October 31, 2025 measurement date, which indicated no impairment.</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determination of fair value in our goodwill impairment analysis is based on an estimate of fair value for the hospital operations reporting unit utilizing known and estimated inputs at the evaluation date. Some of those inputs include, but are not limited to, the most recent price of our common stock, the fair value of our long-term debt, our recent financial results, estimates of future revenue and expense growth, estimated market multiples, expected capital expenditures, income tax rates, costs of invested capital and a discount rate.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Future estimates of fair value could be adversely affected if the actual outcome of one or more of the assumptions described above changes materially in the future, including as a result of any decline in or increased volatility of our stock price and the fair value of our long-term debt, lower than expected hospital volumes and/or net operating revenues, higher market interest rates, increased operating costs or other adverse impacts on our financial results. Such changes impacting the calculation of our fair value could result in a material impairment charge in the future. </w:t>
      </w:r>
    </w:p>
    <w:p>
      <w:pPr>
        <w:pStyle w:val="TextBody"/>
        <w:bidi w:val="0"/>
        <w:spacing w:before="210" w:after="283"/>
        <w:jc w:val="left"/>
        <w:rPr>
          <w:rFonts w:ascii="Times New Roman" w:hAnsi="Times New Roman"/>
          <w:sz w:val="20"/>
        </w:rPr>
      </w:pPr>
      <w:r>
        <w:rPr>
          <w:rFonts w:ascii="Times New Roman" w:hAnsi="Times New Roman"/>
          <w:b/>
          <w:i/>
          <w:color w:val="000000"/>
          <w:sz w:val="20"/>
        </w:rPr>
        <w:t>Professional Liability Claims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part of our business of providing healthcare services, we are subject to legal actions alleging liability on our part. We accrue for losses resulting from such liability claims, as well as loss adjustment expenses that are out-of-pocket and directly related to such liability claims. These direct out-of-pocket expenses include fees of outside counsel and experts. We do not accrue for costs that are part of our corporate overhead, such as the costs of our in-house legal and risk management departments. The losses resulting from professional liability claims primarily consist of estimates for known claims, as well as estimates for incurred but not reported claims. The estimates are based on specific claim facts, our historical claim reporting and payment patterns, the nature and level of our hospital operations, and actuarially determined projections. The actuarially determined projections are based on our actual claim data, including historic reporting and payment patterns. As discussed below, since we purchase excess insurance on a claims-made basis that transfers risk to third-party insurers, the estimated liability for professional and general liability claims does include an amount for the losses covered by our excess insurance. We also record a receivable for the expected reimbursement of losses covered by our excess insurance. Since we believe that the amount and timing of our future claims payments are reliably determinable, we discount the amount we accrue for losses resulting from professional liability claims.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net present value of the projected payments was discounted using a weighted-average risk-free rate of 3.5% at both June 30, 2026 and December 31, 2025. This liability is adjusted for new claims information in the period such information becomes known to us. Professional liability expense includes the losses resulting from professional liability claims and loss adjustment expense, as well as excess insurance premiums, and is presented within other operating expenses or, for increased losses specifically attributable to certain divestitures, within impairment and (gain) loss on sales of businesses, net in the accompanying condensed consolidated statements of income.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Our processes for obtaining and analyzing claims and incident data are standardized across all of our businesses and have been consistent for many years. We monitor the outcomes of the medical care services that we provide and for each reported claim, we obtain various information concerning the facts and circumstances related to that claim. In addition, we routinely monitor current key statistics and volume indicators in our assessment of utilizing historical trends. The average lag period between claim occurrence and payment of a final settlement is between three and four years, although the facts and circumstances of individual claims could result in the timing of such payments being different from this average. Since claims are paid promptly after settlement with the claimant is reached, settled claims represent approximately 4% or less of the total liability at the end of any period.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For purposes of estimating our individual claim accruals, we utilize specific claim information, including the nature of the claim, the expected claim amount, the year in which the claim occurred and the laws of the jurisdiction in which the claim occurred. Once the case accruals for known claims are determined, information is stratified by loss layers and retentions, accident years, reported years and geography. Several actuarial methods are used to produce estimates of ultimate paid losses and reserves for incurred but not reported claims. Each of these methods uses our company-specific historical claims data and other information. Company-specific data includes information regarding our business, including historical paid losses and loss adjustment expenses, historical and current case loss reserves, actual and projected hospital statistical data, a variety of hospital census information, employed physician information, professional liability retentions for each policy year, geographic information and other data. Significant assumptions are made on the basis of the aforementioned information in estimating reserves for incurred but not reported claims. A 1% change in assumptions for either severity or frequency as of June 30, 2026 would have increased or decreased the reserve by approximately $5 million to $10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these analyses, we periodically review and determine our estimate of the professional liability claims. The determination of management’s estimate, including the preparation of the reserve analysis that supports such estimate, involves subjective judgment of management. Changes in reserve data or the trends and factors that influence reserve data may signal fundamental shifts in our future claim development patterns or may simply reflect single-period anomalies. Even if a change reflects a fundamental shift, the full extent of the change may not become evident until years later. Moreover, since our methods and models use different types of data and we select our liability from the results of all of these methods, we typically cannot quantify the precise impact of such factors on our estimates of the liability. Due to our standardized and consistent processes for handling claims and the long history and depth of our company-specific data, our methodologies have historically produced reliably determinable estimates of ultimate paid losses. Management considers any changes in the amount and pattern of its historical paid losses up through the most recent reporting period to identify any fundamental shifts or trends in claim development experience in determining the estimate of professional liability claims. However, due to the subjective nature of this estimate and the impact that previously unforeseen shifts in actual claim experience can have, future estimates of professional liability could be adversely impacted when actual paid losses develop unexpectedly based on assumptions and settlement events that were not previously known or anticipated.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primarily self-insured for professional liability claims; however, we obtain excess insurance that transfers the risk of loss to a third-party insurer for claims in excess of our self-insured retentions. Our excess insurance is underwritten on a claims-made basis. For claims reported prior to June 1, 2002, substantially all of our professional and general liability risks were subject to a less than $1 million per occurrence self-insured retention and for claims reported from June 1, 2002 through June 1, 2003, these self-insured retentions were $2 million per occurrence. Substantially all claims reported after June 1, 2003 and before June 1, 2005 are self-insured up to $4 million per claim. Substantially all claims reported on or after June 1, 2005 and before June 1, 2014 are self-insured up to $5 million per claim. Substantially all claims reported on or after June 1, 2014 and before June 1, 2018 are self-insured up to $10 million per claim. Substantially all claims reported on or after June 1, 2018 are self-insured up to $15 million per claim. Management, on occasion, has selectively increased the insured risk at certain hospitals based upon insurance pricing and other factors and may continue that practice in the future.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Excess insurance for all hospitals has been purchased through commercial insurance companies and generally covers us for liabilities in excess of the self-insured retentions. The excess coverage consists of multiple layers of insurance, the sum of which totals up to $95 million per occurrence and in the aggregate for claims reported on or after June 1, 2003, up to $145 million per occurrence and in the aggregate for claims reported on or after January 1, 2008, up to $195 million per occurrence and in the aggregate for claims reported on or after June 1, 2010, and up to at least $215 million per occurrence and in the aggregate for claims reported on or after June 1, 2015. In addition, for integrated occurrence professional liability claims, there is an additional $50 million of excess coverage for claims reported on or after June 1, 2014 and an additional $75 million of excess coverage for claims reported on or after June 1, 2015 through June 1, 2020. The $75 million in integrated occurrence coverage will also apply to claims reported between June 1, 2020 and June 1, 2025 for events that occurred prior to June 1, 2020 but which were not previously known or reported. For certain policy years prior to June 1, 2014, if the first aggregate layer of excess coverage becomes fully utilized, then the self-insured retention will increase to $10 million per claim for any subsequent claims in that policy year until our total aggregate coverage is met. Beginning June 1, 2018, this drop-down provision in the excess policies attaches over the $15 million per claim self-insured retention.</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There were no significant changes in our estimate of the reserve for professional liability claims during the six months ended June 30, 2026.</w:t>
      </w:r>
    </w:p>
    <w:p>
      <w:pPr>
        <w:pStyle w:val="TextBody"/>
        <w:bidi w:val="0"/>
        <w:spacing w:before="21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must make estimates in recording provision for income taxes, including determination of deferred tax assets and deferred tax liabilities and any valuation allowances that might be required against the deferred tax assets. We believe that future income will enable us to realize certain deferred tax assets, subject to the valuation allowance we have established.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total amount of unrecognized benefit that would impact the effective tax rate, if recognized, was $46 million at June 30, 2026. A total of $10 million of interest and penalties is included in the amount of liability for uncertain tax positions at June 30, 2026. It is our policy to recognize interest and penalties related to unrecognized benefits in our condensed consolidated statements of income as income tax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In September 2025, the Financial Accounting Standards Board issued Accounting Standards Update, or ASU, 2025-06, “Intangibles - Goodwill and Other - Internal-Use Software (Topic 350): Targeted Improvements to the Accounting for Internal-Use Software.” This ASU modifies the criteria for when software costs may be capitalized by eliminating consideration of software project development stages and by enhancing guidance for the “probable-to-complete” threshold. This ASU is effective for annual reporting periods beginning after December 15, 2027, and interim periods within those annual reporting periods. Early adoption of this ASU is permitted. We are currently evaluating the impact that adoption of this ASU will have on our condensed consolidated financial statements.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We have evaluated all other recently issued, but not yet effective, ASUs and do not expect the eventual adoption of such ASUs to have a material impact on our consolidated financial position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Form 10-Q contains forward-looking statements within the meaning of Section 27A of the Securities Act of 1933, as amended, Section 21E of the Securities Exchange Act of 1934, as amended, and the Private Securities Litigation Reform Act of 1995 that involve risks and uncertainties. Statements that are predictive in nature, that depend upon or refer to future events or conditions or that include words such as “expects,” “anticipates,” “intends,” “plans,” “believes,” “estimates,” “thinks,” and similar expressions are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A number of factors could affect the future results of the Company or the healthcare industry generally and could cause the Company’s expected results to differ materially from those expressed in this Form 10-Q. These factors include, among other things: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general economic and business conditions, both nationally and in the regions in which we operate, including the impact of challenging macroeconomic conditions and inflationary pressures, the current interest rate environment, current geopolitical instability (including as a result of ongoing geopolitical conflicts), impacts from the imposition of, or changes in tariffs, as well as the impact on us of financial, credit, capital, political, and legislative conditions, including any federal government shutdowns;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impact of current and future healthcare public policy developments and the implementation of new, and possible changes to existing, federal, state or local laws, regulations and policies affecting the healthcare industry, including changes affecting the structure of or funding for the Medicare and Medicaid programs and changes in the structure and administration of federal and state agencies and programs;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changes by the federal and state governments to state Medicaid programs, including the extent and nature of structural and funding changes and manner in which any such changes are implemented, and other developments that affect the administration of health insurance exchanges or alter or reduce the provision of, or payment for, healthcare to state residents through legislation, regulation or otherwise;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changes related to health insurance enrollment, including those affecting the beneficiary enrollment process and the stability of health insurance exchanges, and the expiration of the temporarily enhanced subsidies available for individuals to purchase coverage through Affordable Care Act marketplaces;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demographic changes;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changes in, or the failure to comply with, federal, state or local laws or governmental regulations affecting our business;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judicial developments impacting the Company or the healthcare industry, including the potential impact of the recent decisions of the U.S. Supreme Court regarding the actions of federal agencies;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potential adverse impact of known and unknown legal, regulatory and governmental proceedings and other loss contingencies, including governmental investigations and audits, and federal and state false claims act litigation;</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ability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changes in, or the failure to comply with, contract terms with payors and changes in reimbursement policies, methodologies or rates paid by federal or state healthcare programs or commercial payors;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security breaches, cyber-attacks, loss of data, other cybersecurity threats or incidents, including those experienced with respect to our information systems or the information systems of third parties with whom we conduct business, and any actual or perceived failures to comply with legal requirements governing the privacy and security of health information or other regulated, sensitive or confidential information, or legal requirements regarding data privacy or data protection;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development, adoption and use of emerging technologies, including artificial intelligence and machine learning;</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any potential impairments in the carrying value of goodwill, other intangible assets, or other long-lived assets, or changes in the useful lives of other intangible assets;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effects related to the sequestration spending reductions pursuant to the Budget Control Act of 2011 and the potential for spending reductions under future legislation, including as may be required under the Pay-As-You-Go Act of 2010;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efforts of insurers, healthcare providers, large employer groups and others to contain healthcare costs, including the trend toward value-based purchasing and increased reimbursement denials by insurers;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impact of competitive labor market conditions, including in connection with our ability to hire and retain qualified nurses, physicians, other medical personnel and key management, and increased labor expenses arising from inflation and/or competition for such positions;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inability of third parties with whom we contract to provide hospital-based physicians and the effectiveness of our efforts to mitigate such non-performance including through acquisitions of outsourced medical specialist businesses, engagement with new or replacement providers, employment of physicians and re-negotiation or assumption of existing contracts;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any failure to obtain medical supplies or pharmaceuticals at favorable prices;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liabilities and other claims asserted against us, including self-insured professional liability claims;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trends toward treatment of patients in less acute or specialty healthcare settings, including ambulatory surgery centers or specialty hospitals or via telehealth;</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changes in medical or other technology;</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changes in U.S. GAAP;</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availability and terms of capital to fund any additional acquisitions or replacement facilities or other capital expenditures;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impact that changes in our relationships with joint venture or syndication partners could have on effectively operating our hospitals or ancillary services or in advancing strategic opportunities;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successfully integrate any acquired hospitals and/or outpatient facilities, or to realize expected benefits from acquisitions such as increased growth in patient service revenues;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impact of severe weather conditions and climate change, as well as the timing and amount of insurance recoveries in relation to severe weather events;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obtain adequate levels of insurance, including general liability, professional liability, cyber liability and directors’ and officers’ liability insurance;</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any lapse in appropriations, and any hold on or cancellation of congressionally authorized spending or interruptions in the distribution of government funds, and the timeliness of reimbursement payments received under government programs;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effects related to pandemics, epidemics, outbreaks of infectious diseases or other public health crises;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any failure to comply with our obligations under license or technology agreements;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challenging economic conditions in non-urban communities in which we operate;</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concentration of our revenue in a small number of states;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realize anticipated cost savings and other benefits from our current strategic and operational cost savings initiatives;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any changes in or interpretations of income tax laws and regulations;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risk factors set forth in our 2025 Form 10-K and our other public filings with the SEC.</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Although we believe that these forward-looking statements are based upon reasonable assumptions, these assumptions are inherently subject to significant regulatory, economic and competitive uncertainties and contingencies, which are difficult or impossible to predict accurately and may be beyond our control. Accordingly, we cannot give any assurance that our expectations will in fact occur, and we caution that actual results may differ materially from those in the forward-looking statements. Given these uncertainties, prospective investors are cautioned not to place undue reliance on these forward-looking statements. These forward-looking statements are made as of the date of this filing. We undertake no obligation to revise or update any forward-looking statements, or to make any other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3_quantitative_qualitative_disclosu"/>
      <w:bookmarkEnd w:id="8"/>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During the three months ended June 30, 2026, there have been no material changes in the quantitative and qualitative disclosures set forth in Item 7A. Quantitative and Qualitative Disclosures about Market Risk in our 2025 Form 10-K.</w:t>
      </w:r>
    </w:p>
    <w:p>
      <w:pPr>
        <w:pStyle w:val="TextBody"/>
        <w:bidi w:val="0"/>
        <w:spacing w:before="210" w:after="283"/>
        <w:jc w:val="left"/>
        <w:rPr>
          <w:rFonts w:ascii="Times New Roman" w:hAnsi="Times New Roman"/>
          <w:sz w:val="20"/>
        </w:rPr>
      </w:pPr>
      <w:bookmarkStart w:id="9" w:name="item_4_controls_procedures"/>
      <w:bookmarkEnd w:id="9"/>
      <w:r>
        <w:rPr>
          <w:rFonts w:ascii="Times New Roman" w:hAnsi="Times New Roman"/>
          <w:b/>
          <w:color w:val="000000"/>
          <w:sz w:val="20"/>
        </w:rPr>
        <w:t xml:space="preserve">Item 4.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Our Chief Executive Officer and Chief Financial Officer, with the participation of other members of management, have evaluated the effectiveness of our disclosure controls and procedures (as defined in Rules 13a-15(e) and 15d-15(e)) under the Securities Exchange Act of 1934, as amended,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three months ended June 30, 2026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part_ii_or_information"/>
      <w:bookmarkEnd w:id="10"/>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10" w:after="283"/>
        <w:jc w:val="left"/>
        <w:rPr>
          <w:rFonts w:ascii="Times New Roman" w:hAnsi="Times New Roman"/>
          <w:sz w:val="20"/>
        </w:rPr>
      </w:pPr>
      <w:bookmarkStart w:id="11" w:name="item_1_legal_proceedings"/>
      <w:bookmarkEnd w:id="11"/>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we receive inquiries or subpoenas from state regulators, state Medicaid Fraud Control units, fiscal intermediaries, CMS, the U.S. Department of Justice and other government entities regarding various Medicare and Medicaid issues. In addition, we are subject to various other legal, regulatory and governmental proceedings incidental to our business, including lawsuits and claims related to billing and collection practices at our hospitals. Based on current knowledge, management does not believe that loss contingencies arising from pending legal, regulatory and governmental matters, including the matters described herein, will have a material adverse effect on the consolidated financial position or liquidity of the Company. However, in light of the inherent uncertainties involved in pending legal, regulatory and governmental matters, some of which are beyond our control, and the very large or indeterminate damages sought in some of these matters, an adverse outcome in one or more of these matters could be material to our results of operations or cash flows for any particular reporting period. Settlements of suits involving Medicare and Medicaid issues routinely require monetary payments as well as corporate integrity agreements.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qui tam or “whistleblower” actions initiated under the federal False Claims Act, or FCA, may be pending but placed under seal by the court to comply with the FCA’s requirements for filing such suits. The Department of Justice has also stated an intention to pursue corporations in criminal proceedings when appropriate. Qui tam investigations and related government actions may also give rise to such criminal proceedings. Moreover, from time to time, we detect issues of non-compliance with federal healthcare laws pertaining to claims submission and reimbursement practices and/or financial relationships with physicians. We avail ourselves of various mechanisms to address potential overpayments arising out of these issues, including repayment of claims, rebilling of claims, and participation in voluntary disclosure protocols offered by CMS and the HHS Office of Inspector General. Participating in voluntary repayments and voluntary disclosure protocols can have the potential for significant settlement obligations or even enforcement action.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legal proceedings are described in detail because, although certain legal proceedings may not be required to be disclosed in this Part II, Item 1 under SEC rules, due to the nature of the business of the Company, we believe that the following discussion of these matters may provide useful information to security holders. This discussion does not include claims and lawsuits covered by medical professional liability, general liability or employment practices insurance and risk retention programs, none of which claims or lawsuits would in any event be required to be disclosed in this Part II, Item 1 under SEC rules. </w:t>
      </w:r>
    </w:p>
    <w:p>
      <w:pPr>
        <w:pStyle w:val="TextBody"/>
        <w:bidi w:val="0"/>
        <w:spacing w:before="200" w:after="283"/>
        <w:jc w:val="left"/>
        <w:rPr>
          <w:rFonts w:ascii="Times New Roman" w:hAnsi="Times New Roman"/>
          <w:sz w:val="20"/>
        </w:rPr>
      </w:pPr>
      <w:r>
        <w:rPr>
          <w:rFonts w:ascii="Times New Roman" w:hAnsi="Times New Roman"/>
          <w:i/>
          <w:color w:val="000000"/>
          <w:sz w:val="20"/>
        </w:rPr>
        <w:t>Government Investigations and Qui Tam Litigation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January 11, 2024, we received a Civil Investigative Demand, or CID, from the Department of Justice for documents and information relating to a variety of subjects, including practices and procedures related to utilization review, inpatient admissions and inpatient dialysis at our hospitals. Based upon our review of the CID, the documents we have reviewed and the witnesses we have interviewed, we believe at this time that the CID relates to allegations made by a former employee at one of our hospitals in 2022 and that these allegations were thoroughly and fully investigated to our satisfaction at the time they were originally made. We continue to cooperate fully with this investigation.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4, 2022, our affiliate, Northwest Arkansas Hospitals, LLC, or Northwest, terminated for cause the professional services agreement of Brian Hyatt, M.D., a psychiatrist and former medical director of the behavioral health unit at Northwest, over concerns regarding his medical practices. On October 31, 2024, the Department of Justice notified us that it is conducting a criminal investigation of Dr. Hyatt’s conduct while he was the medical director of the behavioral health unit at Northwest. The Department of Justice has advised Northwest and several of its current and former officers and employees that they are also subjects of its investigation. On March 11, 2026, a grand jury indicted Dr. Hyatt and seven of the individual defendants. We are cooperating fully with the investigation. </w:t>
      </w:r>
    </w:p>
    <w:p>
      <w:pPr>
        <w:pStyle w:val="TextBody"/>
        <w:bidi w:val="0"/>
        <w:spacing w:before="200" w:after="283"/>
        <w:jc w:val="left"/>
        <w:rPr>
          <w:rFonts w:ascii="Times New Roman" w:hAnsi="Times New Roman"/>
          <w:sz w:val="20"/>
        </w:rPr>
      </w:pPr>
      <w:r>
        <w:rPr>
          <w:rFonts w:ascii="Times New Roman" w:hAnsi="Times New Roman"/>
          <w:i/>
          <w:color w:val="000000"/>
          <w:sz w:val="20"/>
        </w:rPr>
        <w:t>Commercial Litigation and Other Lawsuits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i/>
          <w:color w:val="000000"/>
          <w:sz w:val="20"/>
        </w:rPr>
        <w:t>Daniel H. Golden, as Litigation Trustee of the QHC Litigation Trust, and Wilmington Savings Fund Society, FSB, solely in its capacity as indenture trustee v. Community Health Systems, Inc., et al</w:t>
      </w:r>
      <w:r>
        <w:rPr>
          <w:rFonts w:ascii="Times New Roman" w:hAnsi="Times New Roman"/>
          <w:color w:val="000000"/>
          <w:sz w:val="20"/>
        </w:rPr>
        <w:t xml:space="preserve">. A complaint in this case was filed on October 25, 2021 in the United States Bankruptcy Court for the District of Delaware against various persons, including the Company, certain subsidiaries of the Company, certain former executive officers of the Company and Credit Suisse Securities (USA) LLC. Plaintiff Daniel H. Golden is the litigation trustee for a litigation trust, which was formed under the plan of reorganization of Quorum Health Corporation, or QHC, and certain affiliated entities confirmed by order of the United States Bankruptcy Court for the District of Delaware wherein QHC and certain affiliated entities contributed various causes of action to such litigation trust. Plaintiff Wilmington Savings Fund Society is the indenture trustee for certain notes issued by QHC. The complaint seeks damages and other forms of recovery arising out of certain alleged actions taken by the Company and the other defendants in connection with the spin-off of QHC, which was completed on April 29, 2016, and includes claims for unjust enrichment and for avoidance of certain transactions and payments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QHC to the Company connected with the spin-off, including the $1.21 billion paid by QHC to the Company as part of the spin-off transactions. We filed a motion to dismiss on January 14, 2022, and oral argument on that motion was heard on July 21, 2022. On March 16, 2023, the District Court granted in part and denied in part our motion to dismiss. On August 25, 2025, we filed a motion for summary judgment, which is pending. </w:t>
      </w:r>
    </w:p>
    <w:p>
      <w:pPr>
        <w:pStyle w:val="TextBody"/>
        <w:bidi w:val="0"/>
        <w:spacing w:before="210" w:after="283"/>
        <w:jc w:val="left"/>
        <w:rPr>
          <w:rFonts w:ascii="Times New Roman" w:hAnsi="Times New Roman"/>
          <w:sz w:val="20"/>
        </w:rPr>
      </w:pPr>
      <w:bookmarkStart w:id="12" w:name="item_1a_risk_factors"/>
      <w:bookmarkEnd w:id="12"/>
      <w:r>
        <w:rPr>
          <w:rFonts w:ascii="Times New Roman" w:hAnsi="Times New Roman"/>
          <w:b/>
          <w:color w:val="000000"/>
          <w:sz w:val="20"/>
        </w:rPr>
        <w:t xml:space="preserve">Item 1A.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have been no material changes with regard to the risk factors previously disclosed in the 2025 Form 10-K. </w:t>
      </w:r>
    </w:p>
    <w:p>
      <w:pPr>
        <w:pStyle w:val="TextBody"/>
        <w:bidi w:val="0"/>
        <w:spacing w:before="210" w:after="283"/>
        <w:jc w:val="left"/>
        <w:rPr>
          <w:rFonts w:ascii="Times New Roman" w:hAnsi="Times New Roman"/>
          <w:sz w:val="20"/>
        </w:rPr>
      </w:pPr>
      <w:bookmarkStart w:id="13" w:name="item_2_unregistered_sale_equity_securiti"/>
      <w:bookmarkEnd w:id="13"/>
      <w:r>
        <w:rPr>
          <w:rFonts w:ascii="Times New Roman" w:hAnsi="Times New Roman"/>
          <w:b/>
          <w:color w:val="000000"/>
          <w:sz w:val="20"/>
        </w:rPr>
        <w:t xml:space="preserve">Item 2. </w:t>
      </w:r>
      <w:r>
        <w:rPr>
          <w:rFonts w:ascii="Times New Roman" w:hAnsi="Times New Roman"/>
          <w:b/>
          <w:i/>
          <w:color w:val="000000"/>
          <w:sz w:val="20"/>
        </w:rPr>
        <w:t>Unregistered Sales of Equity Securities and Use of Proceeds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following table contains information about our purchases of common stock during the three months ended June 30, 2026.</w:t>
      </w:r>
    </w:p>
    <w:p>
      <w:pPr>
        <w:pStyle w:val="TextBody"/>
        <w:bidi w:val="0"/>
        <w:jc w:val="left"/>
        <w:rPr/>
      </w:pPr>
      <w:r>
        <w:rPr/>
        <w:t> </w:t>
      </w:r>
    </w:p>
    <w:tbl>
      <w:tblPr>
        <w:tblW w:w="7065" w:type="dxa"/>
        <w:jc w:val="left"/>
        <w:tblInd w:w="0" w:type="dxa"/>
        <w:tblLayout w:type="fixed"/>
        <w:tblCellMar>
          <w:top w:w="28" w:type="dxa"/>
          <w:left w:w="28" w:type="dxa"/>
          <w:bottom w:w="28" w:type="dxa"/>
          <w:right w:w="28" w:type="dxa"/>
        </w:tblCellMar>
      </w:tblPr>
      <w:tblGrid>
        <w:gridCol w:w="1306"/>
        <w:gridCol w:w="146"/>
        <w:gridCol w:w="255"/>
        <w:gridCol w:w="1005"/>
        <w:gridCol w:w="146"/>
        <w:gridCol w:w="146"/>
        <w:gridCol w:w="257"/>
        <w:gridCol w:w="569"/>
        <w:gridCol w:w="146"/>
        <w:gridCol w:w="146"/>
        <w:gridCol w:w="364"/>
        <w:gridCol w:w="866"/>
        <w:gridCol w:w="146"/>
        <w:gridCol w:w="146"/>
        <w:gridCol w:w="365"/>
        <w:gridCol w:w="865"/>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Number</w:t>
              <w:br/>
              <w:t>of Shares</w:t>
              <w:br/>
              <w:t>Purchased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Number</w:t>
              <w:br/>
              <w:t>of Shares</w:t>
              <w:br/>
              <w:t>Purchased as</w:t>
              <w:br/>
              <w:t>Part of</w:t>
              <w:br/>
              <w:t>Publicly</w:t>
              <w:br/>
              <w:t>Announced</w:t>
              <w:br/>
              <w:t>Plans or</w:t>
              <w:br/>
              <w:t>Programs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w:t>
              <w:br/>
              <w:t>Number of</w:t>
              <w:br/>
              <w:t>Shares That</w:t>
              <w:br/>
              <w:t>May Yet Be</w:t>
              <w:br/>
              <w:t>Purchased</w:t>
              <w:br/>
              <w:t>Under the</w:t>
              <w:br/>
              <w:t>Plans or</w:t>
              <w:br/>
              <w:t>Programs (b)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9,377 shares were withheld to satisfy the payment of tax obligations related to the vesting of restricted stock awards.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We had no publicly announced repurchase programs for shares of our common stock during the three months ended June 30, 2026.</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The ABL Facility and the indentures governing each series of our outstanding notes restrict our subsidiaries from, among other matters, paying dividends and making distributions to us, which thereby limits our ability to pay dividends and/or repurchase stock. As of June 30, 2026, under the most restrictive test in these agreements (and subject to certain exceptions), we have approximately $300 million of capacity to pay permitted dividends and/or repurchase shares of stock or make other restricted payments. </w:t>
      </w:r>
    </w:p>
    <w:p>
      <w:pPr>
        <w:pStyle w:val="TextBody"/>
        <w:bidi w:val="0"/>
        <w:spacing w:before="21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 xml:space="preserve">Item 3. </w:t>
      </w:r>
      <w:r>
        <w:rPr>
          <w:rFonts w:ascii="Times New Roman" w:hAnsi="Times New Roman"/>
          <w:b/>
          <w:i/>
          <w:color w:val="000000"/>
          <w:sz w:val="20"/>
        </w:rPr>
        <w:t>Defaults Upon Senior Securities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10" w:after="283"/>
        <w:jc w:val="left"/>
        <w:rPr>
          <w:rFonts w:ascii="Times New Roman" w:hAnsi="Times New Roman"/>
          <w:sz w:val="20"/>
        </w:rPr>
      </w:pPr>
      <w:bookmarkStart w:id="15" w:name="item_4_mine_safety_disclosures"/>
      <w:bookmarkEnd w:id="15"/>
      <w:r>
        <w:rPr>
          <w:rFonts w:ascii="Times New Roman" w:hAnsi="Times New Roman"/>
          <w:b/>
          <w:color w:val="000000"/>
          <w:sz w:val="20"/>
        </w:rPr>
        <w:t xml:space="preserve">Item 4. </w:t>
      </w:r>
      <w:r>
        <w:rPr>
          <w:rFonts w:ascii="Times New Roman" w:hAnsi="Times New Roman"/>
          <w:b/>
          <w:i/>
          <w:color w:val="000000"/>
          <w:sz w:val="20"/>
        </w:rPr>
        <w:t>Mine Safety Disclosures</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10" w:after="283"/>
        <w:jc w:val="left"/>
        <w:rPr>
          <w:rFonts w:ascii="Times New Roman" w:hAnsi="Times New Roman"/>
          <w:sz w:val="20"/>
        </w:rPr>
      </w:pPr>
      <w:bookmarkStart w:id="16" w:name="item_5_or_information"/>
      <w:bookmarkEnd w:id="16"/>
      <w:r>
        <w:rPr>
          <w:rFonts w:ascii="Times New Roman" w:hAnsi="Times New Roman"/>
          <w:b/>
          <w:color w:val="000000"/>
          <w:sz w:val="20"/>
        </w:rPr>
        <w:t xml:space="preserve">Item 5. </w:t>
      </w: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 xml:space="preserve">None. Without limiting the generality of the foregoing, during the three months ended June 30, 2026, no director or officer of the Company adopted or terminated any “Rule 10b5-1 trading arrangement,” or any “non-Rule 10b5-1 trading arrangement,” as such terms are defined in Item 408(a) and (c), respectively,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 xml:space="preserve">6. </w:t>
      </w:r>
      <w:r>
        <w:rPr>
          <w:rFonts w:ascii="Times New Roman" w:hAnsi="Times New Roman"/>
          <w:b/>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222"/>
        <w:gridCol w:w="935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35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48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9356" w:type="dxa"/>
            <w:tcBorders/>
            <w:tcMar>
              <w:top w:w="0" w:type="dxa"/>
              <w:left w:w="0" w:type="dxa"/>
              <w:bottom w:w="0" w:type="dxa"/>
              <w:right w:w="0" w:type="dxa"/>
            </w:tcMar>
            <w:vAlign w:val="center"/>
          </w:tcPr>
          <w:p>
            <w:pPr>
              <w:pStyle w:val="TableContents"/>
              <w:bidi w:val="0"/>
              <w:spacing w:before="120" w:after="283"/>
              <w:jc w:val="left"/>
              <w:rPr/>
            </w:pPr>
            <w:hyperlink w:anchor="cyh-ex31_1.htm">
              <w:r>
                <w:rPr>
                  <w:rStyle w:val="InternetLink"/>
                  <w:rFonts w:ascii="Times New Roman" w:hAnsi="Times New Roman"/>
                  <w:color w:val="0000FF"/>
                  <w:sz w:val="20"/>
                  <w:u w:val="single"/>
                </w:rPr>
                <w:t>Certification of Chief Executive Officer pursuant to Section 302 of the Sarbanes-Oxley Act of 2002</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9356" w:type="dxa"/>
            <w:tcBorders/>
            <w:tcMar>
              <w:top w:w="0" w:type="dxa"/>
              <w:left w:w="0" w:type="dxa"/>
              <w:bottom w:w="0" w:type="dxa"/>
              <w:right w:w="0" w:type="dxa"/>
            </w:tcMar>
            <w:vAlign w:val="center"/>
          </w:tcPr>
          <w:p>
            <w:pPr>
              <w:pStyle w:val="TableContents"/>
              <w:bidi w:val="0"/>
              <w:spacing w:before="120" w:after="283"/>
              <w:jc w:val="left"/>
              <w:rPr/>
            </w:pPr>
            <w:hyperlink w:anchor="cyh-ex31_2.htm">
              <w:r>
                <w:rPr>
                  <w:rStyle w:val="InternetLink"/>
                  <w:rFonts w:ascii="Times New Roman" w:hAnsi="Times New Roman"/>
                  <w:color w:val="0000FF"/>
                  <w:sz w:val="20"/>
                  <w:u w:val="single"/>
                </w:rPr>
                <w:t>Certification of Chief Financial Officer pursuant to Section 302 of the Sarbanes-Oxley Act of 2002</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9356" w:type="dxa"/>
            <w:tcBorders/>
            <w:tcMar>
              <w:top w:w="0" w:type="dxa"/>
              <w:left w:w="0" w:type="dxa"/>
              <w:bottom w:w="0" w:type="dxa"/>
              <w:right w:w="0" w:type="dxa"/>
            </w:tcMar>
            <w:vAlign w:val="center"/>
          </w:tcPr>
          <w:p>
            <w:pPr>
              <w:pStyle w:val="TableContents"/>
              <w:bidi w:val="0"/>
              <w:spacing w:before="120" w:after="283"/>
              <w:jc w:val="left"/>
              <w:rPr/>
            </w:pPr>
            <w:hyperlink w:anchor="cyh-ex32_1.htm">
              <w:r>
                <w:rPr>
                  <w:rStyle w:val="InternetLink"/>
                  <w:rFonts w:ascii="Times New Roman" w:hAnsi="Times New Roman"/>
                  <w:color w:val="0000FF"/>
                  <w:sz w:val="20"/>
                  <w:u w:val="single"/>
                </w:rPr>
                <w:t>Certification of Chief Executive Officer pursuant to 18 U.S.C. Section 1350, adopted pursuant to Section 906 of the Sarbanes-Oxley Act of 2002</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9356" w:type="dxa"/>
            <w:tcBorders/>
            <w:tcMar>
              <w:top w:w="0" w:type="dxa"/>
              <w:left w:w="0" w:type="dxa"/>
              <w:bottom w:w="0" w:type="dxa"/>
              <w:right w:w="0" w:type="dxa"/>
            </w:tcMar>
            <w:vAlign w:val="center"/>
          </w:tcPr>
          <w:p>
            <w:pPr>
              <w:pStyle w:val="TableContents"/>
              <w:bidi w:val="0"/>
              <w:spacing w:before="120" w:after="283"/>
              <w:jc w:val="left"/>
              <w:rPr/>
            </w:pPr>
            <w:hyperlink w:anchor="cyh-ex32_2.htm">
              <w:r>
                <w:rPr>
                  <w:rStyle w:val="InternetLink"/>
                  <w:rFonts w:ascii="Times New Roman" w:hAnsi="Times New Roman"/>
                  <w:color w:val="0000FF"/>
                  <w:sz w:val="20"/>
                  <w:u w:val="single"/>
                </w:rPr>
                <w:t>Certification of Chief Financial Officer pursuant to 18 U.S.C. Section 1350, adopted pursuant to Section 906 of the Sarbanes-Oxley Act of 2002</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9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The following financial information from our quarterly report on Form 10-Q for the quarter and six months ended June 30, 2026 and 2025, filed with the SEC on July 23, 2026, formatted in Inline Extensible Business Reporting Language: (i) the condensed consolidated statements of income for the three and six months ended June 30, 2026 and 2025, (ii) the condensed consolidated statements of comprehensive income for the three and six months ended June 30, 2026 and 2025, (iii) the condensed consolidated balance sheets at June 30, 2026 and December 31, 2025, (iv) the condensed consolidated statements of cash flows for the six months ended June 30, 2026 and 2025, and (v) the notes to the condensed consolidated financial statements. The instance document does not appear in the Interactive Data File because its XBRL tags are embedded within the Inline XBRL document. </w:t>
            </w:r>
          </w:p>
        </w:tc>
      </w:tr>
      <w:tr>
        <w:trPr/>
        <w:tc>
          <w:tcPr>
            <w:tcW w:w="48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9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2"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716" w:type="dxa"/>
        <w:jc w:val="left"/>
        <w:tblInd w:w="0" w:type="dxa"/>
        <w:tblLayout w:type="fixed"/>
        <w:tblCellMar>
          <w:top w:w="28" w:type="dxa"/>
          <w:left w:w="28" w:type="dxa"/>
          <w:bottom w:w="28" w:type="dxa"/>
          <w:right w:w="28" w:type="dxa"/>
        </w:tblCellMar>
      </w:tblPr>
      <w:tblGrid>
        <w:gridCol w:w="161"/>
        <w:gridCol w:w="409"/>
        <w:gridCol w:w="3146"/>
      </w:tblGrid>
      <w:tr>
        <w:trPr/>
        <w:tc>
          <w:tcPr>
            <w:tcW w:w="1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5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COMMUNITY HEALTH SYSTEMS,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3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J. Hammons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J. Hammons</w:t>
              <w:br/>
              <w:t>Director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008" w:type="dxa"/>
        <w:jc w:val="left"/>
        <w:tblInd w:w="0" w:type="dxa"/>
        <w:tblLayout w:type="fixed"/>
        <w:tblCellMar>
          <w:top w:w="28" w:type="dxa"/>
          <w:left w:w="28" w:type="dxa"/>
          <w:bottom w:w="28" w:type="dxa"/>
          <w:right w:w="28" w:type="dxa"/>
        </w:tblCellMar>
      </w:tblPr>
      <w:tblGrid>
        <w:gridCol w:w="161"/>
        <w:gridCol w:w="406"/>
        <w:gridCol w:w="444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 Johnson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 Johnson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tbl>
      <w:tblPr>
        <w:tblW w:w="4903" w:type="dxa"/>
        <w:jc w:val="left"/>
        <w:tblInd w:w="0" w:type="dxa"/>
        <w:tblLayout w:type="fixed"/>
        <w:tblCellMar>
          <w:top w:w="28" w:type="dxa"/>
          <w:left w:w="28" w:type="dxa"/>
          <w:bottom w:w="28" w:type="dxa"/>
          <w:right w:w="28" w:type="dxa"/>
        </w:tblCellMar>
      </w:tblPr>
      <w:tblGrid>
        <w:gridCol w:w="161"/>
        <w:gridCol w:w="406"/>
        <w:gridCol w:w="4336"/>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A. Posey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Phillip A. Posey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cyh-ex31_1.htm"/>
      <w:bookmarkStart w:id="20" w:name="kscyhex31_1"/>
      <w:bookmarkEnd w:id="19"/>
      <w:bookmarkEnd w:id="20"/>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302 OF THE</w:t>
      </w:r>
    </w:p>
    <w:p>
      <w:pPr>
        <w:pStyle w:val="TextBody"/>
        <w:bidi w:val="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Kevin J. Hammons, certify that: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 have reviewed this quarterly report on Form 10-Q of Community Health Systems, Inc.;</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378" w:type="dxa"/>
        <w:jc w:val="left"/>
        <w:tblInd w:w="0" w:type="dxa"/>
        <w:tblLayout w:type="fixed"/>
        <w:tblCellMar>
          <w:top w:w="28" w:type="dxa"/>
          <w:left w:w="28" w:type="dxa"/>
          <w:bottom w:w="28" w:type="dxa"/>
          <w:right w:w="28" w:type="dxa"/>
        </w:tblCellMar>
      </w:tblPr>
      <w:tblGrid>
        <w:gridCol w:w="161"/>
        <w:gridCol w:w="146"/>
        <w:gridCol w:w="20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Kevin J. Hammons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J. Hammons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yh-ex31_2.htm"/>
      <w:bookmarkStart w:id="22" w:name="kscyhex31_2"/>
      <w:bookmarkEnd w:id="21"/>
      <w:bookmarkEnd w:id="22"/>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302 OF THE</w:t>
      </w:r>
    </w:p>
    <w:p>
      <w:pPr>
        <w:pStyle w:val="TextBody"/>
        <w:bidi w:val="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Jason K. Johnson, certify that: </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I have reviewed this quarterly report on Form 10-Q of Community Health Systems, Inc.;</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8" w:type="dxa"/>
        <w:jc w:val="left"/>
        <w:tblInd w:w="0" w:type="dxa"/>
        <w:tblLayout w:type="fixed"/>
        <w:tblCellMar>
          <w:top w:w="28" w:type="dxa"/>
          <w:left w:w="28" w:type="dxa"/>
          <w:bottom w:w="28" w:type="dxa"/>
          <w:right w:w="28" w:type="dxa"/>
        </w:tblCellMar>
      </w:tblPr>
      <w:tblGrid>
        <w:gridCol w:w="161"/>
        <w:gridCol w:w="146"/>
        <w:gridCol w:w="44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Jason K. Johnson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 Johnson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yh-ex32_1.htm"/>
      <w:bookmarkStart w:id="24" w:name="kscyh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Community Health Systems, Inc. (the “Company”) on Form 10-Q for the period ended June 30, 2026, as filed with the Securities and Exchange Commission on the date hereof (the “Report”), I, Kevin J. Hammons, Chief Executive Officer of the Company,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Kevin J. Hammons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J. Hammons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July 23,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yh-ex32_2.htm"/>
      <w:bookmarkStart w:id="26" w:name="kscyh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Community Health Systems, Inc. (the “Company”) on Form 10-Q for the period ended June 30, 2026, as filed with the Securities and Exchange Commission on the date hereof (the “Report”), I, Jason K. Johnson, Executive Vice President and Chief Financial Officer of the Company,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Jason K. Johnson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 Johnson</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July 23,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28647</Words>
  <Characters>157938</Characters>
  <CharactersWithSpaces>188286</CharactersWithSpaces>
  <Paragraphs>6953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