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yh-20260722.htm"/>
      <w:bookmarkStart w:id="1" w:name="kscyh20260722"/>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COMMUNITY HEALTH SYSTEMS,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001-15925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13-3893191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4000 Meridian Boulevard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Franklin, Tennessee</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37067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(615)</w:t>
            </w:r>
            <w:r>
              <w:rPr>
                <w:rFonts w:ascii="Times New Roman" w:hAnsi="Times New Roman"/>
                <w:color w:val="000000"/>
                <w:sz w:val="20"/>
              </w:rPr>
              <w:t xml:space="preserve"> </w:t>
            </w:r>
            <w:r>
              <w:rPr>
                <w:rFonts w:ascii="Times New Roman" w:hAnsi="Times New Roman"/>
                <w:b/>
                <w:color w:val="000000"/>
                <w:sz w:val="20"/>
              </w:rPr>
              <w:t>465-7000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690" w:type="dxa"/>
        <w:jc w:val="left"/>
        <w:tblInd w:w="0" w:type="dxa"/>
        <w:tblLayout w:type="fixed"/>
        <w:tblCellMar>
          <w:top w:w="28" w:type="dxa"/>
          <w:left w:w="28" w:type="dxa"/>
          <w:bottom w:w="28" w:type="dxa"/>
          <w:right w:w="28" w:type="dxa"/>
        </w:tblCellMar>
      </w:tblPr>
      <w:tblGrid>
        <w:gridCol w:w="2626"/>
        <w:gridCol w:w="146"/>
        <w:gridCol w:w="946"/>
        <w:gridCol w:w="146"/>
        <w:gridCol w:w="382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CYH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The information contained in this Current Report on Form 8-K (including the exhibits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any such filing.</w:t>
      </w:r>
      <w:r>
        <w:rPr>
          <w:rFonts w:ascii="Times New Roman" w:hAnsi="Times New Roman"/>
          <w:color w:val="000000"/>
          <w:sz w:val="20"/>
        </w:rPr>
        <w:t xml:space="preserve"> </w:t>
      </w:r>
    </w:p>
    <w:p>
      <w:pPr>
        <w:pStyle w:val="Heading2"/>
        <w:bidi w:val="0"/>
        <w:spacing w:before="360" w:after="120"/>
        <w:jc w:val="left"/>
        <w:rPr>
          <w:rFonts w:ascii="Times New Roman" w:hAnsi="Times New Roman"/>
          <w:color w:val="000000"/>
          <w:sz w:val="22"/>
        </w:rPr>
      </w:pPr>
      <w:r>
        <w:rPr>
          <w:rFonts w:ascii="Times New Roman" w:hAnsi="Times New Roman"/>
          <w:color w:val="000000"/>
          <w:sz w:val="22"/>
        </w:rPr>
        <w:t>Item 2.02 Results of Operations and Financial Condition.</w:t>
      </w:r>
    </w:p>
    <w:p>
      <w:pPr>
        <w:pStyle w:val="TextBody"/>
        <w:bidi w:val="0"/>
        <w:jc w:val="both"/>
        <w:rPr>
          <w:rFonts w:ascii="Times New Roman" w:hAnsi="Times New Roman"/>
          <w:color w:val="000000"/>
          <w:sz w:val="22"/>
        </w:rPr>
      </w:pPr>
      <w:r>
        <w:rPr>
          <w:rFonts w:ascii="Times New Roman" w:hAnsi="Times New Roman"/>
          <w:color w:val="000000"/>
          <w:sz w:val="22"/>
        </w:rPr>
        <w:t>On July 22, 2026, Community Health Systems, Inc. (the “Company”) announced operating results for the second quarter ended June 30, 2026. A copy of the press release making this announcement is attached as Exhibit 99.1 to this Current Report on Form 8-K and is incorporated by reference into this Item 2.02.</w:t>
      </w:r>
    </w:p>
    <w:p>
      <w:pPr>
        <w:pStyle w:val="Heading2"/>
        <w:bidi w:val="0"/>
        <w:spacing w:before="360" w:after="120"/>
        <w:jc w:val="left"/>
        <w:rPr>
          <w:rFonts w:ascii="Times New Roman" w:hAnsi="Times New Roman"/>
          <w:color w:val="000000"/>
          <w:sz w:val="22"/>
        </w:rPr>
      </w:pPr>
      <w:r>
        <w:rPr>
          <w:rFonts w:ascii="Times New Roman" w:hAnsi="Times New Roman"/>
          <w:color w:val="000000"/>
          <w:sz w:val="22"/>
        </w:rPr>
        <w:t>Item 7.01 Regulation FD Disclosure.</w:t>
      </w:r>
    </w:p>
    <w:p>
      <w:pPr>
        <w:pStyle w:val="TextBody"/>
        <w:bidi w:val="0"/>
        <w:jc w:val="both"/>
        <w:rPr>
          <w:rFonts w:ascii="Times New Roman" w:hAnsi="Times New Roman"/>
          <w:color w:val="000000"/>
          <w:sz w:val="22"/>
        </w:rPr>
      </w:pPr>
      <w:r>
        <w:rPr>
          <w:rFonts w:ascii="Times New Roman" w:hAnsi="Times New Roman"/>
          <w:color w:val="000000"/>
          <w:sz w:val="22"/>
        </w:rPr>
        <w:t>The press release referred to in Item 2.02 above also includes the Company’s 2026 updated annual earnings guidance. This 2026 guidance is based on the Company’s historical operating performance, current trends and other assumptions the Company believes are reasonable at this time as set forth on pages 16, 17, 18, 19 and 20 of the press release. A copy of the press release making this announcement is attached as Exhibit 99.1 to this Current Report on Form 8-K and is incorporated by reference into this Item 7.01.</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2"/>
        </w:rPr>
      </w:pPr>
      <w:r>
        <w:rPr>
          <w:rFonts w:ascii="Times New Roman" w:hAnsi="Times New Roman"/>
          <w:color w:val="000000"/>
          <w:sz w:val="22"/>
        </w:rPr>
        <w:t>(d) Exhibits</w:t>
      </w:r>
    </w:p>
    <w:tbl>
      <w:tblPr>
        <w:tblW w:w="9051" w:type="dxa"/>
        <w:jc w:val="left"/>
        <w:tblInd w:w="0" w:type="dxa"/>
        <w:tblLayout w:type="fixed"/>
        <w:tblCellMar>
          <w:top w:w="28" w:type="dxa"/>
          <w:left w:w="28" w:type="dxa"/>
          <w:bottom w:w="28" w:type="dxa"/>
          <w:right w:w="28" w:type="dxa"/>
        </w:tblCellMar>
      </w:tblPr>
      <w:tblGrid>
        <w:gridCol w:w="1276"/>
        <w:gridCol w:w="109"/>
        <w:gridCol w:w="7666"/>
      </w:tblGrid>
      <w:tr>
        <w:trPr/>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Exhibit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Description</w:t>
            </w:r>
          </w:p>
        </w:tc>
      </w:tr>
      <w:tr>
        <w:trPr/>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tcMar>
              <w:top w:w="0" w:type="dxa"/>
              <w:left w:w="0" w:type="dxa"/>
              <w:bottom w:w="0" w:type="dxa"/>
              <w:right w:w="0" w:type="dxa"/>
            </w:tcMar>
            <w:vAlign w:val="center"/>
          </w:tcPr>
          <w:p>
            <w:pPr>
              <w:pStyle w:val="TableContents"/>
              <w:bidi w:val="0"/>
              <w:spacing w:before="0" w:after="283"/>
              <w:jc w:val="left"/>
              <w:rPr/>
            </w:pPr>
            <w:hyperlink w:anchor="cyh-ex99_1.htm">
              <w:r>
                <w:rPr>
                  <w:rStyle w:val="InternetLink"/>
                  <w:rFonts w:ascii="Times New Roman" w:hAnsi="Times New Roman"/>
                  <w:color w:val="0000FF"/>
                  <w:sz w:val="22"/>
                  <w:u w:val="single"/>
                </w:rPr>
                <w:t>Community Health Systems, Inc. Press Release, dated July 22, 2026.</w:t>
              </w:r>
            </w:hyperlink>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r>
      <w:tr>
        <w:trPr/>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79" w:type="dxa"/>
        <w:jc w:val="left"/>
        <w:tblInd w:w="0" w:type="dxa"/>
        <w:tblLayout w:type="fixed"/>
        <w:tblCellMar>
          <w:top w:w="28" w:type="dxa"/>
          <w:left w:w="28" w:type="dxa"/>
          <w:bottom w:w="28" w:type="dxa"/>
          <w:right w:w="28" w:type="dxa"/>
        </w:tblCellMar>
      </w:tblPr>
      <w:tblGrid>
        <w:gridCol w:w="556"/>
        <w:gridCol w:w="1216"/>
        <w:gridCol w:w="451"/>
        <w:gridCol w:w="355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COMMUNITY HEALTH SYSTEMS,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5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Kevin J. Hammons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Kevin J. Hammons</w:t>
              <w:br/>
              <w:t>Director and Chief Executive Officer</w:t>
              <w:br/>
              <w:t>(principal executive officer)</w:t>
            </w:r>
          </w:p>
        </w:tc>
      </w:tr>
    </w:tbl>
    <w:p>
      <w:pPr>
        <w:pStyle w:val="TextBody"/>
        <w:bidi w:val="0"/>
        <w:spacing w:before="0" w:after="187"/>
        <w:jc w:val="left"/>
        <w:rPr/>
      </w:pPr>
      <w:r>
        <w:rPr/>
        <w:t> </w:t>
      </w:r>
    </w:p>
    <w:tbl>
      <w:tblPr>
        <w:tblW w:w="5199" w:type="dxa"/>
        <w:jc w:val="left"/>
        <w:tblInd w:w="0" w:type="dxa"/>
        <w:tblLayout w:type="fixed"/>
        <w:tblCellMar>
          <w:top w:w="28" w:type="dxa"/>
          <w:left w:w="28" w:type="dxa"/>
          <w:bottom w:w="28" w:type="dxa"/>
          <w:right w:w="28" w:type="dxa"/>
        </w:tblCellMar>
      </w:tblPr>
      <w:tblGrid>
        <w:gridCol w:w="161"/>
        <w:gridCol w:w="146"/>
        <w:gridCol w:w="451"/>
        <w:gridCol w:w="44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86" w:after="283"/>
              <w:jc w:val="left"/>
              <w:rPr/>
            </w:pPr>
            <w:r>
              <w:rPr/>
              <w:t> </w:t>
            </w:r>
          </w:p>
        </w:tc>
        <w:tc>
          <w:tcPr>
            <w:tcW w:w="146" w:type="dxa"/>
            <w:tcBorders/>
            <w:tcMar>
              <w:top w:w="0" w:type="dxa"/>
              <w:left w:w="0" w:type="dxa"/>
              <w:bottom w:w="0" w:type="dxa"/>
              <w:right w:w="0" w:type="dxa"/>
            </w:tcMar>
            <w:vAlign w:val="center"/>
          </w:tcPr>
          <w:p>
            <w:pPr>
              <w:pStyle w:val="TableContents"/>
              <w:bidi w:val="0"/>
              <w:spacing w:before="86" w:after="283"/>
              <w:jc w:val="left"/>
              <w:rPr/>
            </w:pPr>
            <w:r>
              <w:rPr/>
              <w:t> </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Jason K. Johnson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Jason K. Johnson</w:t>
              <w:br/>
              <w:t>Executive Vice President and Chief Financial Officer</w:t>
              <w:br/>
              <w:t>(principal financial officer)</w:t>
            </w:r>
          </w:p>
        </w:tc>
      </w:tr>
    </w:tbl>
    <w:p>
      <w:pPr>
        <w:pStyle w:val="TextBody"/>
        <w:bidi w:val="0"/>
        <w:spacing w:before="0" w:after="187"/>
        <w:jc w:val="left"/>
        <w:rPr/>
      </w:pPr>
      <w:r>
        <w:rPr/>
        <w:t> </w:t>
      </w:r>
    </w:p>
    <w:tbl>
      <w:tblPr>
        <w:tblW w:w="5049" w:type="dxa"/>
        <w:jc w:val="left"/>
        <w:tblInd w:w="0" w:type="dxa"/>
        <w:tblLayout w:type="fixed"/>
        <w:tblCellMar>
          <w:top w:w="28" w:type="dxa"/>
          <w:left w:w="28" w:type="dxa"/>
          <w:bottom w:w="28" w:type="dxa"/>
          <w:right w:w="28" w:type="dxa"/>
        </w:tblCellMar>
      </w:tblPr>
      <w:tblGrid>
        <w:gridCol w:w="161"/>
        <w:gridCol w:w="146"/>
        <w:gridCol w:w="406"/>
        <w:gridCol w:w="433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tcMar>
              <w:top w:w="0" w:type="dxa"/>
              <w:left w:w="0" w:type="dxa"/>
              <w:bottom w:w="0" w:type="dxa"/>
              <w:right w:w="0" w:type="dxa"/>
            </w:tcMar>
            <w:vAlign w:val="center"/>
          </w:tcPr>
          <w:p>
            <w:pPr>
              <w:pStyle w:val="TableContents"/>
              <w:bidi w:val="0"/>
              <w:spacing w:before="86" w:after="86"/>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86" w:after="283"/>
              <w:jc w:val="left"/>
              <w:rPr/>
            </w:pPr>
            <w:r>
              <w:rPr/>
              <w:t> </w:t>
            </w:r>
          </w:p>
        </w:tc>
        <w:tc>
          <w:tcPr>
            <w:tcW w:w="146" w:type="dxa"/>
            <w:tcBorders/>
            <w:tcMar>
              <w:top w:w="0" w:type="dxa"/>
              <w:left w:w="0" w:type="dxa"/>
              <w:bottom w:w="0" w:type="dxa"/>
              <w:right w:w="0" w:type="dxa"/>
            </w:tcMar>
            <w:vAlign w:val="center"/>
          </w:tcPr>
          <w:p>
            <w:pPr>
              <w:pStyle w:val="TableContents"/>
              <w:bidi w:val="0"/>
              <w:spacing w:before="86" w:after="283"/>
              <w:jc w:val="left"/>
              <w:rPr/>
            </w:pPr>
            <w:r>
              <w:rPr/>
              <w:t> </w:t>
            </w:r>
          </w:p>
        </w:tc>
        <w:tc>
          <w:tcPr>
            <w:tcW w:w="4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By:</w:t>
            </w:r>
          </w:p>
        </w:tc>
        <w:tc>
          <w:tcPr>
            <w:tcW w:w="4336"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Phillip A. Posey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14" w:after="187"/>
              <w:jc w:val="left"/>
              <w:rPr/>
            </w:pPr>
            <w:r>
              <w:rPr/>
              <w:t> </w:t>
            </w:r>
          </w:p>
        </w:tc>
        <w:tc>
          <w:tcPr>
            <w:tcW w:w="43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Phillip A. Posey</w:t>
              <w:br/>
              <w:t>Senior Vice President and Chief Accounting Officer</w:t>
              <w:br/>
              <w:t>(principal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bookmarkStart w:id="2" w:name="cyh-ex99_1.htm"/>
      <w:bookmarkStart w:id="3" w:name="kscyhex99_1"/>
      <w:bookmarkEnd w:id="2"/>
      <w:bookmarkEnd w:id="3"/>
      <w:r>
        <w:rPr/>
        <w:t> </w:t>
      </w:r>
      <w:r>
        <w:br w:type="page"/>
      </w:r>
    </w:p>
    <w:p>
      <w:pPr>
        <w:pStyle w:val="TextBody"/>
        <w:bidi w:val="0"/>
        <w:jc w:val="left"/>
        <w:rPr/>
      </w:pPr>
      <w:r>
        <w:rPr/>
        <w:t> </w:t>
      </w:r>
    </w:p>
    <w:p>
      <w:pPr>
        <w:pStyle w:val="TextBody"/>
        <w:bidi w:val="0"/>
        <w:jc w:val="left"/>
        <w:rPr/>
      </w:pPr>
      <w:r>
        <w:rPr/>
        <w:t> </w:t>
      </w:r>
    </w:p>
    <w:tbl>
      <w:tblPr>
        <w:tblW w:w="7137" w:type="dxa"/>
        <w:jc w:val="left"/>
        <w:tblInd w:w="0" w:type="dxa"/>
        <w:tblLayout w:type="fixed"/>
        <w:tblCellMar>
          <w:top w:w="28" w:type="dxa"/>
          <w:left w:w="28" w:type="dxa"/>
          <w:bottom w:w="28" w:type="dxa"/>
          <w:right w:w="28" w:type="dxa"/>
        </w:tblCellMar>
      </w:tblPr>
      <w:tblGrid>
        <w:gridCol w:w="5456"/>
        <w:gridCol w:w="1681"/>
      </w:tblGrid>
      <w:tr>
        <w:trPr/>
        <w:tc>
          <w:tcPr>
            <w:tcW w:w="545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5456"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drawing>
                <wp:inline distT="0" distB="0" distL="0" distR="0">
                  <wp:extent cx="34004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00425" cy="533400"/>
                          </a:xfrm>
                          <a:prstGeom prst="rect">
                            <a:avLst/>
                          </a:prstGeom>
                        </pic:spPr>
                      </pic:pic>
                    </a:graphicData>
                  </a:graphic>
                </wp:inline>
              </w:drawing>
            </w:r>
          </w:p>
        </w:tc>
        <w:tc>
          <w:tcPr>
            <w:tcW w:w="16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u w:val="single"/>
              </w:rPr>
            </w:pPr>
            <w:r>
              <w:rPr>
                <w:rFonts w:ascii="Times New Roman" w:hAnsi="Times New Roman"/>
                <w:color w:val="000000"/>
                <w:sz w:val="24"/>
                <w:u w:val="single"/>
              </w:rPr>
              <w:t>Exhibit Number</w:t>
            </w:r>
          </w:p>
        </w:tc>
      </w:tr>
      <w:tr>
        <w:trPr/>
        <w:tc>
          <w:tcPr>
            <w:tcW w:w="5456" w:type="dxa"/>
            <w:vMerge w:val="continue"/>
            <w:tcBorders/>
            <w:tcMar>
              <w:top w:w="0" w:type="dxa"/>
              <w:left w:w="0" w:type="dxa"/>
              <w:bottom w:w="0" w:type="dxa"/>
              <w:right w:w="0" w:type="dxa"/>
            </w:tcMar>
            <w:vAlign w:val="center"/>
          </w:tcPr>
          <w:p>
            <w:pPr>
              <w:pStyle w:val="Normal"/>
              <w:bidi w:val="0"/>
              <w:jc w:val="left"/>
              <w:rPr/>
            </w:pPr>
            <w:r>
              <w:rPr/>
            </w:r>
          </w:p>
        </w:tc>
        <w:tc>
          <w:tcPr>
            <w:tcW w:w="16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99.1</w:t>
            </w:r>
          </w:p>
        </w:tc>
      </w:tr>
    </w:tbl>
    <w:p>
      <w:pPr>
        <w:pStyle w:val="TextBody"/>
        <w:bidi w:val="0"/>
        <w:jc w:val="left"/>
        <w:rPr/>
      </w:pPr>
      <w:r>
        <w:rPr/>
        <w:t> </w:t>
      </w:r>
    </w:p>
    <w:tbl>
      <w:tblPr>
        <w:tblW w:w="4097" w:type="dxa"/>
        <w:jc w:val="left"/>
        <w:tblInd w:w="0" w:type="dxa"/>
        <w:tblLayout w:type="fixed"/>
        <w:tblCellMar>
          <w:top w:w="28" w:type="dxa"/>
          <w:left w:w="28" w:type="dxa"/>
          <w:bottom w:w="28" w:type="dxa"/>
          <w:right w:w="28" w:type="dxa"/>
        </w:tblCellMar>
      </w:tblPr>
      <w:tblGrid>
        <w:gridCol w:w="1726"/>
        <w:gridCol w:w="2371"/>
      </w:tblGrid>
      <w:tr>
        <w:trPr/>
        <w:tc>
          <w:tcPr>
            <w:tcW w:w="172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Investor Contact:</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Kevin Hammons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Director and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Executive Officer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(615) 465-7000</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COMMUNITY HEALTH SYSTEMS, INC. ANNOUNCES SECOND QUARTER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ENDED JUNE 30, 2026 RESULTS</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FRANKLIN, Tenn. (July 22, 2026) – Community Health Systems, Inc. (NYSE: CYH) (the “Company”) today announced financial and operating results for the three and six months ended June 30,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following highlights the financial and operating results for the three months ended June 30, 2026.</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Net operating revenues totaled $2.825 billion.</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color w:val="000000"/>
          <w:sz w:val="22"/>
        </w:rPr>
      </w:pPr>
      <w:r>
        <w:rPr>
          <w:rFonts w:ascii="Times New Roman" w:hAnsi="Times New Roman"/>
          <w:b/>
          <w:color w:val="000000"/>
          <w:sz w:val="22"/>
        </w:rPr>
        <w:t>Net income attributable to Community Health Systems, Inc. stockholders was $70 million, or $0.51 per share (diluted), compared to $282 million, or $2.09 per share (diluted), for the same period in 2025. Excluding the adjusting items as presented in the table in footnote (e) on page 15, net loss attributable to Community Health Systems, Inc. stockholders was $(0.19) per share (diluted), compared to $(0.05) per share (diluted) for the same period in 2025.</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color w:val="000000"/>
          <w:sz w:val="22"/>
        </w:rPr>
      </w:pPr>
      <w:r>
        <w:rPr>
          <w:rFonts w:ascii="Times New Roman" w:hAnsi="Times New Roman"/>
          <w:b/>
          <w:color w:val="000000"/>
          <w:sz w:val="22"/>
        </w:rPr>
        <w:t xml:space="preserve">Adjusted EBITDA was $330 million.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color w:val="000000"/>
          <w:sz w:val="22"/>
        </w:rPr>
      </w:pPr>
      <w:r>
        <w:rPr>
          <w:rFonts w:ascii="Times New Roman" w:hAnsi="Times New Roman"/>
          <w:b/>
          <w:color w:val="000000"/>
          <w:sz w:val="22"/>
        </w:rPr>
        <w:t>Net cash provided by operating activities was $87 million for both the three months ended June 30, 2026 and 2025.</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color w:val="000000"/>
          <w:sz w:val="22"/>
        </w:rPr>
      </w:pPr>
      <w:r>
        <w:rPr>
          <w:rFonts w:ascii="Times New Roman" w:hAnsi="Times New Roman"/>
          <w:b/>
          <w:color w:val="000000"/>
          <w:sz w:val="22"/>
        </w:rPr>
        <w:t>On a same-store basis, admissions increased 1.9 percent and adjusted admissions increased 2.9 percent, compared to the same period in 2025.</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color w:val="000000"/>
          <w:sz w:val="22"/>
        </w:rPr>
      </w:pPr>
      <w:r>
        <w:rPr>
          <w:rFonts w:ascii="Times New Roman" w:hAnsi="Times New Roman"/>
          <w:b/>
          <w:color w:val="000000"/>
          <w:sz w:val="22"/>
        </w:rPr>
        <w:t xml:space="preserve">Used the proceeds from recent divestitures to repurchase via a tender offer approximately $368 million principal amount of the Company’s outstanding 4.750% Senior Secured Notes due 2031 and approximately $231 million principal amount of the Company’s outstanding 10.875% Senior Secured Notes due 2032 and to pay related fees and expenses.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Commenting on the results, Kevin J. Hammons, chief executive officer of Community Health Systems, Inc., said, “Our dedicated team is making measurable progress across top priorities that include clinical quality, patient and physician experience and employee satisfaction, while also investing in initiatives designed to fuel future growth. We are confident in our ability to deliver long-term value by managing the factors within our control and successfully navigating the dynamic macroeconomic environment.”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Three Months Ended June 30,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Net operating revenues for the three months ended June 30, 2026, totaled $2.825 billion, a 9.8 percent decrease compared to $3.133 billion for the same period in 2025. On a same-store basis, net operating revenues increased 2.4 percent for the three months ended June 30, 2026, compared to the same period in 2025. Net operating revenues for the three months ended June 30, 2026, reflect an 11.4 percent decrease in admissions and an 11.7 percent decrease in adjusted admissions, compared to the same period in 2025. On a same-store basis, admissions increased 1.9 percent and adjusted admissions increased 2.9 percent for the three months ended June 30, 2026, compared to the same period in 2025.</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2</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Net income attributable to Community Health Systems, Inc. stockholders was $70 million, or $0.51 per share (diluted), for the three months ended June 30, 2026, compared to $282 million, or $2.09 per share (diluted), for the same period in 2025. Excluding the adjusting items as presented in the table in footnote (e) on page 15, net loss attributable to Community Health Systems, Inc. stockholders was $(0.19) per share (diluted) for the three months ended June 30, 2026, compared to $(0.05) per share (diluted) for the same period in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Adjusted EBITDA for the three months ended June 30, 2026, was $330 million compared to $380 million for the same period in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Net income attributable to Community Health Systems, Inc. stockholders for the three months ended June 30, 2026, decreased when compared to the same period in 2025, primarily due to a period-over-period change in loss (gain) from early extinguishment of debt, a period-over-period change in impairment and (gain) loss on sale of businesses and the factors that contributed to a decrease in Adjusted EBITDA as noted below, partially offset by a decrease in the provision for income taxes and interest expense. The decrease in Adjusted EBITDA for the three months ended June 30, 2026, compared to the same period in 2025, is primarily attributable to divestitures, an unfavorable change in payor mix and higher medical specialist fees, partially offset by increased volumes and reimbursement rates, a higher net benefit from supplemental reimbursement programs, and lower contract labor and professional liability expenses.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Six Months Ended June 30,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Net operating revenues for the six months ended June 30, 2026, totaled $5.790 billion, an 8.0 percent decrease compared to $6.292 billion for the same period in 2025. On a same-store basis, net operating revenues increased 2.5 percent for the six months ended June 30, 2026, compared to the same period in 2025. Net operating revenues for the six months ended June 30, 2026, reflect an 11.1 percent decrease in both admissions and adjusted admissions, compared to the same period in 2025. On a same-store basis, admissions were flat and adjusted admissions increased 1.0 percent for the six months ended June 30, 2026, compared to the same period in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Net income attributable to Community Health Systems, Inc. stockholders was $12 million, or $0.09 per share (diluted), for the six months ended June 30, 2026, compared to $269 million, or $2.01 per share (diluted), for the same period in 2025. Excluding the adjusting items as presented in the table in footnote (e) on page 15, net loss attributable to Community Health Systems, Inc. stockholders was $(0.67) per share (diluted) for the six months ended June 30, 2026, compared to $(0.08) per share (diluted) for the same period in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Adjusted EBITDA for the six months ended June 30, 2026, was $638 million compared to $756 million for the same period in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Net income attributable to Community Health Systems, Inc. stockholders for the six months ended June 30, 2026, decreased when compared to the same period in 2025, primarily due to a period-over-period change in loss (gain) from early extinguishment of debt, an increase in the provision for income taxes and the factors that contributed to a decrease in Adjusted EBITDA as noted below, partially offset by lower interest expense. The decrease in Adjusted EBITDA for the six months ended June 30, 2026, compared to the same period in 2025, is primarily attributable to divestitures, an unfavorable change in payor mix and higher medical specialist fees, partially offset by increased reimbursement rates, a higher net benefit from supplemental reimbursement programs, and lower contract labor and professional liability expenses.</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Other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Company used approximately $600 million of cash on hand from recent divestiture proceeds to repurchase approximately $368 million principal amount of its 4.750% Senior Secured Notes due 2031, or approximately 35 percent of the total outstanding principal amount, and to repurchase approximately $231 million principal amount of its 10.875% Senior Secured Notes due 2032, or approximately 13 percent of the total outstanding principal amount, that were validly tendered and accepted for purchase pursuant to a tender offer that launched on April 22, 2026, and was completed on May 6, 2026, and to pay related fees and expenses. Upon completion of the tender offer, approximately $689 million principal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3</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amount of the 4.750% Senior Secured Notes due 2031 remained outstanding, and approximately $1.549 billion principal amount of the 10.875% Senior Secured Notes due 2032 remained outstanding. A pre-tax loss from early extinguishment of debt of approximately $5 million was recognized during the three months ended June 30,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During 2026, through the date of this press release, the Company has divested (i) its 80 percent ownership interest in one hospital, which was completed on February 1, 2026, and (ii) eight other hospitals (three of which were completed effective February 1, 2026, one of which was completed effective April 1, 2026, and four of which were completed effective June 1,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Financial and statistical data presented in this press release includes the operating results of divested or closed businesses for the periods prior to the consummation of the respective divestiture or closure. Same-store operating results and statistical information include operating results of businesses operated in the comparable current year and prior year periods, and exclude businesses divested prior to June 30,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Information About Non-GAAP Financial Measures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press release presents Adjusted EBITDA, a non-GAAP financial measure, which is EBITDA adjusted to add back net income attributable to noncontrolling interests and to exclude loss (gain) from early extinguishment of debt, impairment and (gain) loss on sale of businesses, expense related to the Business Transformation Costs (as defined in footnote (c) to the Financial Highlights, Financial Statements and Selected Operating Data below), expense related to government and other legal matters and related costs, expense related to employee termination benefits and other restructuring charges, and the impact of a change in estimate to increase the professional liability claims accrual recorded during the third quarter of 2024. For information regarding why the Company believes Adjusted EBITDA provides useful information to investors, and for a reconciliation of Adjusted EBITDA to net income attributable to Community Health Systems, Inc. stockholders, see footnote (c) to the Financial Highlights, Financial Statements and Selected Operating Data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Additionally, this press release presents adjusted net loss attributable to Community Health Systems, Inc. stockholders per share (diluted), a non-GAAP financial measure, to reflect the impact on net income attributable to Community Health Systems, Inc. stockholders per share (diluted) from the selected items used in the calculation of Adjusted EBITDA. For information regarding why the Company believes this non-GAAP financial measure provides useful information to investors, and for a reconciliation of this non-GAAP financial measure to net income attributable to Community Health Systems, Inc. stockholders per share (diluted), see footnote (e) to the Financial Highlights, Financial Statements and Selected Operating Data below.</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non-GAAP financial measures set forth above are not measurements of financial performance under U.S. GAAP, and should not be considered in isolation or as a substitute for any financial measure calculated in accordance with U.S. GAAP. Additionally, the calculation of these non-GAAP financial measures may not be comparable to similarly titled measures disclosed by other companies.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Included on pages 16 and 17 of this press release are tables setting forth the Company’s 2026 updated annual earnings guidance. The 2026 guidance is based on the Company’s historical operating performance, current trends and other assumptions the Company believes are reasonable at this time as more specifically discussed below.</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4</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Community Health Systems,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Community Health Systems, Inc. is one of the nation’s largest healthcare companies. The Company’s affiliates are leading providers of healthcare services, developing and operating healthcare delivery systems in 32 distinct markets across 12 states. As of July 22, 2026, the Company’s subsidiaries own or lease 60 affiliated hospitals with more than 8,000 beds and operate more than 800 sites of care, including physician practices, urgent care centers, freestanding emergency departments, occupational medicine clinics, imaging centers, cancer centers and ambulatory surgery centers.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The Company’s headquarters is located in Franklin, Tennessee, a suburb south of Nashville. Shares in Community Health Systems, Inc. are traded on the New York Stock Exchange under the symbol “CYH.” More information about the Company can be found on its website at </w:t>
      </w:r>
      <w:r>
        <w:rPr>
          <w:rFonts w:ascii="Times New Roman" w:hAnsi="Times New Roman"/>
          <w:sz w:val="22"/>
        </w:rPr>
        <w:t>www.chs.net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Community Health Systems, Inc. will hold a conference call on Thursday, July 23, 2026 at 10:00 a.m. Central, 11:00 a.m. Eastern, to review financial and operating results for the second quarter ended June 30, 2026. Investors will have the opportunity to listen to a live internet broadcast of the conference call by clicking on the Investor Presentations and Webcasts link of the Company’s Investor Relations website at </w:t>
      </w:r>
      <w:r>
        <w:rPr>
          <w:rFonts w:ascii="Times New Roman" w:hAnsi="Times New Roman"/>
          <w:sz w:val="22"/>
        </w:rPr>
        <w:t>www.chs.net/investor-relations</w:t>
      </w:r>
      <w:r>
        <w:rPr>
          <w:rFonts w:ascii="Times New Roman" w:hAnsi="Times New Roman"/>
          <w:color w:val="000000"/>
          <w:sz w:val="22"/>
        </w:rPr>
        <w:t xml:space="preserve">. For those who cannot listen to the live broadcast, a replay will be available shortly after the call and will continue to be available for approximately 30 days. Copies of this press release and conference call slide show, as well as the Company’s Current Report on Form 8-K (including this press release), will be available on the Company’s website at </w:t>
      </w:r>
      <w:r>
        <w:rPr>
          <w:rFonts w:ascii="Times New Roman" w:hAnsi="Times New Roman"/>
          <w:sz w:val="22"/>
        </w:rPr>
        <w:t>www.chs.net</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5</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COMMUNITY HEALTH SYSTEMS, INC.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Financial Highlights (a)(b)</w:t>
      </w:r>
    </w:p>
    <w:p>
      <w:pPr>
        <w:pStyle w:val="TextBody"/>
        <w:bidi w:val="0"/>
        <w:jc w:val="center"/>
        <w:rPr>
          <w:rFonts w:ascii="Times New Roman" w:hAnsi="Times New Roman"/>
          <w:i/>
          <w:color w:val="000000"/>
          <w:sz w:val="22"/>
        </w:rPr>
      </w:pPr>
      <w:r>
        <w:rPr>
          <w:rFonts w:ascii="Times New Roman" w:hAnsi="Times New Roman"/>
          <w:i/>
          <w:color w:val="000000"/>
          <w:sz w:val="22"/>
        </w:rPr>
        <w:t>(In millions, except per share amounts)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9235" w:type="dxa"/>
        <w:jc w:val="left"/>
        <w:tblInd w:w="0" w:type="dxa"/>
        <w:tblLayout w:type="fixed"/>
        <w:tblCellMar>
          <w:top w:w="28" w:type="dxa"/>
          <w:left w:w="28" w:type="dxa"/>
          <w:bottom w:w="28" w:type="dxa"/>
          <w:right w:w="28" w:type="dxa"/>
        </w:tblCellMar>
      </w:tblPr>
      <w:tblGrid>
        <w:gridCol w:w="3781"/>
        <w:gridCol w:w="226"/>
        <w:gridCol w:w="146"/>
        <w:gridCol w:w="646"/>
        <w:gridCol w:w="146"/>
        <w:gridCol w:w="146"/>
        <w:gridCol w:w="226"/>
        <w:gridCol w:w="146"/>
        <w:gridCol w:w="646"/>
        <w:gridCol w:w="146"/>
        <w:gridCol w:w="146"/>
        <w:gridCol w:w="226"/>
        <w:gridCol w:w="146"/>
        <w:gridCol w:w="646"/>
        <w:gridCol w:w="181"/>
        <w:gridCol w:w="146"/>
        <w:gridCol w:w="226"/>
        <w:gridCol w:w="146"/>
        <w:gridCol w:w="646"/>
        <w:gridCol w:w="471"/>
      </w:tblGrid>
      <w:tr>
        <w:trPr/>
        <w:tc>
          <w:tcPr>
            <w:tcW w:w="3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Six Months Ended</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Net operating revenues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6,292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income (f)</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Net income attributable to Community </w:t>
              <w:br/>
              <w:t>   Health Systems, Inc. stockholders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Adjusted EBITDA (c)</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cash provided by (used in)</w:t>
              <w:br/>
              <w:t>   operating activities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 xml:space="preserve">Earnings per share attributable to </w:t>
              <w:br/>
              <w:t xml:space="preserve">   Community Health Systems, Inc. </w:t>
              <w:br/>
              <w:t>   stockholders: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Basic (f)</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Diluted (e), (f)</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Weighted-average number of shares </w:t>
              <w:br/>
              <w:t>   outstanding (d):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Basic</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Diluted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2"/>
        </w:rPr>
      </w:pPr>
      <w:r>
        <w:rPr>
          <w:rFonts w:ascii="Times New Roman" w:hAnsi="Times New Roman"/>
          <w:color w:val="000000"/>
          <w:sz w:val="22"/>
        </w:rPr>
        <w:t>For footnotes, see pages 13, 14 and 15.</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6</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tbl>
      <w:tblPr>
        <w:tblW w:w="9240" w:type="dxa"/>
        <w:jc w:val="left"/>
        <w:tblInd w:w="0" w:type="dxa"/>
        <w:tblLayout w:type="fixed"/>
        <w:tblCellMar>
          <w:top w:w="28" w:type="dxa"/>
          <w:left w:w="28" w:type="dxa"/>
          <w:bottom w:w="28" w:type="dxa"/>
          <w:right w:w="28" w:type="dxa"/>
        </w:tblCellMar>
      </w:tblPr>
      <w:tblGrid>
        <w:gridCol w:w="4191"/>
        <w:gridCol w:w="196"/>
        <w:gridCol w:w="146"/>
        <w:gridCol w:w="511"/>
        <w:gridCol w:w="166"/>
        <w:gridCol w:w="146"/>
        <w:gridCol w:w="146"/>
        <w:gridCol w:w="511"/>
        <w:gridCol w:w="166"/>
        <w:gridCol w:w="241"/>
        <w:gridCol w:w="146"/>
        <w:gridCol w:w="196"/>
        <w:gridCol w:w="146"/>
        <w:gridCol w:w="511"/>
        <w:gridCol w:w="166"/>
        <w:gridCol w:w="146"/>
        <w:gridCol w:w="146"/>
        <w:gridCol w:w="511"/>
        <w:gridCol w:w="166"/>
        <w:gridCol w:w="686"/>
      </w:tblGrid>
      <w:tr>
        <w:trPr/>
        <w:tc>
          <w:tcPr>
            <w:tcW w:w="4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9240"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COMMUNITY HEALTH SYSTEMS, INC. AND SUBSIDIARIES</w:t>
            </w:r>
          </w:p>
        </w:tc>
      </w:tr>
      <w:tr>
        <w:trPr/>
        <w:tc>
          <w:tcPr>
            <w:tcW w:w="9240"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Income (a)(b)</w:t>
            </w:r>
          </w:p>
        </w:tc>
      </w:tr>
      <w:tr>
        <w:trPr/>
        <w:tc>
          <w:tcPr>
            <w:tcW w:w="9240"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millions, except per share amounts)</w:t>
            </w:r>
          </w:p>
        </w:tc>
      </w:tr>
      <w:tr>
        <w:trPr/>
        <w:tc>
          <w:tcPr>
            <w:tcW w:w="9240"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49"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Net operating revenues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Salaries and benefits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Supplies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operating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cost and rent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Impairment and (gain) loss on sale of businesses, net (f)</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from operations (f)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(gain) from early extinguishment of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earnings of unconsolidated affiliates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before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Less: Net income attributable to noncontrolling interests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Net income attributable to Community Health Systems, </w:t>
              <w:br/>
              <w:t>   Inc. stockholders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xml:space="preserve">Earnings per share attributable to Community </w:t>
              <w:br/>
              <w:t>   Health Systems, Inc. stockholders: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 (f)</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Diluted (e), (f)</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number of shares outstanding (d):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Diluted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2"/>
        </w:rPr>
      </w:pPr>
      <w:r>
        <w:rPr>
          <w:rFonts w:ascii="Times New Roman" w:hAnsi="Times New Roman"/>
          <w:color w:val="000000"/>
          <w:sz w:val="22"/>
        </w:rPr>
        <w:t>For footnotes, see pages 13, 14 and 15.</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7</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COMMUNITY HEALTH SYSTEMS, INC.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Income (a)(b)</w:t>
      </w:r>
    </w:p>
    <w:p>
      <w:pPr>
        <w:pStyle w:val="TextBody"/>
        <w:bidi w:val="0"/>
        <w:jc w:val="center"/>
        <w:rPr>
          <w:rFonts w:ascii="Times New Roman" w:hAnsi="Times New Roman"/>
          <w:i/>
          <w:color w:val="000000"/>
          <w:sz w:val="22"/>
        </w:rPr>
      </w:pPr>
      <w:r>
        <w:rPr>
          <w:rFonts w:ascii="Times New Roman" w:hAnsi="Times New Roman"/>
          <w:i/>
          <w:color w:val="000000"/>
          <w:sz w:val="22"/>
        </w:rPr>
        <w:t>(In millions, except per share amounts)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9240" w:type="dxa"/>
        <w:jc w:val="left"/>
        <w:tblInd w:w="0" w:type="dxa"/>
        <w:tblLayout w:type="fixed"/>
        <w:tblCellMar>
          <w:top w:w="28" w:type="dxa"/>
          <w:left w:w="28" w:type="dxa"/>
          <w:bottom w:w="28" w:type="dxa"/>
          <w:right w:w="28" w:type="dxa"/>
        </w:tblCellMar>
      </w:tblPr>
      <w:tblGrid>
        <w:gridCol w:w="4191"/>
        <w:gridCol w:w="196"/>
        <w:gridCol w:w="146"/>
        <w:gridCol w:w="511"/>
        <w:gridCol w:w="166"/>
        <w:gridCol w:w="146"/>
        <w:gridCol w:w="146"/>
        <w:gridCol w:w="511"/>
        <w:gridCol w:w="166"/>
        <w:gridCol w:w="241"/>
        <w:gridCol w:w="146"/>
        <w:gridCol w:w="196"/>
        <w:gridCol w:w="146"/>
        <w:gridCol w:w="511"/>
        <w:gridCol w:w="166"/>
        <w:gridCol w:w="146"/>
        <w:gridCol w:w="146"/>
        <w:gridCol w:w="511"/>
        <w:gridCol w:w="166"/>
        <w:gridCol w:w="686"/>
      </w:tblGrid>
      <w:tr>
        <w:trPr/>
        <w:tc>
          <w:tcPr>
            <w:tcW w:w="4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49"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Net operating revenues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Salaries and benefits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Supplies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operating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cost and rent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Impairment and (gain) loss on sale of businesses, net (f)</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from operations (f)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(gain) from early extinguishment of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earnings of unconsolidated affiliates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before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Less: Net income attributable to noncontrolling interests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Net income attributable to Community Health </w:t>
              <w:br/>
              <w:t>   Systems, Inc. stockholders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xml:space="preserve">Earnings per share attributable to Community Health </w:t>
              <w:br/>
              <w:t>   Systems, Inc. stockholders: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 (f)</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Diluted (e), (f)</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number of shares outstanding (d):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Diluted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2"/>
        </w:rPr>
      </w:pPr>
      <w:r>
        <w:rPr>
          <w:rFonts w:ascii="Times New Roman" w:hAnsi="Times New Roman"/>
          <w:color w:val="000000"/>
          <w:sz w:val="22"/>
        </w:rPr>
        <w:t>For footnotes, see pages 13, 14 and 15.</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8</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COMMUNITY HEALTH SYSTEMS, INC.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Comprehensive Income</w:t>
      </w:r>
    </w:p>
    <w:p>
      <w:pPr>
        <w:pStyle w:val="TextBody"/>
        <w:bidi w:val="0"/>
        <w:jc w:val="center"/>
        <w:rPr>
          <w:rFonts w:ascii="Times New Roman" w:hAnsi="Times New Roman"/>
          <w:i/>
          <w:color w:val="000000"/>
          <w:sz w:val="22"/>
        </w:rPr>
      </w:pPr>
      <w:r>
        <w:rPr>
          <w:rFonts w:ascii="Times New Roman" w:hAnsi="Times New Roman"/>
          <w:i/>
          <w:color w:val="000000"/>
          <w:sz w:val="22"/>
        </w:rPr>
        <w:t>(In millions)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center"/>
        <w:rPr/>
      </w:pPr>
      <w:r>
        <w:rPr/>
        <w:t> </w:t>
      </w:r>
    </w:p>
    <w:tbl>
      <w:tblPr>
        <w:tblW w:w="10193" w:type="dxa"/>
        <w:jc w:val="left"/>
        <w:tblInd w:w="0" w:type="dxa"/>
        <w:tblLayout w:type="fixed"/>
        <w:tblCellMar>
          <w:top w:w="28" w:type="dxa"/>
          <w:left w:w="28" w:type="dxa"/>
          <w:bottom w:w="28" w:type="dxa"/>
          <w:right w:w="28" w:type="dxa"/>
        </w:tblCellMar>
      </w:tblPr>
      <w:tblGrid>
        <w:gridCol w:w="5111"/>
        <w:gridCol w:w="243"/>
        <w:gridCol w:w="157"/>
        <w:gridCol w:w="502"/>
        <w:gridCol w:w="195"/>
        <w:gridCol w:w="157"/>
        <w:gridCol w:w="243"/>
        <w:gridCol w:w="157"/>
        <w:gridCol w:w="502"/>
        <w:gridCol w:w="146"/>
        <w:gridCol w:w="146"/>
        <w:gridCol w:w="226"/>
        <w:gridCol w:w="146"/>
        <w:gridCol w:w="346"/>
        <w:gridCol w:w="181"/>
        <w:gridCol w:w="146"/>
        <w:gridCol w:w="226"/>
        <w:gridCol w:w="146"/>
        <w:gridCol w:w="466"/>
        <w:gridCol w:w="751"/>
      </w:tblGrid>
      <w:tr>
        <w:trPr/>
        <w:tc>
          <w:tcPr>
            <w:tcW w:w="51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Six Months Ended</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income</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345</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Other comprehensive (loss) income, net of </w:t>
              <w:br/>
              <w:t>   income taxes: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 xml:space="preserve">Net change in fair value of available-for-sale debt </w:t>
              <w:br/>
              <w:t>   securities, net of tax</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Other comprehensive (loss) income</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Comprehensive income</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 xml:space="preserve">Less: Comprehensive income attributable to </w:t>
              <w:br/>
              <w:t>   noncontrolling interests</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Comprehensive income attributable to Community </w:t>
              <w:br/>
              <w:t>   Health Systems, Inc. stockholders</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274</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2"/>
        </w:rPr>
      </w:pPr>
      <w:r>
        <w:rPr>
          <w:rFonts w:ascii="Times New Roman" w:hAnsi="Times New Roman"/>
          <w:color w:val="000000"/>
          <w:sz w:val="22"/>
        </w:rPr>
        <w:t>For footnotes, see pages 13, 14 and 15.</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9</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8"/>
        <w:gridCol w:w="146"/>
        <w:gridCol w:w="196"/>
        <w:gridCol w:w="691"/>
        <w:gridCol w:w="256"/>
        <w:gridCol w:w="146"/>
        <w:gridCol w:w="196"/>
        <w:gridCol w:w="691"/>
        <w:gridCol w:w="256"/>
        <w:gridCol w:w="146"/>
        <w:gridCol w:w="216"/>
        <w:gridCol w:w="715"/>
        <w:gridCol w:w="256"/>
        <w:gridCol w:w="146"/>
        <w:gridCol w:w="196"/>
        <w:gridCol w:w="691"/>
        <w:gridCol w:w="256"/>
        <w:gridCol w:w="146"/>
        <w:gridCol w:w="196"/>
        <w:gridCol w:w="691"/>
        <w:gridCol w:w="256"/>
        <w:gridCol w:w="146"/>
        <w:gridCol w:w="284"/>
        <w:gridCol w:w="647"/>
        <w:gridCol w:w="301"/>
      </w:tblGrid>
      <w:tr>
        <w:trPr/>
        <w:tc>
          <w:tcPr>
            <w:tcW w:w="2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0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COMMUNITY HEALTH SYSTEMS, INC. AND SUBSIDIARIES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0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Selected Operating Data (a)</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0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(Dollars in millions)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0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35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Same-Store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9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hospitals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Licensed beds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Beds in service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admissions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196,917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Patient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365,978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415,354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354,314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352,714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length of stay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Occupancy rate (average beds in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Net inpatient revenues as a % of net operating </w:t>
              <w:br/>
              <w: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Net outpatient revenues as a % of net operating </w:t>
              <w:br/>
              <w: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 as a % of net operating</w:t>
              <w:br/>
              <w: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Community Health</w:t>
              <w:br/>
              <w:t>   Systems, Inc.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Community Health</w:t>
              <w:br/>
              <w:t>   Systems, Inc. stockholders as a % of net</w:t>
              <w:br/>
              <w:t>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 as a % of net</w:t>
              <w:br/>
              <w:t>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2"/>
        </w:rPr>
      </w:pPr>
      <w:r>
        <w:rPr>
          <w:rFonts w:ascii="Times New Roman" w:hAnsi="Times New Roman"/>
          <w:color w:val="000000"/>
          <w:sz w:val="22"/>
        </w:rPr>
        <w:t>For footnotes, see pages 13, 14 and 15.</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10</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8"/>
        <w:gridCol w:w="246"/>
        <w:gridCol w:w="196"/>
        <w:gridCol w:w="691"/>
        <w:gridCol w:w="256"/>
        <w:gridCol w:w="146"/>
        <w:gridCol w:w="196"/>
        <w:gridCol w:w="691"/>
        <w:gridCol w:w="256"/>
        <w:gridCol w:w="146"/>
        <w:gridCol w:w="189"/>
        <w:gridCol w:w="742"/>
        <w:gridCol w:w="256"/>
        <w:gridCol w:w="146"/>
        <w:gridCol w:w="196"/>
        <w:gridCol w:w="691"/>
        <w:gridCol w:w="256"/>
        <w:gridCol w:w="146"/>
        <w:gridCol w:w="196"/>
        <w:gridCol w:w="691"/>
        <w:gridCol w:w="256"/>
        <w:gridCol w:w="146"/>
        <w:gridCol w:w="284"/>
        <w:gridCol w:w="647"/>
        <w:gridCol w:w="301"/>
      </w:tblGrid>
      <w:tr>
        <w:trPr/>
        <w:tc>
          <w:tcPr>
            <w:tcW w:w="22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0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COMMUNITY HEALTH SYSTEMS, INC. AND SUBSIDIARIES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0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Selected Operating Data (a)</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0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(Dollars in millions)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0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35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Same-Store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9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hospitals (at end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Licensed beds (at end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Beds in service (at end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Admissions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203,839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admissions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403,314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453,779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372,928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Patient days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775,754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883,719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723,699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739,489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length of stay (days)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Occupancy rate (average beds in service)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operating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 xml:space="preserve">Net inpatient revenues as a % of net </w:t>
              <w:br/>
              <w:t>   operating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Net outpatient revenues as a % of net </w:t>
              <w:br/>
              <w:t>   operating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 (f)</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from operations as a % of net</w:t>
              <w:br/>
              <w:t>   operating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 attributable to</w:t>
              <w:br/>
              <w:t xml:space="preserve">    Community Health Systems, Inc. </w:t>
              <w:br/>
              <w:t>    stockholders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 xml:space="preserve">Net income attributable to </w:t>
              <w:br/>
              <w:t xml:space="preserve">   Community Health Systems, Inc. </w:t>
              <w:br/>
              <w:t xml:space="preserve">   stockholders as a % of net </w:t>
              <w:br/>
              <w:t>   operating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 (c)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Adjusted EBITDA as a % of net</w:t>
              <w:br/>
              <w:t>   operating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spacing w:before="40" w:after="283"/>
        <w:jc w:val="left"/>
        <w:rPr/>
      </w:pPr>
      <w:r>
        <w:rPr/>
        <w:t> </w:t>
      </w:r>
    </w:p>
    <w:p>
      <w:pPr>
        <w:pStyle w:val="TextBody"/>
        <w:bidi w:val="0"/>
        <w:spacing w:before="40" w:after="283"/>
        <w:jc w:val="left"/>
        <w:rPr>
          <w:rFonts w:ascii="Times New Roman" w:hAnsi="Times New Roman"/>
          <w:color w:val="000000"/>
          <w:sz w:val="22"/>
        </w:rPr>
      </w:pPr>
      <w:r>
        <w:rPr>
          <w:rFonts w:ascii="Times New Roman" w:hAnsi="Times New Roman"/>
          <w:color w:val="000000"/>
          <w:sz w:val="22"/>
        </w:rPr>
        <w:t>For footnotes, see pages 13, 14 and 15.</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11</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COMMUNITY HEALTH SYSTEMS, INC. AND SUBSIDIARIES</w:t>
      </w:r>
    </w:p>
    <w:p>
      <w:pPr>
        <w:pStyle w:val="TextBody"/>
        <w:bidi w:val="0"/>
        <w:jc w:val="center"/>
        <w:rPr>
          <w:rFonts w:ascii="Times New Roman" w:hAnsi="Times New Roman"/>
          <w:sz w:val="20"/>
        </w:rPr>
      </w:pPr>
      <w:r>
        <w:rPr>
          <w:rFonts w:ascii="Times New Roman" w:hAnsi="Times New Roman"/>
          <w:b/>
          <w:color w:val="000000"/>
          <w:sz w:val="22"/>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i/>
          <w:color w:val="000000"/>
          <w:sz w:val="22"/>
        </w:rPr>
      </w:pPr>
      <w:r>
        <w:rPr>
          <w:rFonts w:ascii="Times New Roman" w:hAnsi="Times New Roman"/>
          <w:i/>
          <w:color w:val="000000"/>
          <w:sz w:val="22"/>
        </w:rPr>
        <w:t>(In millions, except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165"/>
        <w:gridCol w:w="346"/>
        <w:gridCol w:w="232"/>
        <w:gridCol w:w="172"/>
        <w:gridCol w:w="711"/>
        <w:gridCol w:w="166"/>
        <w:gridCol w:w="146"/>
        <w:gridCol w:w="305"/>
        <w:gridCol w:w="228"/>
        <w:gridCol w:w="939"/>
        <w:gridCol w:w="795"/>
      </w:tblGrid>
      <w:tr>
        <w:trPr/>
        <w:tc>
          <w:tcPr>
            <w:tcW w:w="61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Patient accounts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Supplies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Prepaid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Prepaid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3,234</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8,912</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Less accumulated 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(4,409</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Goodwill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3,316</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Deferred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Other assets,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Total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13,204</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maturities of long-term debt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Income tax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Employee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2,208</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Long-term debt (g)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10,380</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Deferred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Long-term 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Other long-term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Total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14,041</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Redeemable noncontrolling interests in equity of consolidated subsidiaries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i/>
                <w:color w:val="000000"/>
                <w:sz w:val="16"/>
              </w:rPr>
              <w:t>STOCKHOLDERS</w:t>
            </w:r>
            <w:r>
              <w:rPr>
                <w:rFonts w:ascii="Times New Roman" w:hAnsi="Times New Roman"/>
                <w:color w:val="000000"/>
                <w:sz w:val="16"/>
              </w:rPr>
              <w:t>’ </w:t>
            </w:r>
            <w:r>
              <w:rPr>
                <w:rFonts w:ascii="Times New Roman" w:hAnsi="Times New Roman"/>
                <w:i/>
                <w:color w:val="000000"/>
                <w:sz w:val="16"/>
              </w:rPr>
              <w:t>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Community Health Systems, Inc. stockholders’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Preferred stock, $0.01 par value per share, 100,000,000 shares authorized; none issued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Common stock, $0.01 par value per share, 300,000,000 shares authorized; 141,010,284</w:t>
              <w:br/>
              <w:t>   shares issued and outstanding at June 30, 2026, and 138,626,917</w:t>
              <w:br/>
              <w:t>   shares issued and outstanding at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2,185</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other 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(3,571</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Community Health Systems, Inc. stockholders’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Noncontrolling interests in equity of consolidated subsidiaries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i/>
                <w:color w:val="000000"/>
                <w:sz w:val="16"/>
              </w:rPr>
              <w:t>Total stockholders</w:t>
            </w:r>
            <w:r>
              <w:rPr>
                <w:rFonts w:ascii="Times New Roman" w:hAnsi="Times New Roman"/>
                <w:color w:val="000000"/>
                <w:sz w:val="16"/>
              </w:rPr>
              <w:t>’ </w:t>
            </w:r>
            <w:r>
              <w:rPr>
                <w:rFonts w:ascii="Times New Roman" w:hAnsi="Times New Roman"/>
                <w:i/>
                <w:color w:val="000000"/>
                <w:sz w:val="16"/>
              </w:rPr>
              <w:t>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i/>
                <w:color w:val="000000"/>
                <w:sz w:val="16"/>
              </w:rPr>
              <w:t>Total liabilities and stockholders</w:t>
            </w:r>
            <w:r>
              <w:rPr>
                <w:rFonts w:ascii="Times New Roman" w:hAnsi="Times New Roman"/>
                <w:color w:val="000000"/>
                <w:sz w:val="16"/>
              </w:rPr>
              <w:t>’ </w:t>
            </w:r>
            <w:r>
              <w:rPr>
                <w:rFonts w:ascii="Times New Roman" w:hAnsi="Times New Roman"/>
                <w:i/>
                <w:color w:val="000000"/>
                <w:sz w:val="16"/>
              </w:rPr>
              <w:t>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13,204</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2"/>
        </w:rPr>
      </w:pPr>
      <w:r>
        <w:rPr>
          <w:rFonts w:ascii="Times New Roman" w:hAnsi="Times New Roman"/>
          <w:color w:val="000000"/>
          <w:sz w:val="22"/>
        </w:rPr>
        <w:t>For footnotes, see pages 13, 14 and 15.</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12</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COMMUNITY HEALTH SYSTEMS, INC.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Cash Flows</w:t>
      </w:r>
    </w:p>
    <w:p>
      <w:pPr>
        <w:pStyle w:val="TextBody"/>
        <w:bidi w:val="0"/>
        <w:jc w:val="center"/>
        <w:rPr>
          <w:rFonts w:ascii="Times New Roman" w:hAnsi="Times New Roman"/>
          <w:color w:val="000000"/>
          <w:sz w:val="22"/>
        </w:rPr>
      </w:pPr>
      <w:r>
        <w:rPr>
          <w:rFonts w:ascii="Times New Roman" w:hAnsi="Times New Roman"/>
          <w:color w:val="000000"/>
          <w:sz w:val="22"/>
        </w:rPr>
        <w:t>(In millions)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left"/>
        <w:rPr/>
      </w:pPr>
      <w:r>
        <w:rPr/>
        <w:t> </w:t>
      </w:r>
    </w:p>
    <w:tbl>
      <w:tblPr>
        <w:tblW w:w="8898" w:type="dxa"/>
        <w:jc w:val="left"/>
        <w:tblInd w:w="0" w:type="dxa"/>
        <w:tblLayout w:type="fixed"/>
        <w:tblCellMar>
          <w:top w:w="28" w:type="dxa"/>
          <w:left w:w="28" w:type="dxa"/>
          <w:bottom w:w="28" w:type="dxa"/>
          <w:right w:w="28" w:type="dxa"/>
        </w:tblCellMar>
      </w:tblPr>
      <w:tblGrid>
        <w:gridCol w:w="5856"/>
        <w:gridCol w:w="204"/>
        <w:gridCol w:w="152"/>
        <w:gridCol w:w="597"/>
        <w:gridCol w:w="173"/>
        <w:gridCol w:w="152"/>
        <w:gridCol w:w="204"/>
        <w:gridCol w:w="152"/>
        <w:gridCol w:w="597"/>
        <w:gridCol w:w="811"/>
      </w:tblGrid>
      <w:tr>
        <w:trPr/>
        <w:tc>
          <w:tcPr>
            <w:tcW w:w="58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Cash flows from operating activities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Adjustments to reconcile net income to net cash (used in) provided by </w:t>
              <w:br/>
              <w:t>   operating activities: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and (gain) loss on sale of businesses, net (f)</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(gain) from early extinguishment of debt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non-cash expenses, net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 net of effects of</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acquisitions and divestitures: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Patient accounts receivable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Supplies, prepaid expenses and other current assets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 accrued liabilities and income taxes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operating activities</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Cash flows from investing activities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Acquisitions of facilities and other related businesses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disposition of hospitals and other ancillary operations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available-for-sale debt securities and equity securities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sales of available-for-sale debt securities and equity securities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investments in unconsolidated affiliates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other investments</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Cash flows from financing activities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of restricted stock shares for payroll tax withholding requirements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financing costs and other debt-related costs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noncontrolling investors in joint ventures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noncontrolling investors in joint ventures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borrowings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long-term debt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ABL Facility</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of long-term indebtedness</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financing activities</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Net change in cash and cash equivalents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Cash and cash equivalents at beginning of period</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Cash and cash equivalents at end of period</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40" w:after="283"/>
        <w:jc w:val="left"/>
        <w:rPr/>
      </w:pPr>
      <w:r>
        <w:rPr/>
        <w:t> </w:t>
      </w:r>
    </w:p>
    <w:p>
      <w:pPr>
        <w:pStyle w:val="TextBody"/>
        <w:bidi w:val="0"/>
        <w:spacing w:before="40" w:after="283"/>
        <w:jc w:val="left"/>
        <w:rPr>
          <w:rFonts w:ascii="Times New Roman" w:hAnsi="Times New Roman"/>
          <w:color w:val="000000"/>
          <w:sz w:val="22"/>
        </w:rPr>
      </w:pPr>
      <w:r>
        <w:rPr>
          <w:rFonts w:ascii="Times New Roman" w:hAnsi="Times New Roman"/>
          <w:color w:val="000000"/>
          <w:sz w:val="22"/>
        </w:rPr>
        <w:t>For footnotes, see pages 13, 14 and 15.</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13</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Footnotes to Financial Highlights, Financial Statements and Selected Operating Data</w:t>
      </w:r>
    </w:p>
    <w:p>
      <w:pPr>
        <w:pStyle w:val="TextBody"/>
        <w:bidi w:val="0"/>
        <w:spacing w:before="220" w:after="283"/>
        <w:jc w:val="both"/>
        <w:rPr>
          <w:rFonts w:ascii="Times New Roman" w:hAnsi="Times New Roman"/>
          <w:color w:val="000000"/>
          <w:sz w:val="18"/>
        </w:rPr>
      </w:pPr>
      <w:r>
        <w:rPr>
          <w:rFonts w:ascii="Times New Roman" w:hAnsi="Times New Roman"/>
          <w:color w:val="000000"/>
          <w:sz w:val="18"/>
        </w:rPr>
        <w:t>(a)</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Both financial and statistical results include the operating results of divested or closed businesses for the periods prior to the consummation of the respective divestiture or closing. Same-store operating results and statistical information include operating results of businesses operated in the comparable current year and prior year periods, and exclude businesses divested prior to June 30, 2026. There were no discontinued operations reported for the periods presented.</w:t>
      </w:r>
    </w:p>
    <w:p>
      <w:pPr>
        <w:pStyle w:val="TextBody"/>
        <w:bidi w:val="0"/>
        <w:spacing w:before="220" w:after="283"/>
        <w:jc w:val="both"/>
        <w:rPr>
          <w:rFonts w:ascii="Times New Roman" w:hAnsi="Times New Roman"/>
          <w:color w:val="000000"/>
          <w:sz w:val="18"/>
        </w:rPr>
      </w:pPr>
      <w:r>
        <w:rPr>
          <w:rFonts w:ascii="Times New Roman" w:hAnsi="Times New Roman"/>
          <w:color w:val="000000"/>
          <w:sz w:val="18"/>
        </w:rPr>
        <w:t>(b)</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The following table provides information needed to calculate net income attributable to Community Health Systems, Inc. stockholders, which is adjusted for income attributable to noncontrolling interests (in millions):</w:t>
      </w:r>
    </w:p>
    <w:p>
      <w:pPr>
        <w:pStyle w:val="TextBody"/>
        <w:bidi w:val="0"/>
        <w:jc w:val="both"/>
        <w:rPr/>
      </w:pPr>
      <w:r>
        <w:rPr/>
        <w:t> </w:t>
      </w:r>
    </w:p>
    <w:tbl>
      <w:tblPr>
        <w:tblW w:w="8540" w:type="dxa"/>
        <w:jc w:val="left"/>
        <w:tblInd w:w="0" w:type="dxa"/>
        <w:tblLayout w:type="fixed"/>
        <w:tblCellMar>
          <w:top w:w="28" w:type="dxa"/>
          <w:left w:w="28" w:type="dxa"/>
          <w:bottom w:w="28" w:type="dxa"/>
          <w:right w:w="28" w:type="dxa"/>
        </w:tblCellMar>
      </w:tblPr>
      <w:tblGrid>
        <w:gridCol w:w="4491"/>
        <w:gridCol w:w="196"/>
        <w:gridCol w:w="146"/>
        <w:gridCol w:w="376"/>
        <w:gridCol w:w="146"/>
        <w:gridCol w:w="146"/>
        <w:gridCol w:w="196"/>
        <w:gridCol w:w="146"/>
        <w:gridCol w:w="376"/>
        <w:gridCol w:w="146"/>
        <w:gridCol w:w="146"/>
        <w:gridCol w:w="196"/>
        <w:gridCol w:w="146"/>
        <w:gridCol w:w="286"/>
        <w:gridCol w:w="146"/>
        <w:gridCol w:w="146"/>
        <w:gridCol w:w="196"/>
        <w:gridCol w:w="146"/>
        <w:gridCol w:w="376"/>
        <w:gridCol w:w="391"/>
      </w:tblGrid>
      <w:tr>
        <w:trPr/>
        <w:tc>
          <w:tcPr>
            <w:tcW w:w="44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Net income attributable to Community Health Systems, </w:t>
              <w:br/>
              <w:t>   Inc. stockholders: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Less: Income attributable to noncontrolling interests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income attributable to Community Health Systems, Inc. </w:t>
              <w:br/>
              <w:t>   stockholders — basic and diluted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w:t>
      </w:r>
    </w:p>
    <w:p>
      <w:pPr>
        <w:pStyle w:val="TextBody"/>
        <w:bidi w:val="0"/>
        <w:jc w:val="both"/>
        <w:rPr>
          <w:rFonts w:ascii="Times New Roman" w:hAnsi="Times New Roman"/>
          <w:color w:val="000000"/>
          <w:sz w:val="22"/>
        </w:rPr>
      </w:pPr>
      <w:r>
        <w:rPr>
          <w:rFonts w:ascii="Times New Roman" w:hAnsi="Times New Roman"/>
          <w:color w:val="000000"/>
          <w:sz w:val="22"/>
        </w:rPr>
        <w:t>EBITDA is a non-GAAP financial measure which consists of net income attributable to Community Health Systems, Inc. before interest, income taxes, and depreciation and amortization. Adjusted EBITDA, also a non-GAAP financial measure, is EBITDA adjusted to add back net income attributable to noncontrolling interests and to exclude loss (gain) from early extinguishment of debt, impairment and (gain) loss on sale of businesses, expense from third-party consulting costs associated with significant process and systems redesign across multiple functions (the “Business Transformation Costs”) as part of the Company’s previously disclosed multi-year initiative to modernize and consolidate technology platforms and associated processes, expense related to government and other legal matters and related costs, expense related to employee termination benefits and other restructuring charges, and the impact of a change in estimate to increase the professional liability claims accrual recorded during the third quarter of 2024. The Company has from time to time sold noncontrolling interests in certain of its subsidiaries or acquired subsidiaries with existing noncontrolling interest ownership positions. The Company believes that it is useful to present Adjusted EBITDA because it adds back the portion of EBITDA attributable to these third-party interests. The Company reports Adjusted EBITDA as a measure of financial performance. Adjusted EBITDA is a key measure used by management to assess the operating performance of the Company’s hospital operations and to make decisions on the allocation of resources. Adjusted EBITDA is also used to evaluate the performance of the Company’s executive management team and is one of the primary metrics used in connection with determining short-term cash incentive compensation and the achievement of vesting criteria with respect to performance-based equity awards. In addition, management utilizes Adjusted EBITDA in assessing the Company’s consolidated results of operations and operational performance and in comparing the Company’s results of operations between periods. The Company believes it is useful to provide investors and other users of the Company’s financial statements this performance measure to align with how management assesses the Company’s results of operations. Adjusted EBITDA also is comparable to a similar metric called Consolidated EBITDA, as defined in the Company’s asset-based loan facility (the “ABL Facility”) and the Company’s existing note indentures, which is a key component in the determination of the Company’s compliance with certain covenants under the ABL Facility and such note indentures (including the Company’s ability to service debt and incur capital expenditures), and is used to determine the interest rate and commitment fee payable under the ABL Facility (although Adjusted EBITDA does not include all of the adjustments described in the ABL Facility). Adjusted EBITDA includes the Adjusted EBITDA attributable to hospitals that were divested during the course of such year, but in each case solely to the extent relating to the period prior to the consummation of the applicable divestiture.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14</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spacing w:before="220" w:after="283"/>
        <w:jc w:val="center"/>
        <w:rPr>
          <w:rFonts w:ascii="Times New Roman" w:hAnsi="Times New Roman"/>
          <w:b/>
          <w:color w:val="000000"/>
          <w:sz w:val="22"/>
        </w:rPr>
      </w:pPr>
      <w:r>
        <w:rPr>
          <w:rFonts w:ascii="Times New Roman" w:hAnsi="Times New Roman"/>
          <w:b/>
          <w:color w:val="000000"/>
          <w:sz w:val="22"/>
        </w:rPr>
        <w:t>Footnotes to Financial Highlights, Financial Statements and Selected Operating Data (Continued)</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Adjusted EBITDA is not a measurement of financial performance under U.S. GAAP. It should not be considered in isolation or as a substitute for net income, operating income, or any other performance measure calculated in accordance with U.S. GAAP. The items excluded from Adjusted EBITDA are significant components in understanding and evaluating financial performance. The Company believes such adjustments are appropriate as the magnitude and frequency of such items can vary significantly and are not related to the assessment of normal operating performance. Additionally, this calculation of Adjusted EBITDA may not be comparable to similarly titled measures disclosed by other companies.</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The following table reflects the reconciliation of Adjusted EBITDA, as defined, to net income attributable to Community Health Systems, Inc. stockholders from the Company’s condensed consolidated financial statements (in millions):</w:t>
      </w:r>
    </w:p>
    <w:p>
      <w:pPr>
        <w:pStyle w:val="TextBody"/>
        <w:bidi w:val="0"/>
        <w:jc w:val="both"/>
        <w:rPr/>
      </w:pPr>
      <w:r>
        <w:rPr/>
        <w:t> </w:t>
      </w:r>
    </w:p>
    <w:tbl>
      <w:tblPr>
        <w:tblW w:w="8767" w:type="dxa"/>
        <w:jc w:val="left"/>
        <w:tblInd w:w="0" w:type="dxa"/>
        <w:tblLayout w:type="fixed"/>
        <w:tblCellMar>
          <w:top w:w="28" w:type="dxa"/>
          <w:left w:w="28" w:type="dxa"/>
          <w:bottom w:w="28" w:type="dxa"/>
          <w:right w:w="28" w:type="dxa"/>
        </w:tblCellMar>
      </w:tblPr>
      <w:tblGrid>
        <w:gridCol w:w="3966"/>
        <w:gridCol w:w="246"/>
        <w:gridCol w:w="146"/>
        <w:gridCol w:w="436"/>
        <w:gridCol w:w="166"/>
        <w:gridCol w:w="146"/>
        <w:gridCol w:w="196"/>
        <w:gridCol w:w="146"/>
        <w:gridCol w:w="436"/>
        <w:gridCol w:w="166"/>
        <w:gridCol w:w="146"/>
        <w:gridCol w:w="146"/>
        <w:gridCol w:w="146"/>
        <w:gridCol w:w="196"/>
        <w:gridCol w:w="146"/>
        <w:gridCol w:w="436"/>
        <w:gridCol w:w="166"/>
        <w:gridCol w:w="146"/>
        <w:gridCol w:w="196"/>
        <w:gridCol w:w="146"/>
        <w:gridCol w:w="436"/>
        <w:gridCol w:w="411"/>
      </w:tblGrid>
      <w:tr>
        <w:trPr/>
        <w:tc>
          <w:tcPr>
            <w:tcW w:w="39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Community Health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Systems, Inc. stockholders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attributable to 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(gain) from early extinguishment of debt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Impairment and (gain) loss on sale of businesses,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Expense related to employee termination benefits</w:t>
              <w:br/>
              <w:t>   and other restructuring charges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Expense from business transformation costs</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(d)</w:t>
      </w:r>
    </w:p>
    <w:p>
      <w:pPr>
        <w:pStyle w:val="TextBody"/>
        <w:bidi w:val="0"/>
        <w:jc w:val="both"/>
        <w:rPr>
          <w:rFonts w:ascii="Times New Roman" w:hAnsi="Times New Roman"/>
          <w:color w:val="000000"/>
          <w:sz w:val="22"/>
        </w:rPr>
      </w:pPr>
      <w:r>
        <w:rPr>
          <w:rFonts w:ascii="Times New Roman" w:hAnsi="Times New Roman"/>
          <w:color w:val="000000"/>
          <w:sz w:val="22"/>
        </w:rPr>
        <w:t>The following table sets forth components reconciling the basic weighted-average number of shares to the diluted weighted-average number of shares (in millions):</w:t>
      </w:r>
    </w:p>
    <w:p>
      <w:pPr>
        <w:pStyle w:val="TextBody"/>
        <w:bidi w:val="0"/>
        <w:jc w:val="both"/>
        <w:rPr/>
      </w:pPr>
      <w:r>
        <w:rPr/>
        <w:t> </w:t>
      </w:r>
    </w:p>
    <w:tbl>
      <w:tblPr>
        <w:tblW w:w="8152" w:type="dxa"/>
        <w:jc w:val="left"/>
        <w:tblInd w:w="0" w:type="dxa"/>
        <w:tblLayout w:type="fixed"/>
        <w:tblCellMar>
          <w:top w:w="28" w:type="dxa"/>
          <w:left w:w="28" w:type="dxa"/>
          <w:bottom w:w="28" w:type="dxa"/>
          <w:right w:w="28" w:type="dxa"/>
        </w:tblCellMar>
      </w:tblPr>
      <w:tblGrid>
        <w:gridCol w:w="4111"/>
        <w:gridCol w:w="175"/>
        <w:gridCol w:w="451"/>
        <w:gridCol w:w="175"/>
        <w:gridCol w:w="175"/>
        <w:gridCol w:w="175"/>
        <w:gridCol w:w="451"/>
        <w:gridCol w:w="146"/>
        <w:gridCol w:w="146"/>
        <w:gridCol w:w="146"/>
        <w:gridCol w:w="154"/>
        <w:gridCol w:w="397"/>
        <w:gridCol w:w="154"/>
        <w:gridCol w:w="154"/>
        <w:gridCol w:w="154"/>
        <w:gridCol w:w="397"/>
        <w:gridCol w:w="591"/>
      </w:tblGrid>
      <w:tr>
        <w:trPr/>
        <w:tc>
          <w:tcPr>
            <w:tcW w:w="411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number of shares outstanding - basic</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 effect of dilutive securities:</w:t>
            </w:r>
          </w:p>
        </w:tc>
        <w:tc>
          <w:tcPr>
            <w:tcW w:w="6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 awards and options</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number of shares outstanding - diluted</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15</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spacing w:before="220" w:after="283"/>
        <w:jc w:val="center"/>
        <w:rPr>
          <w:rFonts w:ascii="Times New Roman" w:hAnsi="Times New Roman"/>
          <w:b/>
          <w:color w:val="000000"/>
          <w:sz w:val="22"/>
        </w:rPr>
      </w:pPr>
      <w:r>
        <w:rPr>
          <w:rFonts w:ascii="Times New Roman" w:hAnsi="Times New Roman"/>
          <w:b/>
          <w:color w:val="000000"/>
          <w:sz w:val="22"/>
        </w:rPr>
        <w:t>Footnotes to Financial Highlights, Financial Statements and Selected Operating Data (Continued)</w:t>
      </w:r>
    </w:p>
    <w:p>
      <w:pPr>
        <w:pStyle w:val="TextBody"/>
        <w:bidi w:val="0"/>
        <w:jc w:val="both"/>
        <w:rPr/>
      </w:pPr>
      <w:r>
        <w:rPr/>
        <w:t> </w:t>
      </w:r>
    </w:p>
    <w:p>
      <w:pPr>
        <w:pStyle w:val="TextBody"/>
        <w:bidi w:val="0"/>
        <w:spacing w:before="220" w:after="283"/>
        <w:jc w:val="both"/>
        <w:rPr>
          <w:rFonts w:ascii="Times New Roman" w:hAnsi="Times New Roman"/>
          <w:color w:val="000000"/>
          <w:sz w:val="18"/>
        </w:rPr>
      </w:pPr>
      <w:r>
        <w:rPr>
          <w:rFonts w:ascii="Times New Roman" w:hAnsi="Times New Roman"/>
          <w:color w:val="000000"/>
          <w:sz w:val="18"/>
        </w:rPr>
        <w:t>(e)</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The following supplemental table reconciles net income attributable to Community Health Systems, Inc. stockholders, as reported, on a per share (diluted) basis, to net loss attributable to Community Health Systems, Inc. stockholders per share (diluted) with the adjustments described herein (total per share amounts may not add due to rounding). The Company believes that the presentation of non-GAAP adjusted net loss attributable to Community Health Systems, Inc. stockholders per share (diluted) presents useful information to investors by highlighting the impact on net income attributable to Community Health Systems, Inc. stockholders per share (diluted) of selected items used in calculating Adjusted EBITDA which may not reflect the Company’s underlying operating performance and assisting in comparing the Company’s results of operations between periods.</w:t>
      </w:r>
    </w:p>
    <w:p>
      <w:pPr>
        <w:pStyle w:val="TextBody"/>
        <w:bidi w:val="0"/>
        <w:jc w:val="both"/>
        <w:rPr/>
      </w:pPr>
      <w:r>
        <w:rPr/>
        <w:t> </w:t>
      </w:r>
    </w:p>
    <w:tbl>
      <w:tblPr>
        <w:tblW w:w="8126" w:type="dxa"/>
        <w:jc w:val="left"/>
        <w:tblInd w:w="0" w:type="dxa"/>
        <w:tblLayout w:type="fixed"/>
        <w:tblCellMar>
          <w:top w:w="28" w:type="dxa"/>
          <w:left w:w="28" w:type="dxa"/>
          <w:bottom w:w="28" w:type="dxa"/>
          <w:right w:w="28" w:type="dxa"/>
        </w:tblCellMar>
      </w:tblPr>
      <w:tblGrid>
        <w:gridCol w:w="4071"/>
        <w:gridCol w:w="196"/>
        <w:gridCol w:w="481"/>
        <w:gridCol w:w="166"/>
        <w:gridCol w:w="146"/>
        <w:gridCol w:w="196"/>
        <w:gridCol w:w="481"/>
        <w:gridCol w:w="166"/>
        <w:gridCol w:w="146"/>
        <w:gridCol w:w="196"/>
        <w:gridCol w:w="481"/>
        <w:gridCol w:w="166"/>
        <w:gridCol w:w="146"/>
        <w:gridCol w:w="196"/>
        <w:gridCol w:w="481"/>
        <w:gridCol w:w="411"/>
      </w:tblGrid>
      <w:tr>
        <w:trPr/>
        <w:tc>
          <w:tcPr>
            <w:tcW w:w="4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per share (diluted), as reported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(gain) from early extinguishment of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and (gain) loss on sale of businesses,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Expense related to employee termination benefits </w:t>
              <w:br/>
              <w:t>   and other restructuring charges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Expense from business transformation costs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(diluted), excluding adjustments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(f)</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Both income from operations and net income included net non-cash income of $172 million and $239 million for the three months ended June 30, 2026 and 2025, respectively, and $262 million and $263 million for the six months ended June 30, 2026 and 2025, respectively. The net non-cash income for the six months ended June 30, 2026 was comprised of a gain on the divestiture of one hospital and the divestiture of a controlling interest in another hospital, partially offset by a net impairment charge to adjust the carrying value of long-lived assets at hospitals that were divested at a sales price below carrying value, and an impairment charge recorded to reduce the carrying value of several assets that were idled, disposed or held-for-sale. The net non-cash income for the six months ended June 30, 2025 was primarily from the gains on the divestiture of certain hospitals during this period, partially offset by losses on the divestiture of the Company’s 50 percent ownership interest in certain hospitals and impairment expense to reduce the carrying value of several assets that were idled, disposed of or held-for-sale during this period. </w:t>
      </w:r>
    </w:p>
    <w:p>
      <w:pPr>
        <w:pStyle w:val="TextBody"/>
        <w:bidi w:val="0"/>
        <w:spacing w:before="220" w:after="283"/>
        <w:jc w:val="both"/>
        <w:rPr>
          <w:rFonts w:ascii="Times New Roman" w:hAnsi="Times New Roman"/>
          <w:color w:val="000000"/>
          <w:sz w:val="18"/>
        </w:rPr>
      </w:pPr>
      <w:r>
        <w:rPr>
          <w:rFonts w:ascii="Times New Roman" w:hAnsi="Times New Roman"/>
          <w:color w:val="000000"/>
          <w:sz w:val="18"/>
        </w:rPr>
        <w:t>(g)</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 xml:space="preserve">The maximum aggregate principal amount under the ABL Facility is $1.0 billion, subject to borrowing base capacity. At June 30, 2026, the Company had no outstanding borrowings and approximately $751 million of additional borrowing capacity (after taking into consideration $32 million of outstanding letters of credit) under the ABL Facility. </w:t>
      </w:r>
    </w:p>
    <w:p>
      <w:pPr>
        <w:pStyle w:val="TextBody"/>
        <w:bidi w:val="0"/>
        <w:spacing w:before="220" w:after="283"/>
        <w:jc w:val="center"/>
        <w:rPr/>
      </w:pPr>
      <w:r>
        <w:rPr/>
        <w:t> </w:t>
      </w:r>
    </w:p>
    <w:p>
      <w:pPr>
        <w:pStyle w:val="TextBody"/>
        <w:bidi w:val="0"/>
        <w:spacing w:before="220" w:after="283"/>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16</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spacing w:before="480" w:after="240"/>
        <w:jc w:val="center"/>
        <w:rPr>
          <w:rFonts w:ascii="Times New Roman" w:hAnsi="Times New Roman"/>
          <w:b/>
          <w:color w:val="000000"/>
          <w:sz w:val="23"/>
        </w:rPr>
      </w:pPr>
      <w:r>
        <w:rPr>
          <w:rFonts w:ascii="Times New Roman" w:hAnsi="Times New Roman"/>
          <w:b/>
          <w:color w:val="000000"/>
          <w:sz w:val="23"/>
        </w:rPr>
        <w:t>Regulation FD Disclosure</w:t>
      </w:r>
    </w:p>
    <w:p>
      <w:pPr>
        <w:pStyle w:val="TextBody"/>
        <w:bidi w:val="0"/>
        <w:jc w:val="left"/>
        <w:rPr>
          <w:rFonts w:ascii="Times New Roman" w:hAnsi="Times New Roman"/>
          <w:sz w:val="20"/>
        </w:rPr>
      </w:pPr>
      <w:r>
        <w:rPr>
          <w:rFonts w:ascii="Times New Roman" w:hAnsi="Times New Roman"/>
          <w:color w:val="000000"/>
          <w:sz w:val="22"/>
        </w:rPr>
        <w:t>Set forth below is selected information concerning the Company’s projected consolidated operating results for the year ending December 31, 2026. These projections update selected guidance provided on February 18, 2026 and are based on the Company’s historical operating performance, current trends and other assumptions that the Company believes are reasonable at this time. This 2026 guidance should be considered in conjunction with the assumptions included herein. See pages 18, 19 and 20 for a list of factors that could affect the future results of the Company or the healthcare industry generally. The following is provided as guidance to analysts and investors:</w:t>
      </w:r>
      <w:r>
        <w:rPr>
          <w:rFonts w:ascii="Times New Roman" w:hAnsi="Times New Roman"/>
          <w:color w:val="000000"/>
          <w:sz w:val="20"/>
        </w:rPr>
        <w:t xml:space="preserve"> </w:t>
      </w:r>
    </w:p>
    <w:p>
      <w:pPr>
        <w:pStyle w:val="TextBody"/>
        <w:bidi w:val="0"/>
        <w:jc w:val="left"/>
        <w:rPr/>
      </w:pPr>
      <w:r>
        <w:rPr/>
        <w:t> </w:t>
      </w:r>
    </w:p>
    <w:tbl>
      <w:tblPr>
        <w:tblW w:w="6978" w:type="dxa"/>
        <w:jc w:val="left"/>
        <w:tblInd w:w="0" w:type="dxa"/>
        <w:tblLayout w:type="fixed"/>
        <w:tblCellMar>
          <w:top w:w="28" w:type="dxa"/>
          <w:left w:w="28" w:type="dxa"/>
          <w:bottom w:w="28" w:type="dxa"/>
          <w:right w:w="28" w:type="dxa"/>
        </w:tblCellMar>
      </w:tblPr>
      <w:tblGrid>
        <w:gridCol w:w="3826"/>
        <w:gridCol w:w="211"/>
        <w:gridCol w:w="146"/>
        <w:gridCol w:w="676"/>
        <w:gridCol w:w="166"/>
        <w:gridCol w:w="146"/>
        <w:gridCol w:w="146"/>
        <w:gridCol w:w="271"/>
        <w:gridCol w:w="146"/>
        <w:gridCol w:w="211"/>
        <w:gridCol w:w="146"/>
        <w:gridCol w:w="676"/>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Projection Range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revenues (in millions)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diluted shares (in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assumptions were used in developing the 2026 guidance provided above: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Company’s projections include the effect on net operating revenues, Adjusted EBITDA and net loss per share (diluted) of completing divestitures for which definitive agreements have been executed, as applicable, and exclude the following:</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impact of any future divestitures for which definitive agreement(s) have not yet been executed;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Effect of debt refinancing activities, including gains and losses from early extinguishment of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Potential grants received from the Rural Health Transformation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Impairment of goodwill and long-lived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Gains or losses and the associated tax impacts resulting from the sales of businesses;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Employee termination benefits and restructuring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Resolution of government investigations or other significant legal settlements;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Costs incurred in connection with divestitures;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Other significant gains or losses that neither relate to the ordinary course of business nor reflect the Company’s underlying business performance.</w:t>
      </w:r>
    </w:p>
    <w:p>
      <w:pPr>
        <w:pStyle w:val="TextBody"/>
        <w:bidi w:val="0"/>
        <w:jc w:val="both"/>
        <w:rPr>
          <w:rFonts w:ascii="Times New Roman" w:hAnsi="Times New Roman"/>
          <w:color w:val="000000"/>
          <w:sz w:val="22"/>
        </w:rPr>
      </w:pPr>
      <w:r>
        <w:rPr>
          <w:rFonts w:ascii="Times New Roman" w:hAnsi="Times New Roman"/>
          <w:color w:val="000000"/>
          <w:sz w:val="22"/>
        </w:rPr>
        <w:t>Other assumptions used in the above guidance: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Expressed as a percentage of net operating revenues, depreciation and amortization of approximately 3.8% to 3.9% for 2026. Additionally, this is a fixed cost and the percentages may vary based on changes in net operating revenues. Such amounts exclude the possible impact of any future hospital fixed asset impairments.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Interest expense is estimated to be between $820 million and $830 million while cash paid for interest, which excludes the amortization of deferred financing costs, is expected to be between $800 million and $810 million. Total fixed rate debt is expected to average approximately 98% of total debt during 2026.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Expressed as a percentage of net operating revenues, net income attributable to noncontrolling interests of approximately 1.2% to 1.3% for 2026.</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17</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Expressed as a percentage of net operating revenues, provision for income taxes of approximately 0.8% to 0.9% for 2026.</w:t>
      </w:r>
    </w:p>
    <w:p>
      <w:pPr>
        <w:pStyle w:val="TextBody"/>
        <w:bidi w:val="0"/>
        <w:jc w:val="both"/>
        <w:rPr>
          <w:rFonts w:ascii="Times New Roman" w:hAnsi="Times New Roman"/>
          <w:color w:val="000000"/>
          <w:sz w:val="22"/>
        </w:rPr>
      </w:pPr>
      <w:r>
        <w:rPr>
          <w:rFonts w:ascii="Times New Roman" w:hAnsi="Times New Roman"/>
          <w:color w:val="000000"/>
          <w:sz w:val="22"/>
        </w:rPr>
        <w:t>A reconciliation of the Company’s projected 2026 Adjusted EBITDA, a forward-looking non-GAAP financial measure, to the Company’s projected net loss attributable to Community Health Systems, Inc. stockholders, the most directly comparable GAAP financial measure, is shown below (in millions):</w:t>
      </w:r>
    </w:p>
    <w:p>
      <w:pPr>
        <w:pStyle w:val="TextBody"/>
        <w:bidi w:val="0"/>
        <w:jc w:val="both"/>
        <w:rPr/>
      </w:pPr>
      <w:r>
        <w:rPr/>
        <w:t> </w:t>
      </w:r>
    </w:p>
    <w:tbl>
      <w:tblPr>
        <w:tblW w:w="6466" w:type="dxa"/>
        <w:jc w:val="left"/>
        <w:tblInd w:w="0" w:type="dxa"/>
        <w:tblLayout w:type="fixed"/>
        <w:tblCellMar>
          <w:top w:w="28" w:type="dxa"/>
          <w:left w:w="28" w:type="dxa"/>
          <w:bottom w:w="28" w:type="dxa"/>
          <w:right w:w="28" w:type="dxa"/>
        </w:tblCellMar>
      </w:tblPr>
      <w:tblGrid>
        <w:gridCol w:w="3991"/>
        <w:gridCol w:w="196"/>
        <w:gridCol w:w="146"/>
        <w:gridCol w:w="511"/>
        <w:gridCol w:w="166"/>
        <w:gridCol w:w="146"/>
        <w:gridCol w:w="196"/>
        <w:gridCol w:w="146"/>
        <w:gridCol w:w="511"/>
        <w:gridCol w:w="166"/>
        <w:gridCol w:w="291"/>
      </w:tblGrid>
      <w:tr>
        <w:trPr/>
        <w:tc>
          <w:tcPr>
            <w:tcW w:w="3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Community Health Systems, Inc.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stockholders </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expense,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 attributable to noncontrolling interests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Adjusted EBITDA </w:t>
            </w:r>
            <w:r>
              <w:rPr>
                <w:rFonts w:ascii="Times New Roman" w:hAnsi="Times New Roman"/>
                <w:color w:val="000000"/>
                <w:sz w:val="11"/>
              </w:rPr>
              <w:t>(1)</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The Company does not include in this reconciliation the impact of certain items not included in the Company’s forecast set forth above that would be included in a reconciliation of historical net loss attributable to Community Health Systems, Inc. stockholders to Adjusted EBITDA such as, but not limited to, losses (gains) from early extinguishment of debt and impairment and (gain) loss on sale of businesses, in light of the fact that such items are not determinable, and/or the inherent difficulty in quantifying such projected amounts, on a forward-looking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Capital expenditures are projected as follows (in millions): </w:t>
      </w:r>
    </w:p>
    <w:tbl>
      <w:tblPr>
        <w:tblW w:w="2720" w:type="dxa"/>
        <w:jc w:val="left"/>
        <w:tblInd w:w="0" w:type="dxa"/>
        <w:tblLayout w:type="fixed"/>
        <w:tblCellMar>
          <w:top w:w="28" w:type="dxa"/>
          <w:left w:w="28" w:type="dxa"/>
          <w:bottom w:w="28" w:type="dxa"/>
          <w:right w:w="28" w:type="dxa"/>
        </w:tblCellMar>
      </w:tblPr>
      <w:tblGrid>
        <w:gridCol w:w="556"/>
        <w:gridCol w:w="211"/>
        <w:gridCol w:w="421"/>
        <w:gridCol w:w="146"/>
        <w:gridCol w:w="146"/>
        <w:gridCol w:w="271"/>
        <w:gridCol w:w="146"/>
        <w:gridCol w:w="211"/>
        <w:gridCol w:w="421"/>
        <w:gridCol w:w="191"/>
      </w:tblGrid>
      <w:tr>
        <w:trPr/>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Guidance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Net cash provided by operating activities, including $30 million to $50 million of estimated cash payments for income taxes, net of refunds and excluding cash taxes on the sales of businesses, are projected as follows (in millions):</w:t>
      </w:r>
    </w:p>
    <w:p>
      <w:pPr>
        <w:pStyle w:val="TextBody"/>
        <w:bidi w:val="0"/>
        <w:spacing w:before="120" w:after="283"/>
        <w:jc w:val="both"/>
        <w:rPr/>
      </w:pPr>
      <w:r>
        <w:rPr/>
        <w:t> </w:t>
      </w:r>
    </w:p>
    <w:tbl>
      <w:tblPr>
        <w:tblW w:w="2720" w:type="dxa"/>
        <w:jc w:val="left"/>
        <w:tblInd w:w="0" w:type="dxa"/>
        <w:tblLayout w:type="fixed"/>
        <w:tblCellMar>
          <w:top w:w="28" w:type="dxa"/>
          <w:left w:w="28" w:type="dxa"/>
          <w:bottom w:w="28" w:type="dxa"/>
          <w:right w:w="28" w:type="dxa"/>
        </w:tblCellMar>
      </w:tblPr>
      <w:tblGrid>
        <w:gridCol w:w="556"/>
        <w:gridCol w:w="211"/>
        <w:gridCol w:w="421"/>
        <w:gridCol w:w="146"/>
        <w:gridCol w:w="146"/>
        <w:gridCol w:w="271"/>
        <w:gridCol w:w="146"/>
        <w:gridCol w:w="211"/>
        <w:gridCol w:w="421"/>
        <w:gridCol w:w="191"/>
      </w:tblGrid>
      <w:tr>
        <w:trPr/>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Guidance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Diluted weighted-average shares outstanding are projected to be approximately 136 million for 2026. </w:t>
      </w:r>
    </w:p>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18</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This press release contains forward-looking statements within the meaning of Section 27A of the Securities Act of 1933, as amended, Section 21E of the Securities Exchange Act of 1934, as amended, and the Private Securities Litigation Reform Act of 1995 that involve risks and uncertainties. All statements in this press release other than statements of historical fact, including statements regarding projections, expected operating results, and other events that depend upon or refer to future events or conditions or that include words such as “expects,” “anticipates,” “intends,” “plans,” “believes,” “estimates,” “thinks,” and similar expressions, are forward-looking statements. Although the Company believes that these forward-looking statements are based on reasonable assumptions, these assumptions are inherently subject to significant regulatory, economic and competitive uncertainties and contingencies, which are difficult or impossible to predict accurately and may be beyond the control of the Company. Accordingly, the Company cannot give any assurance that its expectations will in fact occur and cautions that actual results may differ materially from those in the forward-looking statements. A number of factors could affect the future results of the Company or the healthcare industry generally and could cause the Company’s expected results to differ materially from those expressed in this press release.</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These factors include, among other things: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general economic and business conditions, both nationally and in the regions in which we operate, including the impact of challenging macroeconomic conditions and inflationary pressures, the current interest rate environment, current geopolitical instability (including as a result of ongoing geopolitical conflicts), impacts from the imposition of, or changes in tariffs, as well as the impact on us of financial, credit, capital, political, and legislative conditions, including any federal government shutdowns;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the impact of current and future healthcare public policy developments and the implementation of new, and possible changes to existing, federal, state or local laws, regulations and policies affecting the healthcare industry, including changes affecting the structure of or funding for the Medicare and Medicaid programs and changes in the structure and administration of federal and state agencies and programs;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changes by the federal and state governments to state Medicaid programs, including the extent and nature of structural and funding changes and manner in which any such changes are implemented, and other developments that affect the administration of health insurance exchanges or alter or reduce the provision of, or payment for, healthcare to state residents through legislation, regulation or otherwise;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changes related to health insurance enrollment, including those affecting the beneficiary enrollment process and the stability of health insurance exchanges, and the expiration of the temporarily enhanced subsidies available for individuals to purchase coverage through Affordable Care Act marketplaces;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risks associated with our substantial indebtedness, leverage and debt service obligations, including our ability to refinance such indebtedness on acceptable terms or to incur additional indebtedness, and our ability to remain in compliance with debt covenants;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demographic changes;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changes in, or the failure to comply with, federal, state or local laws or governmental regulations affecting our business;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judicial developments impacting the Company or the healthcare industry, including the potential impact of the recent decisions of the U.S. Supreme Court regarding the actions of federal agencies;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potential adverse impact of known and unknown legal, regulatory and governmental proceedings and other loss contingencies, including governmental investigations and audits, and federal and state false claims act litigation;</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19</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our ability to enter into and maintain provider arrangements with payors and the terms of these arrangements, which may be further affected by the increasing consolidation of health insurers and managed care companies and vertical integration efforts involving payors and healthcare providers;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changes in, or the failure to comply with, contract terms with payors and changes in reimbursement policies, methodologies or rates paid by federal or state healthcare programs or commercial payors;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security breaches, cyber-attacks, loss of data, other cybersecurity threats or incidents, including those experienced with respect to our information systems or the information systems of third parties with whom we conduct business, and any actual or perceived failures to comply with legal requirements governing the privacy and security of health information or other regulated, sensitive or confidential information, or legal requirements regarding data privacy or data protection;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the development, adoption and use of emerging technologies, including artificial intelligence and machine learning;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any potential impairments in the carrying value of goodwill, other intangible assets, or other long-lived assets, or changes in the useful lives of other intangible assets;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the effects related to the sequestration spending reductions pursuant to the Budget Control Act of 2011 and the potential for spending reductions under future legislation, including as may be required under the Pay-As-You-Go Act of 2010;</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increases in the amount and risk of collectability of patient accounts receivable, including decreases in collectability which may result from, among other things, self-pay growth and difficulties in recovering payments for which patients are responsible, including co-pays and deductibles;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the efforts of insurers, healthcare providers, large employer groups and others to contain healthcare costs, including the trend toward value-based purchasing and increased reimbursement denials by insurers;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the impact of competitive labor market conditions, including in connection with our ability to hire and retain qualified nurses, physicians, other medical personnel and key management, and increased labor expenses arising from inflation and/or competition for such positions;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the inability of third parties with whom we contract to provide hospital-based physicians and the effectiveness of our efforts to mitigate such non-performance including through acquisitions of outsourced medical specialist businesses, engagement with new or replacement providers, employment of physicians and re-negotiation or assumption of existing contracts;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any failure to obtain medical supplies or pharmaceuticals at favorable prices;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liabilities and other claims asserted against us, including self-insured professional liability claims;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competition;</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trends toward treatment of patients in less acute or specialty healthcare settings, including ambulatory surgery centers or specialty hospitals or via telehealth;</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-MORE-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CYH Announces Second Quarter 2026 Results</w:t>
      </w:r>
    </w:p>
    <w:p>
      <w:pPr>
        <w:pStyle w:val="TextBody"/>
        <w:bidi w:val="0"/>
        <w:jc w:val="left"/>
        <w:rPr>
          <w:rFonts w:ascii="Times New Roman" w:hAnsi="Times New Roman"/>
          <w:color w:val="000000"/>
          <w:sz w:val="22"/>
        </w:rPr>
      </w:pPr>
      <w:r>
        <w:rPr>
          <w:rFonts w:ascii="Times New Roman" w:hAnsi="Times New Roman"/>
          <w:color w:val="000000"/>
          <w:sz w:val="22"/>
        </w:rPr>
        <w:t>Page 20</w:t>
      </w:r>
    </w:p>
    <w:p>
      <w:pPr>
        <w:pStyle w:val="TextBody"/>
        <w:bidi w:val="0"/>
        <w:jc w:val="left"/>
        <w:rPr>
          <w:rFonts w:ascii="Times New Roman" w:hAnsi="Times New Roman"/>
          <w:color w:val="000000"/>
          <w:sz w:val="22"/>
        </w:rPr>
      </w:pPr>
      <w:r>
        <w:rPr>
          <w:rFonts w:ascii="Times New Roman" w:hAnsi="Times New Roman"/>
          <w:color w:val="000000"/>
          <w:sz w:val="22"/>
        </w:rPr>
        <w:t>July 22, 2026</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changes in medical or other technology;</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changes in U.S. GAAP;</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the availability and terms of capital to fund any additional acquisitions or replacement facilities or other capital expenditures;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our ability to successfully make acquisitions or complete divestitures, our ability to complete any such acquisitions or divestitures on desired terms or at all, the timing of the completion of any such acquisitions or divestitures, and our ability to realize the intended benefits from any such acquisitions or divestitures;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the impact that changes in our relationships with joint venture or syndication partners could have on effectively operating our hospitals or ancillary services or in advancing strategic opportunities;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our ability to successfully integrate any acquired hospitals and/or outpatient facilities, or to realize expected benefits from acquisitions such as increased growth in patient service revenues;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the impact of severe weather conditions and climate change, as well as the timing and amount of insurance recoveries in relation to severe weather events;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our ability to obtain adequate levels of insurance, including general liability, professional liability, cyber liability and directors’ and officers’ liability insurance;</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any lapse in appropriations, and any hold on or cancellation of congressionally authorized spending or interruptions in the distribution of government funds, and the timeliness of reimbursement payments received under government programs;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effects related to pandemics, epidemics, outbreaks of infectious diseases or other public health crises;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any failure to comply with our obligations under license or technology agreements;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challenging economic conditions in non-urban communities in which we operate;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the concentration of our revenue in a small number of states;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our ability to realize anticipated cost savings and other benefits from our current strategic and operational cost savings initiatives;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 xml:space="preserve">any changes in or interpretations of income tax laws and regulations; and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the risk factors set forth in our Annual Report on Form 10-K for the year ended December 31, 2025, filed with the Securities and Exchange Commission (the “SEC”) on February 19, 2026 and other public filings with the SEC.</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The consolidated operating results for the three and six months ended June 30, 2026, are not necessarily indicative of the results that may be experienced for any future periods. The Company cautions that the projections for calendar year 2026 set forth in this press release are given as of the date hereof based on currently available information. The Company undertakes no obligation to revise or update any forward-looking statements (including such guidance), or to make any other forward-looking statements, whether as a result of new information, future events or otherwise.</w:t>
      </w:r>
    </w:p>
    <w:p>
      <w:pPr>
        <w:pStyle w:val="TextBody"/>
        <w:bidi w:val="0"/>
        <w:jc w:val="center"/>
        <w:rPr>
          <w:rFonts w:ascii="Times New Roman" w:hAnsi="Times New Roman"/>
          <w:color w:val="000000"/>
          <w:sz w:val="20"/>
        </w:rPr>
      </w:pPr>
      <w:r>
        <w:rPr>
          <w:rFonts w:ascii="Times New Roman" w:hAnsi="Times New Roman"/>
          <w:color w:val="000000"/>
          <w:sz w:val="20"/>
        </w:rPr>
        <w:t>-END-</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8418</Words>
  <Characters>45472</Characters>
  <CharactersWithSpaces>55527</CharactersWithSpaces>
  <Paragraphs>4715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