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509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9968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Rice David V.</w:t>
        </w:r>
      </w:hyperlink>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9"/>
              </w:rPr>
              <w:t>4000 MERIDIAN BOULEVARD</w:t>
            </w:r>
          </w:p>
        </w:tc>
        <w:tc>
          <w:tcPr>
            <w:tcW w:w="560" w:type="dxa"/>
            <w:vAlign w:val="bottom"/>
          </w:tcPr>
          <w:p>
            <w:pPr>
              <w:spacing w:after="0"/>
              <w:rPr>
                <w:sz w:val="22"/>
                <w:szCs w:val="22"/>
                <w:color w:val="auto"/>
              </w:rPr>
            </w:pPr>
          </w:p>
        </w:tc>
      </w:tr>
      <w:tr>
        <w:trPr>
          <w:trHeight w:val="473"/>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FRANKLIN</w:t>
            </w:r>
          </w:p>
        </w:tc>
        <w:tc>
          <w:tcPr>
            <w:tcW w:w="13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TN</w:t>
            </w: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37067</w:t>
            </w:r>
          </w:p>
        </w:tc>
      </w:tr>
      <w:tr>
        <w:trPr>
          <w:trHeight w:val="460"/>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COMMUNITY HEALTH SYSTEMS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6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CYH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60" w:type="dxa"/>
            <w:vAlign w:val="bottom"/>
            <w:gridSpan w:val="3"/>
            <w:vMerge w:val="continue"/>
          </w:tcPr>
          <w:p>
            <w:pPr>
              <w:spacing w:after="0"/>
              <w:rPr>
                <w:sz w:val="11"/>
                <w:szCs w:val="11"/>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EVP-Clinical Operations &amp; CMO</w:t>
            </w:r>
          </w:p>
        </w:tc>
        <w:tc>
          <w:tcPr>
            <w:tcW w:w="0" w:type="dxa"/>
            <w:vAlign w:val="bottom"/>
          </w:tcPr>
          <w:p>
            <w:pPr>
              <w:spacing w:after="0"/>
              <w:rPr>
                <w:sz w:val="1"/>
                <w:szCs w:val="1"/>
                <w:color w:val="auto"/>
              </w:rPr>
            </w:pPr>
          </w:p>
        </w:tc>
      </w:tr>
      <w:tr>
        <w:trPr>
          <w:trHeight w:val="114"/>
        </w:trPr>
        <w:tc>
          <w:tcPr>
            <w:tcW w:w="3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28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5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3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06/01/2026</w:t>
            </w: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5"/>
              </w:rPr>
              <w:t>30,000</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jc w:val="center"/>
              <w:ind w:right="24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right"/>
              <w:ind w:right="120"/>
              <w:spacing w:after="0" w:line="128"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30,000</w:t>
            </w:r>
          </w:p>
        </w:tc>
        <w:tc>
          <w:tcPr>
            <w:tcW w:w="3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2.75</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30,000</w:t>
            </w:r>
          </w:p>
        </w:tc>
        <w:tc>
          <w:tcPr>
            <w:tcW w:w="320" w:type="dxa"/>
            <w:vAlign w:val="bottom"/>
          </w:tcPr>
          <w:p>
            <w:pPr>
              <w:spacing w:after="0"/>
              <w:rPr>
                <w:sz w:val="17"/>
                <w:szCs w:val="17"/>
                <w:color w:val="auto"/>
              </w:rPr>
            </w:pPr>
          </w:p>
        </w:tc>
        <w:tc>
          <w:tcPr>
            <w:tcW w:w="880" w:type="dxa"/>
            <w:vAlign w:val="bottom"/>
            <w:gridSpan w:val="2"/>
          </w:tcPr>
          <w:p>
            <w:pPr>
              <w:jc w:val="center"/>
              <w:ind w:right="61"/>
              <w:spacing w:after="0" w:line="204" w:lineRule="exact"/>
              <w:rPr>
                <w:sz w:val="20"/>
                <w:szCs w:val="20"/>
                <w:color w:val="auto"/>
              </w:rPr>
            </w:pPr>
            <w:r>
              <w:rPr>
                <w:rFonts w:ascii="Times New Roman" w:cs="Times New Roman" w:eastAsia="Times New Roman" w:hAnsi="Times New Roman"/>
                <w:sz w:val="13"/>
                <w:szCs w:val="13"/>
                <w:color w:val="0000FF"/>
                <w:w w:val="95"/>
              </w:rPr>
              <w:t>06/01/2027</w:t>
            </w:r>
            <w:r>
              <w:rPr>
                <w:rFonts w:ascii="Times New Roman" w:cs="Times New Roman" w:eastAsia="Times New Roman" w:hAnsi="Times New Roman"/>
                <w:sz w:val="21"/>
                <w:szCs w:val="21"/>
                <w:color w:val="008000"/>
                <w:w w:val="95"/>
                <w:vertAlign w:val="superscript"/>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4"/>
              </w:rPr>
              <w:t>05/31/2036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time-vesting restrictions on this award of restricted stock will lapse in 1/3 increments on the first, second and third anniversary of the date of grant.</w:t>
      </w:r>
    </w:p>
    <w:p>
      <w:pPr>
        <w:spacing w:after="0" w:line="41" w:lineRule="exact"/>
        <w:rPr>
          <w:rFonts w:ascii="Times New Roman" w:cs="Times New Roman" w:eastAsia="Times New Roman" w:hAnsi="Times New Roman"/>
          <w:sz w:val="13"/>
          <w:szCs w:val="13"/>
          <w:color w:val="008000"/>
        </w:rPr>
      </w:pPr>
    </w:p>
    <w:p>
      <w:pPr>
        <w:ind w:left="40" w:right="16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vesting of these performance-based restricted shares is allocated to the Issuer's attainment of the following predetermined performance objectives between 1/1/2026 and 12/31/2028 (the "2026-2028 Performance Period"), as follows: 50% to a Cumulative Same-Store Adjusted EBITDA Growth target; and 50% to a Cumulative Same-Store Net Revenue Growth target. The target number (100%) of the total performance-based restricted shares is reported in the table set forth above. Between 0% and 200% of the portion of the target number of performance-based restricted shares allocated to each performance objective will ultimately vest on 3/1/2029, subject to the attainment of the applicable performance objective, with the vesting percentage to be determined based upon the level of achievement with respect to the applicable performance objective during the 2026-2028 Performance Period.</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occurs in 1/3 increments on the first, second and third anniversary of the date of grant.</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Christopher G. Cobb, Attorney</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06/01/2026</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in Fact for David V. Rice</w:t>
            </w:r>
          </w:p>
        </w:tc>
        <w:tc>
          <w:tcPr>
            <w:tcW w:w="5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35141" TargetMode="External"/><Relationship Id="rId14" Type="http://schemas.openxmlformats.org/officeDocument/2006/relationships/hyperlink" Target="http://www.sec.gov/cgi-bin/browse-edgar?action=getcompany&amp;CIK=0001108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2026-06-01T18:13:50Z</dcterms:created>
  <dcterms:modified xsi:type="dcterms:W3CDTF">2026-06-01T18:13:50Z</dcterms:modified>
</cp:coreProperties>
</file>