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Community Health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Management Holdings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11,859,526.00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11,859,526.00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11,859,526.00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AAA Multi-Asset Credit Strategies Fund (Z),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789,447.00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789,447.00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789,447.00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AAA Multi-Asset Credit Strategies Lux Fund (Z),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330,535.00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330,535.00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330,535.00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Aligned Alternatives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1,119,982.00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1,119,982.00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1,119,982.00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Accord+ II Aggregator A,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883,778.00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883,778.00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883,778.00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Accord+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883,778.00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883,778.00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883,778.00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Accord+ Management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883,778.00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883,778.00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883,778.00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Atlas Master Fund, LLC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50,263.00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50,263.00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50,263.00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Atlas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50,263.00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50,263.00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50,263.00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Credit Strategies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4,613,503.00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4,613,503.00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4,613,503.00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ST Fund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4,613,503.00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4,613,503.00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4,613,503.00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ST Operating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4,613,503.00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4,613,503.00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4,613,503.00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ST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4,613,503.00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4,613,503.00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4,613,503.00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4,613,503.00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4,613,503.00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4,613,503.00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Credit Strategies Absolute Return Aggregator A,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1,569,144.00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1,569,144.00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1,569,144.00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Credit Strategies Absolute Return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1,569,144.00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1,569,144.00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1,569,144.00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Credit Strategies Absolute Return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1,569,144.00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1,569,144.00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1,569,144.00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Credit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77,320.00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77,320.00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77,320.00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Capital Credit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77,320.00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77,320.00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77,320.00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SA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78,854.00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78,854.00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78,854.00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PPF Credit Strategies,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344,423.00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344,423.00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344,423.00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PPF Credit Strategies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344,423.00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344,423.00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344,423.00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Centre Street Partnership,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359,149.00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359,149.00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359,149.00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Centre Street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359,149.00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359,149.00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359,149.00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Union Street Partners,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162,575.00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162,575.00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162,575.00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Union Street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162,575.00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162,575.00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162,575.00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Calliope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959,230.00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959,230.00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959,230.00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 Calliope GP,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959,230.00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959,230.00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959,230.00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Calliope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959,230.00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959,230.00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959,230.00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cusipNumber29"/>
      <w:bookmarkStart w:id="123" w:name="cusipNumber29"/>
      <w:bookmarkEnd w:id="1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4" w:name="reportingPersonDetails29"/>
      <w:bookmarkStart w:id="125" w:name="reportingPersonDetails29"/>
      <w:bookmarkEnd w:id="1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Delphi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549,157.00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549,157.00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549,157.00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6" w:name="cusipNumber30"/>
      <w:bookmarkStart w:id="127" w:name="cusipNumber30"/>
      <w:bookmarkEnd w:id="1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8" w:name="reportingPersonDetails30"/>
      <w:bookmarkStart w:id="129" w:name="reportingPersonDetails30"/>
      <w:bookmarkEnd w:id="1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Delphi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549,157.00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549,157.00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549,157.00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30" w:name="cusipNumber31"/>
      <w:bookmarkStart w:id="131" w:name="cusipNumber31"/>
      <w:bookmarkEnd w:id="1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32" w:name="reportingPersonDetails31"/>
      <w:bookmarkStart w:id="133" w:name="reportingPersonDetails31"/>
      <w:bookmarkEnd w:id="1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Delphi Management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549,157.00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549,157.00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549,157.00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34" w:name="cusipNumber32"/>
      <w:bookmarkStart w:id="135" w:name="cusipNumber32"/>
      <w:bookmarkEnd w:id="1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36" w:name="reportingPersonDetails32"/>
      <w:bookmarkStart w:id="137" w:name="reportingPersonDetails32"/>
      <w:bookmarkEnd w:id="1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Excelsior,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282,240.00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282,240.00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282,240.00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38" w:name="cusipNumber33"/>
      <w:bookmarkStart w:id="139" w:name="cusipNumber33"/>
      <w:bookmarkEnd w:id="1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40" w:name="reportingPersonDetails33"/>
      <w:bookmarkStart w:id="141" w:name="reportingPersonDetails33"/>
      <w:bookmarkEnd w:id="1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Excelsior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282,240.00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282,240.00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282,240.00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2" w:name="cusipNumber34"/>
      <w:bookmarkStart w:id="143" w:name="cusipNumber34"/>
      <w:bookmarkEnd w:id="1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44" w:name="reportingPersonDetails34"/>
      <w:bookmarkStart w:id="145" w:name="reportingPersonDetails34"/>
      <w:bookmarkEnd w:id="14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Excelsior Management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282,240.00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282,240.00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282,240.00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6" w:name="cusipNumber35"/>
      <w:bookmarkStart w:id="147" w:name="cusipNumber35"/>
      <w:bookmarkEnd w:id="1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48" w:name="reportingPersonDetails35"/>
      <w:bookmarkStart w:id="149" w:name="reportingPersonDetails35"/>
      <w:bookmarkEnd w:id="14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Moultrie Credit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209,833.00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209,833.00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209,833.00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50" w:name="cusipNumber36"/>
      <w:bookmarkStart w:id="151" w:name="cusipNumber36"/>
      <w:bookmarkEnd w:id="1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52" w:name="reportingPersonDetails36"/>
      <w:bookmarkStart w:id="153" w:name="reportingPersonDetails36"/>
      <w:bookmarkEnd w:id="15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Moultrie Credit Fund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209,833.00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209,833.00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209,833.00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54" w:name="cusipNumber37"/>
      <w:bookmarkStart w:id="155" w:name="cusipNumber37"/>
      <w:bookmarkEnd w:id="1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56" w:name="reportingPersonDetails37"/>
      <w:bookmarkStart w:id="157" w:name="reportingPersonDetails37"/>
      <w:bookmarkEnd w:id="15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Hostplus Credit II Holdings 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506,922.00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506,922.00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506,922.00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58" w:name="cusipNumber38"/>
      <w:bookmarkStart w:id="159" w:name="cusipNumber38"/>
      <w:bookmarkEnd w:id="1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0" w:name="reportingPersonDetails38"/>
      <w:bookmarkStart w:id="161" w:name="reportingPersonDetails38"/>
      <w:bookmarkEnd w:id="16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11,859,526.00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11,859,526.00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11,859,526.00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62" w:name="cusipNumber39"/>
      <w:bookmarkStart w:id="163" w:name="cusipNumber39"/>
      <w:bookmarkEnd w:id="1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4" w:name="reportingPersonDetails39"/>
      <w:bookmarkStart w:id="165" w:name="reportingPersonDetails39"/>
      <w:bookmarkEnd w:id="16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Capital Management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11,859,526.00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11,859,526.00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11,859,526.00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66" w:name="cusipNumber40"/>
      <w:bookmarkStart w:id="167" w:name="cusipNumber40"/>
      <w:bookmarkEnd w:id="1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8" w:name="reportingPersonDetails40"/>
      <w:bookmarkStart w:id="169" w:name="reportingPersonDetails40"/>
      <w:bookmarkEnd w:id="16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Management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11,859,526.00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11,859,526.00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11,859,526.00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70" w:name="item1to9"/>
      <w:bookmarkStart w:id="171" w:name="item1to9"/>
      <w:bookmarkEnd w:id="171"/>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Community Health Systems,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4000 Meridian Boulevard, Franklin, TN 37067</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AAA Multi-Asset Credit Strategies Fund (Z), L.P. ("Multi-Asset"); (ii) AAA Multi- Asset Credit Strategies Lux Fund (Z), L.P. ("Multi-Asset Lux"); (iii) Apollo Aligned Alternatives Advisors, L.P. ("Aligned Alternatives"); (iv) Apollo Accord+ II Aggregator A, L.P. ("Accord+ II"); (v) Apollo Accord+ Management, L.P. ("Accord+ Management"); (vi) Apollo Accord+ Management GP, LLC ("Accord+ Management GP"); (vii) Apollo Atlas Master Fund, LLC ("Atlas"); (viii) Apollo Atlas Management, LLC ("Atlas Management"); (ix) Apollo Credit Strategies Master Fund Ltd. ("Credit Strategies"); (x) Apollo ST Fund Management LLC ("ST Management"); (xi) Apollo ST Operating LP ("ST Operating"); (xii) Apollo ST Capital LLC ("ST Capital"); (xiii) ST Management Holdings, LLC ("ST Management Holdings"); (xiv) Apollo Credit Strategies Absolute Return Aggregator A, L.P. ("Absolute Return"); (xv) Apollo Credit Strategies Absolute Return Management, L.P. ("Absolute Return Management"); (xvi) Apollo Credit Strategies Absolute Return Management GP, LLC ("Absolute Return Management GP"); (xvii) Apollo Credit Management, LLC ("ACM"); (xviii) Apollo Capital Credit Management, LLC ("ACCM"); (xix) Apollo SA Management, LLC ("SA Management"); (xx) Apollo PPF Credit Strategies, LLC ("PPF Credit Strategies"); (xxi) Apollo PPF Credit Strategies Management, LLC ("PPF Management"); (xxii) Apollo Centre Street Partnership, L.P. ("Centre Street"); (xxiii) Apollo Centre Street Management, LLC ("Centre Street Management"); (xxiv) Apollo Union Street Partners, L.P. ("Union Street"); (xxv) Apollo Union Street Management, LLC ("Union Street Management"); (xxvi) Apollo Calliope Fund, L.P. ("Calliope"); (xxvii) AP Calliope GP, L.P. ("Calliope GP"); (xxviii) Apollo Calliope Management, LLC ("Calliope Management"); (xxix) Apollo Delphi Fund, L.P. ("Delphi"); (xxx) Apollo Delphi Management, L.P. ("Delphi Management"); (xxxi) Apollo Delphi Management GP, LLC ("Delphi Management GP"); (xxxii) Apollo Excelsior, L.P. ("Excelsior"); (xxxiii) Apollo Excelsior Management, L.P. ("Excelsior Management"); (xxxiv) Apollo Excelsior Management GP, LLC ("Excelsior Management GP"); (xxxv) Apollo Moultrie Credit Fund, L.P. ("Moultrie"); (xxxvi) Apollo Moultrie Credit Fund Management, LLC ("Moultrie Management"); (xxxvii) Apollo Capital Management, L.P. ("Capital Management"); (xxxviii) Apollo Hostplus Credit II Holdings II, L.P. ("Hostplus"); (xxxix) Apollo Capital Management GP, LLC ("Capital Management GP"); (xl) Apollo Management Holdings, L.P. ("Management Holdings"); and (xli) Apollo Management Holdings GP, LLC ("Management Holdings GP"). The foregoing are collectively referred to herein as the "Reporting Persons." Multi-Asset, Multi-Asset Lux, Accord+ II, Atlas, Credit Strategies, Absolute Return, PPF Credit Strategies, Centre Street, Union Street, Calliope, Delphi, Excelsior, Moultrie and Hostplus each hold securities of the Issuer. Aligned Alternatives serves as the general partner of Multi-Asset and Multi-Asset Lux. Accord+ Management serves as the investment manager of Accord+ II. Accord+ Management GP serves as the general partner of Accord+ Management. Atlas Management serves as the investment manager of Atlas. ST Management serves as the investment manager for Credit Strategies. ST Operating is the sole member of ST Management. The general partner of ST Operating is ST Capital. ST Management Holdings is the sole member of ST Capital. Absolute Return Management serves as the investment manager of Absolute Return. Absolute Return Management GP is the general partner of Absolute Return Management. ACM provides investment management services for FASF Franklin K2 Alternative Strategies Fund ("FASF-Franklin K2"). ACCM is the sole member of ACM. SA Management provides investment management services for Franklin Templeton Investment Funds - Franklin K2 Alternative Strategies Fund ("FTIF-Franklin K2"). PPF Management serves as the investment manager of PPF Credit Strategies. Centre Street Management serves as the investment manager of Centre Street. Union Street Management serves as the investment manager of Union Street. Calliope GP serves as the general partner of Calliope. Calliope Management serves as the investment manager of Calliope. Delphi Management serves as the investment manager of Delphi. Delphi Management GP is the general partner of Delphi Management. Excelsior Management serves as the investment manager of Excelsior. Excelsior Management GP is the general partner of Excelsior Management. Moultrie Management serves as the investment manager of Moultrie. Capital Management serves as the sole member of Atlas Management, ACCM, Absolute Return Management GP, PPF Management, SA Management, Union Street Management, Centre Street Management and Moultrie Management; the sole member and manager of Aligned Alternatives, Accord+ Management GP, ST Management Holdings, Calliope Management, Delphi Management GP, Excelsior Management GP; Accord+ Management GP, the investment manager of Hostplus; and provides investment management services for K2 Apollo Credit Master Fund Ltd. ("K2 Apollo"). Capital Management GP serves as the general partner of Capital Management. Management Holdings serves as the sole member and manager of Capital Management GP, and Management Holdings GP serves as the general partner of Management Holdings.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of each of Multi-Asset, Multi-Asset Lux, Aligned Alternatives, Accord+ II, Accord+ Management, Accord+ Management GP, Atlas, Atlas Management, ST Management, ST Operating, ST Capital, ST Management Holdings, Absolute Return, Absolute Return Management, Absolute Return Management GP, ACM, ACCM, SA Management, PPF Credit Strategies, PPF Management, Centre Street, Centre Street Management, Union Street, Union Street Management, Calliope, Calliope GP, Calliope Management, Delphi, Delphi Management, Delphi Management GP, Excelsior, Excelsior Management, Excelsior Management GP, Moultrie, Moultrie Management, Hostplus, Capital Management, Capital Management GP, Management Holdings, and Management Holdings GP is 9 W. 57th Street, 41st Floor, New York, New York 10019. The principal office of Credit Strategies is c/o Walkers Corporate Limited, 190 Elgin Avenue, George Town, Grand Cayman, KY1-9008, Cayman Islands.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Atlas, Credit Strategies and ST Management Holdings are each an exempted company incorporated in the Cayman Islands with limited liability. Accord+ II, Aligned Alternatives, Absolute Return, Union Street and Calliope GP are each a Cayman Islands exempted limited partnership. Calliope is a Cayman Islands limited partnership. Accord+ Management GP, Atlas Management, PPF Credit Strategies, ST Management, ST Capital, Absolute Return Management GP, ACM, ACCM, SA Management, PPF Management, Centre Street Management, Calliope Management, Delphi Management GP, Excelsior Management GP, Moultrie Management, Union Street Management, Capital Management GP, and Management Holdings GP are each a Delaware limited liability company. Multi-Asset, Multi-Asset Lux, ST Operating, Accord+ Management, Absolute Return Management, Centre Street, Delphi, Delphi Management, Excelsior, Excelsior Management, Moultrie, Hostplus, Capital Management, and Management Holdings are each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Multi-Asset 789,447 Multi-Asset Lux 330,535 Aligned Alternatives 1,119,982 Accord+ II 883,778 Accord+ Management 883,778 Accord+ Management GP 883,778 Atlas 50,263 Atlas Management 50,263 Credit Strategies 4,613,503 ST Management 4,613,503 ST Operating 4,613,503 ST Capital 4,613,503 ST Management Holdings 4,613,503 Absolute Return 1,569,144 Absolute Return Management 1,569,144 Absolute Return Management GP 1,569,144 ACM 77,320 ACCM 77,320 SA Management 78,854 PPF Credit Strategies 344,423 PPF Management 344,423 Centre Street 359,149 Centre Street Management 359,149 Union Street 162,575 Union Street Management 162,575 Calliope 959,230 Calliope GP 959,230 Calliope Management 959,230 Delphi 549,157 Delphi Management 549,157 Delphi Management GP 549,157 Excelsior 282,240 Excelsior Management 282,240 Excelsior Management GP 282,240 Moultrie 209,833 Moultrie Management 209,833 Hostplus 506,922 Capital Management 11,859,526 Capital Management GP 11,859,526 Management Holdings 11,859,526 Management Holdings GP 11,859,526 Aligned Alternatives, Accord+ Management, Accord+ Management GP, Atlas Management, ST Management, ST Operating, ST Capital, ST Management Holdings, Absolute Return Management, Absolute Return Management GP, ACM, ACCM, SA Management, PPF Management, Centre Street Management, Union Street Management, Calliope GP, Calliope Management, Delphi Management, Delphi Management GP, Excelsior Management, Excelsior Management GP, Moultrie Management, Capital Management, Capital Management GP, Management Holdings and Management Holdings GP, and Messrs. Scott Kleinman, Marc Rowan and James Zelter, the managers, as well as executive officers, of Management Holdings GP, each disclaim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Multi-Asset 0.6% Multi-Asset Lux 0.2% Aligned Alternatives 0.8% Accord+ II 0.6% Accord+ Management 0.6% Accord+ Management GP 0.6% Atlas 0.0% Atlas Management 0.0% Credit Strategies 3.3% ST Management 3.3% ST Operating 3.3% ST Capital 3.3% ST Management Holdings 3.3% Absolute Return 1.1% Absolute Return Management 1.1% Absolute Return Management GP 1.1% ACM 0.1% ACCM 0.1% SA Management 0.1% PPF Credit Strategies 0.2% PPF Management 0.2% Centre Street 0.3% Centre Street Management 0.3% Union Street 0.1% Union Street Management 0.1% Calliope 0.7% Calliope GP 0.7% Calliope Management 0.7% Delphi 0.4% Delphi Management 0.4% Delphi Management GP 0.4% Excelsior 0.2% Excelsior Management 0.2% Excelsior Management GP 0.2% Moultrie 0.1% Moultrie Management 0.1% Hostplus 0.4% Capital Management 8.4% Capital Management GP 8.4% Management Holdings 8.4% Management Holdings GP 8.4% The percentages are based on 141,009,357 shares of Common Stock outstanding as of July 16, 2026, as disclosed in the Issuer's quarterly report on Form 10-Q filed on July 23, 2026.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Multi-Asset 789,447 Multi-Asset Lux 330,535 Aligned Alternatives 1,119,982 Accord+ II 883,778 Accord+ Management 883,778 Accord+ Management GP 883,778 Atlas 50,263 Atlas Management 50,263 Credit Strategies 4,613,503 ST Management 4,613,503 ST Operating 4,613,503 ST Capital 4,613,503 ST Management Holdings 4,613,503 Absolute Return 1,569,144 Absolute Return Management 1,569,144 Absolute Return Management GP 1,569,144 ACM 77,320 ACCM 77,320 SA Management 78,854 PPF Credit Strategies 344,423 PPF Management 344,423 Centre Street 359,149 Centre Street Management 359,149 Union Street 162,575 Union Street Management 162,575 Calliope 959,230 Calliope GP 959,230 Calliope Management 959,230 Delphi 549,157 Delphi Management 549,157 Delphi Management GP 549,157 Excelsior 282,240 Excelsior Management 282,240 Excelsior Management GP 282,240 Moultrie 209,833 Moultrie Management 209,833 Moultrie Capital Management 209,833 Hostplus 506,922 Capital Management 11,859,526 Capital Management GP 11,859,526 Management Holdings 11,859,526 Management Holdings GP 11,859,526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Multi-Asset 789,447 Multi-Asset Lux 330,535 Aligned Alternatives 1,119,982 Accord+ II 883,778 Accord+ Management 883,778 Accord+ Management GP 883,778 Atlas 50,263 Atlas Management 50,263 Credit Strategies 4,613,503 ST Management 4,613,503 ST Operating 4,613,503 ST Capital 4,613,503 ST Management Holdings 4,613,503 Absolute Return 1,569,144 Absolute Return Management 1,569,144 Absolute Return Management GP 1,569,144 ACM 77,320 ACCM 77,320 SA Management 78,854 PPF Credit Strategies 344,423 PPF Management 344,423 Centre Street 359,149 Centre Street Management 359,149 Union Street 162,575 Union Street Management 162,575 Calliope 959,230 Calliope GP 959,230 Calliope Management 959,230 Delphi 549,157 Delphi Management 549,157 Delphi Management GP 549,157 Excelsior 282,240 Excelsior Management 282,240 Excelsior Management GP 282,240 Moultrie 209,833 Moultrie Management 209,833 Moultrie Capital Management 209,833 Hostplus 506,922 Capital Management 11,859,526 Capital Management GP 11,859,526 Management Holdings 11,859,526 Management Holdings GP 11,859,526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2" w:name="certifications"/>
      <w:bookmarkStart w:id="173" w:name="certifications"/>
      <w:bookmarkEnd w:id="17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4" w:name="signatureInfo"/>
      <w:bookmarkStart w:id="175" w:name="signatureInfo"/>
      <w:bookmarkEnd w:id="17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Apollo Management Holdings GP, LLC</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AAA Multi-Asset Credit Strategies Fund (Z), L.P.</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Apollo Aligned Alternatives Advisors, L.P.</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AAA Advisors GP, LLC</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General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7"/>
        <w:gridCol w:w="5048"/>
      </w:tblGrid>
      <w:tr>
        <w:trPr/>
        <w:tc>
          <w:tcPr>
            <w:tcW w:w="5157" w:type="dxa"/>
            <w:tcBorders/>
            <w:vAlign w:val="center"/>
          </w:tcPr>
          <w:p>
            <w:pPr>
              <w:pStyle w:val="TableContents"/>
              <w:bidi w:val="0"/>
              <w:spacing w:before="0" w:after="0"/>
              <w:jc w:val="left"/>
              <w:rPr/>
            </w:pPr>
            <w:r>
              <w:rPr/>
              <w:t> </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0"/>
                    <w:jc w:val="left"/>
                    <w:rPr/>
                  </w:pPr>
                  <w:r>
                    <w:rPr/>
                    <w:t>AAA Multi-Asset Credit Strategies Lux Fund (Z), L.P.</w:t>
                  </w:r>
                </w:p>
              </w:tc>
            </w:tr>
          </w:tbl>
          <w:p>
            <w:pPr>
              <w:pStyle w:val="TableContents"/>
              <w:bidi w:val="0"/>
              <w:spacing w:before="0" w:after="283"/>
              <w:jc w:val="left"/>
              <w:rPr/>
            </w:pPr>
            <w:r>
              <w:rPr/>
            </w:r>
          </w:p>
        </w:tc>
        <w:tc>
          <w:tcPr>
            <w:tcW w:w="50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Apollo Aligned Alternatives Advisors, L.P.</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AAA Advisors GP, LLC</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General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8912" w:type="dxa"/>
        <w:jc w:val="left"/>
        <w:tblInd w:w="0" w:type="dxa"/>
        <w:tblLayout w:type="fixed"/>
        <w:tblCellMar>
          <w:top w:w="28" w:type="dxa"/>
          <w:left w:w="28" w:type="dxa"/>
          <w:bottom w:w="28" w:type="dxa"/>
          <w:right w:w="28" w:type="dxa"/>
        </w:tblCellMar>
      </w:tblPr>
      <w:tblGrid>
        <w:gridCol w:w="4456"/>
        <w:gridCol w:w="4456"/>
      </w:tblGrid>
      <w:tr>
        <w:trPr/>
        <w:tc>
          <w:tcPr>
            <w:tcW w:w="4456" w:type="dxa"/>
            <w:tcBorders/>
            <w:vAlign w:val="center"/>
          </w:tcPr>
          <w:p>
            <w:pPr>
              <w:pStyle w:val="TableContents"/>
              <w:bidi w:val="0"/>
              <w:spacing w:before="0" w:after="0"/>
              <w:jc w:val="left"/>
              <w:rPr/>
            </w:pPr>
            <w:r>
              <w:rPr/>
              <w:t> </w:t>
            </w:r>
          </w:p>
          <w:tbl>
            <w:tblPr>
              <w:tblW w:w="4291" w:type="dxa"/>
              <w:jc w:val="left"/>
              <w:tblInd w:w="0" w:type="dxa"/>
              <w:tblLayout w:type="fixed"/>
              <w:tblCellMar>
                <w:top w:w="28" w:type="dxa"/>
                <w:left w:w="28" w:type="dxa"/>
                <w:bottom w:w="28" w:type="dxa"/>
                <w:right w:w="28" w:type="dxa"/>
              </w:tblCellMar>
            </w:tblPr>
            <w:tblGrid>
              <w:gridCol w:w="4291"/>
            </w:tblGrid>
            <w:tr>
              <w:trPr/>
              <w:tc>
                <w:tcPr>
                  <w:tcW w:w="4291" w:type="dxa"/>
                  <w:tcBorders/>
                  <w:vAlign w:val="center"/>
                </w:tcPr>
                <w:p>
                  <w:pPr>
                    <w:pStyle w:val="TableContents"/>
                    <w:bidi w:val="0"/>
                    <w:spacing w:before="0" w:after="0"/>
                    <w:jc w:val="left"/>
                    <w:rPr/>
                  </w:pPr>
                  <w:r>
                    <w:rPr/>
                    <w:t>Apollo Aligned Alternatives Advisors, L.P.</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AAA Advisors GP, LLC</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General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Apollo Accord+ II Aggregator A, L.P.</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Apollo Accord+ Management, L.P.</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Investment 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1"/>
        <w:gridCol w:w="4384"/>
      </w:tblGrid>
      <w:tr>
        <w:trPr/>
        <w:tc>
          <w:tcPr>
            <w:tcW w:w="58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Accord+ Management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Apollo Accord+ Management, L.P.</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1"/>
        <w:gridCol w:w="4384"/>
      </w:tblGrid>
      <w:tr>
        <w:trPr/>
        <w:tc>
          <w:tcPr>
            <w:tcW w:w="58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Accord+ Management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Apollo Accord+ Management GP, LLC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Apollo Atlas Master Fund, LLC</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4"/>
        <w:gridCol w:w="4201"/>
      </w:tblGrid>
      <w:tr>
        <w:trPr/>
        <w:tc>
          <w:tcPr>
            <w:tcW w:w="60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Apollo Atlas Management, LLC</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Investment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Apollo Atlas Management, LLC</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Apollo Credit Strategies Master Fund Ltd.</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Apollo ST Fund Management, LLC</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Investment Manager</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Apollo ST Fund Management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Apollo ST Operating LP</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Apollo ST Capital LLC</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0"/>
        <w:gridCol w:w="4225"/>
      </w:tblGrid>
      <w:tr>
        <w:trPr/>
        <w:tc>
          <w:tcPr>
            <w:tcW w:w="59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ST Management Holdings, LLC</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Sole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Capital Management, L.P.</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Apollo Capital Management GP,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Apollo ST Capital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0"/>
        <w:gridCol w:w="4225"/>
      </w:tblGrid>
      <w:tr>
        <w:trPr/>
        <w:tc>
          <w:tcPr>
            <w:tcW w:w="59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ST Management Holdings, LLC</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Sole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Capital Management, L.P.</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Apollo Capital Management GP,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ST Management Holdings, LLC</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Capital Management, L.P.</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Apollo Capital Management GP,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13"/>
        <w:gridCol w:w="4992"/>
      </w:tblGrid>
      <w:tr>
        <w:trPr/>
        <w:tc>
          <w:tcPr>
            <w:tcW w:w="5213" w:type="dxa"/>
            <w:tcBorders/>
            <w:vAlign w:val="center"/>
          </w:tcPr>
          <w:p>
            <w:pPr>
              <w:pStyle w:val="TableContents"/>
              <w:bidi w:val="0"/>
              <w:spacing w:before="0" w:after="0"/>
              <w:jc w:val="left"/>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0"/>
                    <w:jc w:val="left"/>
                    <w:rPr/>
                  </w:pPr>
                  <w:r>
                    <w:rPr/>
                    <w:t>Apollo Credit Strategies Absolute Return Aggregator A, L.P.</w:t>
                  </w:r>
                </w:p>
              </w:tc>
            </w:tr>
          </w:tbl>
          <w:p>
            <w:pPr>
              <w:pStyle w:val="TableContents"/>
              <w:bidi w:val="0"/>
              <w:spacing w:before="0" w:after="283"/>
              <w:jc w:val="left"/>
              <w:rPr/>
            </w:pPr>
            <w:r>
              <w:rPr/>
            </w:r>
          </w:p>
        </w:tc>
        <w:tc>
          <w:tcPr>
            <w:tcW w:w="49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Apollo Credit Strategies Absolute Return Advisors, L.P.</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Apollo Credit Strategies Absolute Return Advisors GP, LLC</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26"/>
        <w:gridCol w:w="4979"/>
      </w:tblGrid>
      <w:tr>
        <w:trPr/>
        <w:tc>
          <w:tcPr>
            <w:tcW w:w="5226" w:type="dxa"/>
            <w:tcBorders/>
            <w:vAlign w:val="center"/>
          </w:tcPr>
          <w:p>
            <w:pPr>
              <w:pStyle w:val="TableContents"/>
              <w:bidi w:val="0"/>
              <w:spacing w:before="0" w:after="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0"/>
                    <w:jc w:val="left"/>
                    <w:rPr/>
                  </w:pPr>
                  <w:r>
                    <w:rPr/>
                    <w:t>Apollo Credit Strategies Absolute Return Management, L.P.</w:t>
                  </w:r>
                </w:p>
              </w:tc>
            </w:tr>
          </w:tbl>
          <w:p>
            <w:pPr>
              <w:pStyle w:val="TableContents"/>
              <w:bidi w:val="0"/>
              <w:spacing w:before="0" w:after="283"/>
              <w:jc w:val="left"/>
              <w:rPr/>
            </w:pPr>
            <w:r>
              <w:rPr/>
            </w:r>
          </w:p>
        </w:tc>
        <w:tc>
          <w:tcPr>
            <w:tcW w:w="49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Apollo Credit Strategies Absolute Return Advisors GP, LLC</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76"/>
        <w:gridCol w:w="4929"/>
      </w:tblGrid>
      <w:tr>
        <w:trPr/>
        <w:tc>
          <w:tcPr>
            <w:tcW w:w="5276" w:type="dxa"/>
            <w:tcBorders/>
            <w:vAlign w:val="center"/>
          </w:tcPr>
          <w:p>
            <w:pPr>
              <w:pStyle w:val="TableContents"/>
              <w:bidi w:val="0"/>
              <w:spacing w:before="0" w:after="0"/>
              <w:jc w:val="left"/>
              <w:rPr/>
            </w:pPr>
            <w:r>
              <w:rPr/>
              <w:t> </w:t>
            </w:r>
          </w:p>
          <w:tbl>
            <w:tblPr>
              <w:tblW w:w="6376" w:type="dxa"/>
              <w:jc w:val="left"/>
              <w:tblInd w:w="0" w:type="dxa"/>
              <w:tblLayout w:type="fixed"/>
              <w:tblCellMar>
                <w:top w:w="28" w:type="dxa"/>
                <w:left w:w="28" w:type="dxa"/>
                <w:bottom w:w="28" w:type="dxa"/>
                <w:right w:w="28" w:type="dxa"/>
              </w:tblCellMar>
            </w:tblPr>
            <w:tblGrid>
              <w:gridCol w:w="6376"/>
            </w:tblGrid>
            <w:tr>
              <w:trPr/>
              <w:tc>
                <w:tcPr>
                  <w:tcW w:w="6376" w:type="dxa"/>
                  <w:tcBorders/>
                  <w:vAlign w:val="center"/>
                </w:tcPr>
                <w:p>
                  <w:pPr>
                    <w:pStyle w:val="TableContents"/>
                    <w:bidi w:val="0"/>
                    <w:spacing w:before="0" w:after="0"/>
                    <w:jc w:val="left"/>
                    <w:rPr/>
                  </w:pPr>
                  <w:r>
                    <w:rPr/>
                    <w:t>Apollo Credit Strategies Absolute Return Management, GP, LLC</w:t>
                  </w:r>
                </w:p>
              </w:tc>
            </w:tr>
          </w:tbl>
          <w:p>
            <w:pPr>
              <w:pStyle w:val="TableContents"/>
              <w:bidi w:val="0"/>
              <w:spacing w:before="0" w:after="283"/>
              <w:jc w:val="left"/>
              <w:rPr/>
            </w:pPr>
            <w:r>
              <w:rPr/>
            </w:r>
          </w:p>
        </w:tc>
        <w:tc>
          <w:tcPr>
            <w:tcW w:w="49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Apollo Credit Management, LLC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Apollo Capital Credit Management, LLC</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Sole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Apollo Capital Credit Management,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Apollo SA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Capital Management, L.P.</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Apollo Capital Management GP,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Apollo PPF Credit Strategies, LLC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Apollo PPF Credit Strategies Management, LLC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Investment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Apollo PPF Credit Strategies Management, LLC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Apollo Centre Street Partnership, L.P.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Apollo Centre Street Management, LLC</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Capital Management, L.P.</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Apollo Capital Management GP,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Apollo Union Street Partners, L.P.</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Apollo Union Street Management, LLC</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Investment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Capital Management, L.P.</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Apollo Capital Management GP,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Apollo Union Street Management, LLC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Capital Management, L.P.</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Investment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Apollo Capital Management GP,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Apollo Calliope Fund, L.P.</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3"/>
        <w:gridCol w:w="4202"/>
      </w:tblGrid>
      <w:tr>
        <w:trPr/>
        <w:tc>
          <w:tcPr>
            <w:tcW w:w="60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Apollo Calliope Management, LLC</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Investment 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AP Calliope GP,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3"/>
        <w:gridCol w:w="4202"/>
      </w:tblGrid>
      <w:tr>
        <w:trPr/>
        <w:tc>
          <w:tcPr>
            <w:tcW w:w="60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Apollo Calliope Management, LLC</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Investment 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Apollo Calliope Management, LLC</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Apollo Delphi Fund, L.P.</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Apollo Delphi Advisors, LLC</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Apollo Delphi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Apollo Delphi Management GP, LLC</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Apollo Delphi Management GP, LLC</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Apollo Excelsior,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Apollo Excelsior Advisors, L.P.</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General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Apollo Excelsior Ultimate GP, LLC</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Apollo Excelsior Management, L.P.</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8"/>
        <w:gridCol w:w="4227"/>
      </w:tblGrid>
      <w:tr>
        <w:trPr/>
        <w:tc>
          <w:tcPr>
            <w:tcW w:w="59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Apollo Excelsior Management GP, LLC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8384" w:type="dxa"/>
        <w:jc w:val="left"/>
        <w:tblInd w:w="0" w:type="dxa"/>
        <w:tblLayout w:type="fixed"/>
        <w:tblCellMar>
          <w:top w:w="28" w:type="dxa"/>
          <w:left w:w="28" w:type="dxa"/>
          <w:bottom w:w="28" w:type="dxa"/>
          <w:right w:w="28" w:type="dxa"/>
        </w:tblCellMar>
      </w:tblPr>
      <w:tblGrid>
        <w:gridCol w:w="4192"/>
        <w:gridCol w:w="4192"/>
      </w:tblGrid>
      <w:tr>
        <w:trPr/>
        <w:tc>
          <w:tcPr>
            <w:tcW w:w="4192" w:type="dxa"/>
            <w:tcBorders/>
            <w:vAlign w:val="center"/>
          </w:tcPr>
          <w:p>
            <w:pPr>
              <w:pStyle w:val="TableContents"/>
              <w:bidi w:val="0"/>
              <w:spacing w:before="0" w:after="0"/>
              <w:jc w:val="left"/>
              <w:rPr/>
            </w:pPr>
            <w:r>
              <w:rPr/>
              <w:t> </w:t>
            </w:r>
          </w:p>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0"/>
                    <w:jc w:val="left"/>
                    <w:rPr/>
                  </w:pPr>
                  <w:r>
                    <w:rPr/>
                    <w:t>Apollo Excelsior Management GP, LLC</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Apollo Moultrie Credit Fund, L.P.</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Apollo Moultrie Credit Fund Management, LLC</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Investment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9854" w:type="dxa"/>
        <w:jc w:val="left"/>
        <w:tblInd w:w="0" w:type="dxa"/>
        <w:tblLayout w:type="fixed"/>
        <w:tblCellMar>
          <w:top w:w="28" w:type="dxa"/>
          <w:left w:w="28" w:type="dxa"/>
          <w:bottom w:w="28" w:type="dxa"/>
          <w:right w:w="28" w:type="dxa"/>
        </w:tblCellMar>
      </w:tblPr>
      <w:tblGrid>
        <w:gridCol w:w="4927"/>
        <w:gridCol w:w="4927"/>
      </w:tblGrid>
      <w:tr>
        <w:trPr/>
        <w:tc>
          <w:tcPr>
            <w:tcW w:w="4927" w:type="dxa"/>
            <w:tcBorders/>
            <w:vAlign w:val="center"/>
          </w:tcPr>
          <w:p>
            <w:pPr>
              <w:pStyle w:val="TableContents"/>
              <w:bidi w:val="0"/>
              <w:spacing w:before="0" w:after="0"/>
              <w:jc w:val="left"/>
              <w:rPr/>
            </w:pPr>
            <w:r>
              <w:rPr/>
              <w:t> </w:t>
            </w:r>
          </w:p>
          <w:tbl>
            <w:tblPr>
              <w:tblW w:w="4771" w:type="dxa"/>
              <w:jc w:val="left"/>
              <w:tblInd w:w="0" w:type="dxa"/>
              <w:tblLayout w:type="fixed"/>
              <w:tblCellMar>
                <w:top w:w="28" w:type="dxa"/>
                <w:left w:w="28" w:type="dxa"/>
                <w:bottom w:w="28" w:type="dxa"/>
                <w:right w:w="28" w:type="dxa"/>
              </w:tblCellMar>
            </w:tblPr>
            <w:tblGrid>
              <w:gridCol w:w="4771"/>
            </w:tblGrid>
            <w:tr>
              <w:trPr/>
              <w:tc>
                <w:tcPr>
                  <w:tcW w:w="4771" w:type="dxa"/>
                  <w:tcBorders/>
                  <w:vAlign w:val="center"/>
                </w:tcPr>
                <w:p>
                  <w:pPr>
                    <w:pStyle w:val="TableContents"/>
                    <w:bidi w:val="0"/>
                    <w:spacing w:before="0" w:after="0"/>
                    <w:jc w:val="left"/>
                    <w:rPr/>
                  </w:pPr>
                  <w:r>
                    <w:rPr/>
                    <w:t>Apollo Moultrie Credit Fund Management, LLC</w:t>
                  </w:r>
                </w:p>
              </w:tc>
            </w:tr>
          </w:tbl>
          <w:p>
            <w:pPr>
              <w:pStyle w:val="TableContents"/>
              <w:bidi w:val="0"/>
              <w:spacing w:before="0" w:after="283"/>
              <w:jc w:val="left"/>
              <w:rPr/>
            </w:pPr>
            <w:r>
              <w:rPr/>
            </w:r>
          </w:p>
        </w:tc>
        <w:tc>
          <w:tcPr>
            <w:tcW w:w="4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B. Kuesel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B. Kuesel, Vice 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Apollo Hostplus Credit II Holdings II, L.P.</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Capital Management, L.P.</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Investment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Apollo Capital Management GP,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Apollo Capital Management, L.P.</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Apollo Capital Management GP,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7972" w:type="dxa"/>
        <w:jc w:val="left"/>
        <w:tblInd w:w="0" w:type="dxa"/>
        <w:tblLayout w:type="fixed"/>
        <w:tblCellMar>
          <w:top w:w="28" w:type="dxa"/>
          <w:left w:w="28" w:type="dxa"/>
          <w:bottom w:w="28" w:type="dxa"/>
          <w:right w:w="28" w:type="dxa"/>
        </w:tblCellMar>
      </w:tblPr>
      <w:tblGrid>
        <w:gridCol w:w="3986"/>
        <w:gridCol w:w="3986"/>
      </w:tblGrid>
      <w:tr>
        <w:trPr/>
        <w:tc>
          <w:tcPr>
            <w:tcW w:w="3986" w:type="dxa"/>
            <w:tcBorders/>
            <w:vAlign w:val="center"/>
          </w:tcPr>
          <w:p>
            <w:pPr>
              <w:pStyle w:val="TableContents"/>
              <w:bidi w:val="0"/>
              <w:spacing w:before="0" w:after="0"/>
              <w:jc w:val="left"/>
              <w:rPr/>
            </w:pPr>
            <w:r>
              <w:rPr/>
              <w:t> </w:t>
            </w:r>
          </w:p>
          <w:tbl>
            <w:tblPr>
              <w:tblW w:w="3811" w:type="dxa"/>
              <w:jc w:val="left"/>
              <w:tblInd w:w="0" w:type="dxa"/>
              <w:tblLayout w:type="fixed"/>
              <w:tblCellMar>
                <w:top w:w="28" w:type="dxa"/>
                <w:left w:w="28" w:type="dxa"/>
                <w:bottom w:w="28" w:type="dxa"/>
                <w:right w:w="28" w:type="dxa"/>
              </w:tblCellMar>
            </w:tblPr>
            <w:tblGrid>
              <w:gridCol w:w="3811"/>
            </w:tblGrid>
            <w:tr>
              <w:trPr/>
              <w:tc>
                <w:tcPr>
                  <w:tcW w:w="3811" w:type="dxa"/>
                  <w:tcBorders/>
                  <w:vAlign w:val="center"/>
                </w:tcPr>
                <w:p>
                  <w:pPr>
                    <w:pStyle w:val="TableContents"/>
                    <w:bidi w:val="0"/>
                    <w:spacing w:before="0" w:after="0"/>
                    <w:jc w:val="left"/>
                    <w:rPr/>
                  </w:pPr>
                  <w:r>
                    <w:rPr/>
                    <w:t>Apollo Capital Management GP, LLC</w:t>
                  </w:r>
                </w:p>
              </w:tc>
            </w:tr>
          </w:tbl>
          <w:p>
            <w:pPr>
              <w:pStyle w:val="TableContents"/>
              <w:bidi w:val="0"/>
              <w:spacing w:before="0" w:after="283"/>
              <w:jc w:val="left"/>
              <w:rPr/>
            </w:pPr>
            <w:r>
              <w:rPr/>
            </w:r>
          </w:p>
        </w:tc>
        <w:tc>
          <w:tcPr>
            <w:tcW w:w="3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Apollo Management Holdings, L.P.</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Management Holdings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William Kuesel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Kuesel,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fontTable" Target="fontTable.xml"/><Relationship Id="rId1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8148</Words>
  <Characters>45957</Characters>
  <CharactersWithSpaces>53071</CharactersWithSpaces>
  <Paragraphs>2316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