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524"/>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4"/>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644"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3720" w:type="dxa"/>
            <w:vAlign w:val="bottom"/>
            <w:gridSpan w:val="2"/>
          </w:tcPr>
          <w:p>
            <w:pPr>
              <w:jc w:val="center"/>
              <w:ind w:right="2550"/>
              <w:spacing w:after="0"/>
              <w:rPr>
                <w:sz w:val="20"/>
                <w:szCs w:val="20"/>
                <w:color w:val="auto"/>
              </w:rPr>
            </w:pPr>
            <w:r>
              <w:rPr>
                <w:rFonts w:ascii="Arial" w:cs="Arial" w:eastAsia="Arial" w:hAnsi="Arial"/>
                <w:sz w:val="14"/>
                <w:szCs w:val="14"/>
                <w:b w:val="1"/>
                <w:bCs w:val="1"/>
                <w:color w:val="auto"/>
                <w:w w:val="89"/>
              </w:rPr>
              <w:t>Title of each class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2"/>
          </w:tcPr>
          <w:p>
            <w:pPr>
              <w:jc w:val="center"/>
              <w:ind w:left="16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680" w:type="dxa"/>
            <w:vAlign w:val="bottom"/>
          </w:tcPr>
          <w:p>
            <w:pPr>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262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CYH</w:t>
            </w:r>
          </w:p>
        </w:tc>
        <w:tc>
          <w:tcPr>
            <w:tcW w:w="17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information contained in this Current Report on Form 8-K (including the exhibit hereto) shall not be deemed “filed” for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18 of the Securities Exchange Act of 1934, as amended (the “Exchange Act”), or incorporated by reference in any filing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1933, as amended, or the Exchange Act, except as shall be expressly set forth by specific reference in any such filing.</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6"/>
          <w:szCs w:val="16"/>
          <w:color w:val="auto"/>
        </w:rPr>
        <w:t>Results of Operations and Financial Condition</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On July 28, 2020, Community Health Systems, Inc. (the “Company”) announced operating results for the second quarter ended June 30, 2020. A copy of the press release making this announcement is attached as Exhibit 99.1 to this Current Report on Form 8-K and is incorporated by reference into this Item 2.02.</w:t>
      </w:r>
    </w:p>
    <w:p>
      <w:pPr>
        <w:spacing w:after="0" w:line="3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On July 28, 2020, the Company announced operating results for the second quarter ended June 30, 2020 in a press release attached as Exhibit 99.1 to this Current Report on Form 8-K which is incorporated by reference into this Item 7.01.</w:t>
      </w:r>
    </w:p>
    <w:p>
      <w:pPr>
        <w:spacing w:after="0" w:line="3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exhibit is furnished herewith:</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10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Community Health Systems, Inc. Press Release, dated July 28, 2020.</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Date: July 28, 2020</w:t>
            </w:r>
          </w:p>
        </w:tc>
        <w:tc>
          <w:tcPr>
            <w:tcW w:w="7580" w:type="dxa"/>
            <w:vAlign w:val="bottom"/>
            <w:gridSpan w:val="2"/>
          </w:tcPr>
          <w:p>
            <w:pPr>
              <w:ind w:left="218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Arial" w:cs="Arial" w:eastAsia="Arial" w:hAnsi="Arial"/>
                <w:sz w:val="18"/>
                <w:szCs w:val="18"/>
                <w:color w:val="auto"/>
              </w:rPr>
              <w:t>By:  /s/ Wayne T. Smith</w:t>
            </w:r>
          </w:p>
        </w:tc>
      </w:tr>
      <w:tr>
        <w:trPr>
          <w:trHeight w:val="209"/>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Wayne T. Smith</w:t>
            </w: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44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Arial" w:cs="Arial" w:eastAsia="Arial" w:hAnsi="Arial"/>
                <w:sz w:val="18"/>
                <w:szCs w:val="18"/>
                <w:color w:val="auto"/>
              </w:rPr>
              <w:t>By:  /s/ Kevin J. Hammons</w:t>
            </w:r>
          </w:p>
        </w:tc>
      </w:tr>
      <w:tr>
        <w:trPr>
          <w:trHeight w:val="209"/>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Hammons</w:t>
            </w: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44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Arial" w:cs="Arial" w:eastAsia="Arial" w:hAnsi="Arial"/>
                <w:sz w:val="18"/>
                <w:szCs w:val="18"/>
                <w:color w:val="auto"/>
              </w:rPr>
              <w:t>By:  /s/ Jason K. Johnson</w:t>
            </w:r>
          </w:p>
        </w:tc>
      </w:tr>
      <w:tr>
        <w:trPr>
          <w:trHeight w:val="209"/>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K. Johnson</w:t>
            </w: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440" w:type="dxa"/>
            <w:vAlign w:val="bottom"/>
          </w:tcPr>
          <w:p>
            <w:pPr>
              <w:spacing w:after="0"/>
              <w:rPr>
                <w:sz w:val="24"/>
                <w:szCs w:val="24"/>
                <w:color w:val="auto"/>
              </w:rPr>
            </w:pPr>
          </w:p>
        </w:tc>
        <w:tc>
          <w:tcPr>
            <w:tcW w:w="2620" w:type="dxa"/>
            <w:vAlign w:val="bottom"/>
          </w:tcPr>
          <w:p>
            <w:pPr>
              <w:ind w:left="202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-121920</wp:posOffset>
            </wp:positionV>
            <wp:extent cx="367728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7285" cy="7029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Kevin Hammons</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(615) 465-7000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168910</wp:posOffset>
            </wp:positionV>
            <wp:extent cx="5880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FRANKLIN, Tenn. (July 28, 2020) – Community Health Systems, Inc. (NYSE: CYH) (the “Company”) today announced financial and operating results for the three and six months ended June 30,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highlights the financial and operating results for the three months ended June 30, 2020.</w:t>
      </w:r>
    </w:p>
    <w:p>
      <w:pPr>
        <w:spacing w:after="0" w:line="127" w:lineRule="exact"/>
        <w:rPr>
          <w:sz w:val="20"/>
          <w:szCs w:val="20"/>
          <w:color w:val="auto"/>
        </w:rPr>
      </w:pPr>
    </w:p>
    <w:p>
      <w:pPr>
        <w:ind w:left="1420" w:hanging="439"/>
        <w:spacing w:after="0"/>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revenues totaled $2.519 billion.</w:t>
      </w:r>
    </w:p>
    <w:p>
      <w:pPr>
        <w:spacing w:after="0" w:line="130" w:lineRule="exact"/>
        <w:rPr>
          <w:rFonts w:ascii="Arial" w:cs="Arial" w:eastAsia="Arial" w:hAnsi="Arial"/>
          <w:sz w:val="18"/>
          <w:szCs w:val="18"/>
          <w:b w:val="1"/>
          <w:bCs w:val="1"/>
          <w:color w:val="auto"/>
        </w:rPr>
      </w:pPr>
    </w:p>
    <w:p>
      <w:pPr>
        <w:ind w:left="1420" w:right="160" w:hanging="439"/>
        <w:spacing w:after="0" w:line="258" w:lineRule="auto"/>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attributable to Community Health Systems, Inc. common stockholders was $70 million, or $0.61 per share (diluted), compared with net loss of $(167) million, or $(1.47) per share (diluted), for the same period in 2019. Excluding the adjusting items as presented in the table in footnote (e) on page 16, net income attributable to Community Health Systems, Inc. common stockholders was $0.85 per share (diluted), compared to net loss of $(0.47) per share (diluted) for the same period in 2019.</w:t>
      </w:r>
    </w:p>
    <w:p>
      <w:pPr>
        <w:spacing w:after="0" w:line="88" w:lineRule="exact"/>
        <w:rPr>
          <w:rFonts w:ascii="Arial" w:cs="Arial" w:eastAsia="Arial" w:hAnsi="Arial"/>
          <w:sz w:val="18"/>
          <w:szCs w:val="18"/>
          <w:b w:val="1"/>
          <w:bCs w:val="1"/>
          <w:color w:val="auto"/>
        </w:rPr>
      </w:pPr>
    </w:p>
    <w:p>
      <w:pPr>
        <w:ind w:left="1420" w:hanging="439"/>
        <w:spacing w:after="0"/>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Adjusted EBITDA was $454 million.</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Net cash provided by operating activities was $1.652 billion, compared with $132 million for the same period in 2019.</w:t>
      </w:r>
    </w:p>
    <w:p>
      <w:pPr>
        <w:spacing w:after="0" w:line="142" w:lineRule="exact"/>
        <w:rPr>
          <w:rFonts w:ascii="Arial" w:cs="Arial" w:eastAsia="Arial" w:hAnsi="Arial"/>
          <w:sz w:val="17"/>
          <w:szCs w:val="17"/>
          <w:b w:val="1"/>
          <w:bCs w:val="1"/>
          <w:color w:val="auto"/>
        </w:rPr>
      </w:pPr>
    </w:p>
    <w:p>
      <w:pPr>
        <w:ind w:left="1420" w:right="280" w:hanging="439"/>
        <w:spacing w:after="0" w:line="282" w:lineRule="auto"/>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On a same-store basis, admissions decreased 18.1 percent and adjusted admissions decreased 24.2 percent, compared with the same period in 2019.</w:t>
      </w:r>
    </w:p>
    <w:p>
      <w:pPr>
        <w:spacing w:after="0" w:line="67" w:lineRule="exact"/>
        <w:rPr>
          <w:rFonts w:ascii="Arial" w:cs="Arial" w:eastAsia="Arial" w:hAnsi="Arial"/>
          <w:sz w:val="18"/>
          <w:szCs w:val="18"/>
          <w:b w:val="1"/>
          <w:bCs w:val="1"/>
          <w:color w:val="auto"/>
        </w:rPr>
      </w:pPr>
    </w:p>
    <w:p>
      <w:pPr>
        <w:ind w:left="1420" w:right="380" w:hanging="439"/>
        <w:spacing w:after="0" w:line="347" w:lineRule="auto"/>
        <w:tabs>
          <w:tab w:leader="none" w:pos="14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As discussed further below, developments related to the impact of a novel strain of coronavirus (“COVID-19”) adversely affected patient volumes and operating results which were mitigated, in part, by government stimulus measures.</w:t>
      </w:r>
    </w:p>
    <w:p>
      <w:pPr>
        <w:spacing w:after="0" w:line="12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Net operating revenues for the three months ended June 30, 2020, totaled $2.519 billion, a 23.7 percent decrease, compared with $3.302 billion for the same period in 2019.</w:t>
      </w:r>
    </w:p>
    <w:p>
      <w:pPr>
        <w:spacing w:after="0" w:line="170"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Net income attributable to Community Health Systems, Inc. common stockholders was $70 million, or $0.61 per share (diluted), for the three months ended June 30, 2020, compared with net loss of $(167) million, or $(1.47) per share (diluted), for the same period in 2019. Excluding the adjusting items as presented in the table in footnote (e) on page 16, net income attributable to Community Health Systems, Inc. common stockholders was $0.85 per share (diluted), for the three months ended June 30, 2020, compared to net loss of $(0.47) per share (diluted) for the same period in 2019. Payments received by the Company through the Public Health and Social Services Emergency Fund (the “PHSSEF”), as more specifically described below, had a positive impact on net income attributable to Community Health Systems, Inc. common stockholders (both on a consolidated and adjusted basis) of approximately $333 million, or $2.89 on a per share (diluted) basis, for the three months ended June 30, 2020. Weighted-average shares outstanding (diluted) were 115 million and 114 million for the three months ended June 30, 2020 and 2019, respectively.</w:t>
      </w:r>
    </w:p>
    <w:p>
      <w:pPr>
        <w:spacing w:after="0" w:line="165" w:lineRule="exact"/>
        <w:rPr>
          <w:sz w:val="20"/>
          <w:szCs w:val="20"/>
          <w:color w:val="auto"/>
        </w:rPr>
      </w:pPr>
    </w:p>
    <w:p>
      <w:pPr>
        <w:jc w:val="both"/>
        <w:ind w:right="660" w:firstLine="440"/>
        <w:spacing w:after="0" w:line="263" w:lineRule="auto"/>
        <w:rPr>
          <w:sz w:val="20"/>
          <w:szCs w:val="20"/>
          <w:color w:val="auto"/>
        </w:rPr>
      </w:pPr>
      <w:r>
        <w:rPr>
          <w:rFonts w:ascii="Arial" w:cs="Arial" w:eastAsia="Arial" w:hAnsi="Arial"/>
          <w:sz w:val="18"/>
          <w:szCs w:val="18"/>
          <w:color w:val="auto"/>
        </w:rPr>
        <w:t>Adjusted EBITDA for the three months ended June 30, 2020, was $454 million compared with $402 million for the same period in 2019. Payments received through the PHSSEF had a positive impact on Adjusted EBITDA for the three months ended June 30, 2020 in the amount of $448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5"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43" w:lineRule="exact"/>
        <w:rPr>
          <w:sz w:val="20"/>
          <w:szCs w:val="20"/>
          <w:color w:val="auto"/>
        </w:rPr>
      </w:pPr>
    </w:p>
    <w:p>
      <w:pPr>
        <w:ind w:right="380" w:firstLine="440"/>
        <w:spacing w:after="0" w:line="296" w:lineRule="auto"/>
        <w:rPr>
          <w:sz w:val="20"/>
          <w:szCs w:val="20"/>
          <w:color w:val="auto"/>
        </w:rPr>
      </w:pPr>
      <w:r>
        <w:rPr>
          <w:rFonts w:ascii="Arial" w:cs="Arial" w:eastAsia="Arial" w:hAnsi="Arial"/>
          <w:sz w:val="16"/>
          <w:szCs w:val="16"/>
          <w:color w:val="auto"/>
        </w:rPr>
        <w:t>The consolidated operating results for the three months ended June 30, 2020, reflect a 23.6 percent decrease in admissions and a 29.2 percent decrease in adjusted admissions, compared with the same period in 2019. On a same-store basis, admissions decreased 18.1 percent and adjusted admissions decreased 24.2 percent for the three months ended June 30, 2020, compared with the same period in 2019. Volume declines were most pronounced in the month of April 2020 and declined to a lesser degree in the months of May and June 2020. On a same-store basis, net operating revenues decreased 18.4 percent for the three months ended June 30, 2020, compared with the same period in 2019.</w:t>
      </w:r>
    </w:p>
    <w:p>
      <w:pPr>
        <w:spacing w:after="0" w:line="16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Net operating revenues for the six months ended June 30, 2020, totaled $5.544 billion, a 17.0 percent decrease, compared with $6.679 billion for the same period in 2019.</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Net income attributable to Community Health Systems, Inc. common stockholders was $87 million, or $0.76 per share (diluted), for the six months ended June 30, 2020, compared with net loss of $(285) million, or $(2.51) per share (diluted), for the same period in 2019. Excluding the adjusting items as presented in the table in footnote (e) on page 16, net loss attributable to Community Health Systems, Inc. common stockholders was $(0.73) per share (diluted), for the six months ended June 30, 2020, compared to $(1.00) per share (diluted) for the same period in 2019. The change in tax valuation allowance (which was one of the aforementioned adjusting items) had a positive impact of $240 million, or $2.09 per share (diluted), on net income attributable to Community Health Systems, Inc. common stockholders, and arose from discrete tax benefits related to the release of federal and state valuation allowances on IRC Section 163(j) interest carryforwards as a result of an increase to the deductible interest expense allowed for 2019 and 2020 under the Coronavirus Aid, Relief and Economic Security Act (the “CARES Act”) that was enacted during the six months ended June 30, 2020. In addition, payments received by the Company through the PHSSEF, as more specifically described below, had a positive impact on net income attributable to Community Health Systems, Inc. common stockholders (both on a consolidated and adjusted basis) of approximately $333 million, or $2.90 on a per share (diluted) basis, for the six months ended June 30, 2020. Weighted-average shares outstanding (diluted) were 115 million and 114 million for the six months ended June 30, 2020 and 2019, respectively.</w:t>
      </w:r>
    </w:p>
    <w:p>
      <w:pPr>
        <w:spacing w:after="0" w:line="179"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Adjusted EBITDA for the six months ended June 30, 2020, was $763 million compared with $793 million for the same period in 2019. Payments received through the PHSSEF had a positive impact on Adjusted EBITDA for the six months ended June 30, 2020 in the amount of $448 million.</w:t>
      </w:r>
    </w:p>
    <w:p>
      <w:pPr>
        <w:spacing w:after="0" w:line="124" w:lineRule="exact"/>
        <w:rPr>
          <w:sz w:val="20"/>
          <w:szCs w:val="20"/>
          <w:color w:val="auto"/>
        </w:rPr>
      </w:pPr>
    </w:p>
    <w:p>
      <w:pPr>
        <w:ind w:right="440" w:firstLine="440"/>
        <w:spacing w:after="0" w:line="296" w:lineRule="auto"/>
        <w:rPr>
          <w:sz w:val="20"/>
          <w:szCs w:val="20"/>
          <w:color w:val="auto"/>
        </w:rPr>
      </w:pPr>
      <w:r>
        <w:rPr>
          <w:rFonts w:ascii="Arial" w:cs="Arial" w:eastAsia="Arial" w:hAnsi="Arial"/>
          <w:sz w:val="16"/>
          <w:szCs w:val="16"/>
          <w:color w:val="auto"/>
        </w:rPr>
        <w:t>The consolidated operating results for the six months ended June 30, 2020, reflect an 18.3 percent decrease in admissions and a 21.0 percent decrease in adjusted admissions, compared with the same period in 2019. On a same-store basis, admissions decreased 11.5 percent and adjusted admissions decreased 14.5 percent for the six months ended June 30, 2020, compared with the same period in 2019. Volume declines were most pronounced in the month of April 2020 and declined to a lesser degree in the months of May and June 2020. On a same-store basis, net operating revenues decreased 10.9 percent for the six months ended June 30, 2020, compared with the same period in 2019.</w:t>
      </w:r>
    </w:p>
    <w:p>
      <w:pPr>
        <w:spacing w:after="0" w:line="161"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Commenting on the results, Wayne T. Smith, chairman and chief executive officer of Community Health Systems, Inc., said, “The COVID-19 pandemic continues to be an unprecedented public health crisis that has forever changed our country and the healthcare industry. Our response to this crisis is guided by our most important priority - to provide safe, quality healthcare for the patients who put their trust in us. We are forever grateful to our incredible physicians, nurses and other caregivers who bravely step up and step forward every day to care for their patients, communities and each other. And, we thank all of America’s healthcare workers for their compassionate, professional, and truly heroic actions in this pandemic.</w:t>
      </w:r>
    </w:p>
    <w:p>
      <w:pPr>
        <w:spacing w:after="0" w:line="16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 am proud of our hospital leadership teams and the corporate support teams that have demonstrated agility and resilience under pressure and leveraged all of the resources of our organization to support their community response as well as one another. We will continue to adapt to this evolving situation with a steadfast commitment to provide the best possible response to this public health crisis, while at the same time focusing on long-term growth for all of the Company’s stakeholders.”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 – 19 Pandemic: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COVID-19 pandemic had an adverse impact on the Company’s operations and financial results for the three and six months ended June 30,</w:t>
      </w:r>
    </w:p>
    <w:p>
      <w:pPr>
        <w:spacing w:after="0" w:line="46"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2020 beginning in the second half of March 2020 as the result of decreases in net operating revenues driven by a decline in patient volumes and increases in expenses related to supply chain and other expenditures.</w:t>
      </w:r>
    </w:p>
    <w:p>
      <w:pPr>
        <w:spacing w:after="0" w:line="18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Company previously announced in the Current Report on Form 8-K filed by the Company on April 6, 2020 (the “April 6 Form 8-K”), that it was withdrawing its 2020 financial guidance issued in its earnings release dated February 19, 2020. Consistent with disclosures made by the Company in the April 6 Form 8-K and in the Company’s earnings release for the first quarter filed on April 28, 2020, the Company is not able to fully quantify the impact that the COVID-19 pandemic will have on its financial results during 2020, but expects developments related to the COVID-19 pandemic, including the CARES Act and PPPHCE Act as further discussed below, to materially affect the Company’s financial performance in 2020. Moreover, as a result of the continuously changing and unpredictable environment related to the COVID-19 pandemic, the Company is not providing guidance in this earnings release.</w:t>
      </w:r>
    </w:p>
    <w:p>
      <w:pPr>
        <w:spacing w:after="0" w:line="19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As a result of the COVID-19 pandemic, federal and state governments have passed legislation, promulgated regulations, and taken other administrative actions intended to assist healthcare providers in providing care to COVID-19 and other patients during the public health emergency. Sources of relief include the CARES Act, which was enacted on March 27, 2020, and the Paycheck Protection Program and Health Care Enhancement Act (the “PPPHCE Act”), which was enacted on April 24, 2020. Together, the CARES Act and the PPPHCE Act include $175 billion in funding to be distributed to eligible providers through the PHSSEF. In addition, the CARES Act provided for an expansion of the Medicare Accelerated and Advance Payment Program.</w:t>
      </w:r>
    </w:p>
    <w:p>
      <w:pPr>
        <w:spacing w:after="0" w:line="192"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During the three months ended June 30, 2020, the Company received approximately $564 million in payments through the PHSSEF in both general and targeted distributions, net of amounts received for previously divested entities that are required to be repaid to the U.S. Department of Health and Human Services (“HHS”). PHSSEF payments are intended to compensate healthcare providers for lost revenues and incremental expenses incurred in response to the COVID-19 pandemic and are not required to be repaid provided that recipients attest to and comply with certain terms and conditions, including limitations on balance billing and not using funds received from the PHSSEF to reimburse expenses or losses that other sources are obligated to reimburse. Approximately $448 million of the PHSSEF payments qualified as income for reimbursement of lost revenues and incremental expenses and was recognized as a reduction in operating costs and expenses during the three and six months ended June 30, 2020. Amounts not recognized as a reduction to operating costs and expenses or that have not been refunded to HHS as of June 30, 2020, are reflected within accrued liabilities-other in the condensed consolidated balance sheet, and such unrecognized amounts may be recognized as a reduction in operating costs and expenses in future periods if the underlying conditions for recognition are met. Additionally, approximately $109 million in payments through the PHSSEF have been received in July 2020 which did not qualify for recognition during the three months ended June 30, 2020.</w:t>
      </w:r>
    </w:p>
    <w:p>
      <w:pPr>
        <w:spacing w:after="0" w:line="17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Medicare accelerated payments of approximately $1.2 billion were received during the three months ended June 30, 2020, via the Medicare Accelerated and Advance Payment Program. These are advances that providers must repay. The Medicare accelerated payments are interest free for up to 12 months and the program currently requires that the Centers for Medicare and Medicaid Services (“CMS”) recoup the accelerated payments beginning 120 days after receipt by the provider, by withholding future Medicare fee-for-service payments for claims until such time as the full accelerated payment has been recouped. The program currently requires that any outstanding balance remaining after 12 months must be repaid by the provider or be subjected to a 10.25% annual interest rate. Recoupment of accelerated Medicare payments received by the Company is currently expected to begin in August 2020. As of June 30, 2020, Medicare accelerated payments are reflected within accrued liabilities-other in the condensed consolidated balance sheet. Effective April 26, 2020, CMS is reevaluating pending and new applications for accelerated payments in light of significant other relief provided by the CARES Act and the PPPHCE Act. Accordingly, the Company does not expect to receive additional Medicare accelerated payments.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4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PHSSEF payments received to date as noted above and which the Company may receive in the future under the CARES Act and the PPPHCE Act, have been and may continue to be beneficial in partially mitigating the impact of the COVID-19 pandemic on the Company’s results of operations and financial position. Additionally, the federal government may consider additional stimulus and relief efforts, but we are unable to predict whether additional stimulus measures will be enacted or their impact, if any. The Company is unable to assess the extent to which anticipated ongoing negative impacts on the Company arising from the COVID-19 pandemic will be offset by amounts which the Company may recognize or receive in the future under the CARES Act, the PPPHCE Act and any future stimulus measures.</w:t>
      </w:r>
    </w:p>
    <w:p>
      <w:pPr>
        <w:spacing w:after="0" w:line="178"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The Company completed the divestiture of three hospitals on January 1, 2020 (in respect of which the Company received proceeds at a preliminary closing on December 31, 2019), two hospitals on May 1, 2020, and two hospitals on July 1, 2020 (in respect of which the Company received proceeds at a preliminary closing on June 30, 2020) for a total of seven hospitals. In addition, the Company has entered into definitive agreements to sell a total of five hospitals, for which the Company expects to receive aggregate proceeds of approximately $430 million. These divestitures, subject to definitive agreements, which are expected to be completed at various times during the third and fourth quarters of 2020, will mark the end of the Company’s formal portfolio rationalization strategy, which commenced in 2017. There can be no assurance that these potential divestitures subject to definitive agreements will be completed, or if they are completed, the ultimate timing of the completion of these divestitures. The Company continues to receive interest from potential acquirers for certain of its hospitals, and may, from time to time, consider selling additional hospitals following the completion of the Company’s formal portfolio rationalization strategy.</w:t>
      </w:r>
    </w:p>
    <w:p>
      <w:pPr>
        <w:spacing w:after="0" w:line="181"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Financial and statistical data for 2019 and 2020 presented in this press release includes the operating results of divested hospitals through the effective closing date of each respective divestiture. Same-store operating results exclude the results of a hospital acquired in 2019 and the hospitals divested in 2019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Non-GAAP Financial Measures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This earnings release presents Adjusted EBITDA, a non-GAAP financial measure, which is EBITDA adjusted to add back net income attributable to noncontrolling interests and to exclude loss (gain) from early extinguishment of debt, impairment and loss on sale of businesses, expense related to government and other legal settlements and related costs, expense related to employee termination benefits and other restructuring charges, expense from settlement and fair value adjustments on the CVR agreement liability related to the Health Management Associates, Inc. (“HMA”)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For information regarding why the Company believes Adjusted EBITDA provides useful information to investors, and for a reconciliation of Adjusted EBITDA to net income (loss) attributable to Community Health Systems, Inc. stockholders, see footnote (c) to the Financial Highlights, Financial Statements and Selected Operating Data below.</w:t>
      </w:r>
    </w:p>
    <w:p>
      <w:pPr>
        <w:spacing w:after="0" w:line="17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Additionally, this earnings release presents adjusted net income (loss) attributable to Community Health Systems, Inc. common stockholders per share (diluted), a non-GAAP financial measure, to reflect the impact on net income (loss) attributable to Community Health Systems, Inc. common stockholders per share (diluted) from the selected items used in the calculation of Adjusted EBITDA. For information regarding why the Company believes this non-GAAP financial measure provides useful information to investors, and for a reconciliation of this non-GAAP financial measure to net income (loss) attributable to Community Health Systems, Inc. common stockholders per share (diluted), see footnote (e) to the Financial Highlights, Financial Statements and Selected Operating Data below.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43"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Community Health Systems, Inc. is one of the largest publicly traded hospital companies in the United States and a leading operator of general acute care hospitals in communities across the country. The Company, through its subsidiaries, owns, leases or operates 95 affiliated hospitals in 16 states with an aggregate of approximately 15,000 licensed beds.</w:t>
      </w:r>
    </w:p>
    <w:p>
      <w:pPr>
        <w:spacing w:after="0" w:line="184"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The Company’s headquarters are located in Franklin, Tennessee, a suburb south of Nashville. Shares in Community Health Systems, Inc. are traded on the New York Stock Exchange under the symbol “CYH.” More information about the Company can be found on its website at </w:t>
      </w:r>
      <w:r>
        <w:rPr>
          <w:rFonts w:ascii="Arial" w:cs="Arial" w:eastAsia="Arial" w:hAnsi="Arial"/>
          <w:sz w:val="16"/>
          <w:szCs w:val="16"/>
          <w:u w:val="single" w:color="auto"/>
          <w:color w:val="auto"/>
        </w:rPr>
        <w:t>www.chs.net</w:t>
      </w:r>
      <w:r>
        <w:rPr>
          <w:rFonts w:ascii="Arial" w:cs="Arial" w:eastAsia="Arial" w:hAnsi="Arial"/>
          <w:sz w:val="16"/>
          <w:szCs w:val="16"/>
          <w:color w:val="auto"/>
        </w:rPr>
        <w:t>.</w:t>
      </w:r>
    </w:p>
    <w:p>
      <w:pPr>
        <w:spacing w:after="0" w:line="12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Community Health Systems, Inc. will hold a conference call on Wednesday, July 29, 2020, at 10:00 a.m. Central, 11:00 a.m. Eastern, to review financial and operating results for the second quarter ended June 30, 2020. Investors will have the opportunity to listen to a live internet broadcast of the conference call by clicking on the Investor Relations link of the Company’s website at </w:t>
      </w:r>
      <w:r>
        <w:rPr>
          <w:rFonts w:ascii="Arial" w:cs="Arial" w:eastAsia="Arial" w:hAnsi="Arial"/>
          <w:sz w:val="16"/>
          <w:szCs w:val="16"/>
          <w:u w:val="single" w:color="auto"/>
          <w:color w:val="auto"/>
        </w:rPr>
        <w:t>www.chs.net</w:t>
      </w:r>
      <w:r>
        <w:rPr>
          <w:rFonts w:ascii="Arial" w:cs="Arial" w:eastAsia="Arial" w:hAnsi="Arial"/>
          <w:sz w:val="16"/>
          <w:szCs w:val="16"/>
          <w:color w:val="auto"/>
        </w:rPr>
        <w:t xml:space="preserve">. To listen to the live call, please go to the website at least fifteen minutes early to register, download and install any necessary audio software. For those who cannot listen to the live broadcast, a replay will be available shortly after the call and will continue to be available for approximately 30 days. Copies of this press release and conference call slide show, as well as the Company’s Current Report on Form 8-K (including this press release), will be available on the Company’s website at </w:t>
      </w:r>
      <w:r>
        <w:rPr>
          <w:rFonts w:ascii="Arial" w:cs="Arial" w:eastAsia="Arial" w:hAnsi="Arial"/>
          <w:sz w:val="16"/>
          <w:szCs w:val="16"/>
          <w:u w:val="single" w:color="auto"/>
          <w:color w:val="auto"/>
        </w:rPr>
        <w:t>www.chs.net</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r>
      <w:tr>
        <w:trPr>
          <w:trHeight w:val="88"/>
        </w:trPr>
        <w:tc>
          <w:tcPr>
            <w:tcW w:w="8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2,519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5,544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6,679</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income (loss) (f), (g)</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Adjusted EBITDA (c)</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793</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1,652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r>
      <w:tr>
        <w:trPr>
          <w:trHeight w:val="432"/>
        </w:trPr>
        <w:tc>
          <w:tcPr>
            <w:tcW w:w="8100" w:type="dxa"/>
            <w:vAlign w:val="bottom"/>
          </w:tcPr>
          <w:p>
            <w:pPr>
              <w:spacing w:after="0"/>
              <w:rPr>
                <w:sz w:val="20"/>
                <w:szCs w:val="20"/>
                <w:color w:val="auto"/>
              </w:rPr>
            </w:pPr>
            <w:r>
              <w:rPr>
                <w:rFonts w:ascii="Arial" w:cs="Arial" w:eastAsia="Arial" w:hAnsi="Arial"/>
                <w:sz w:val="18"/>
                <w:szCs w:val="18"/>
                <w:i w:val="1"/>
                <w:iCs w:val="1"/>
                <w:color w:val="auto"/>
              </w:rPr>
              <w:t>Earnings (loss) per share attributable to Community Health Systems, Inc. common stockholders: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(f), (g)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Diluted (e), (f), (g)</w:t>
            </w:r>
          </w:p>
        </w:tc>
        <w:tc>
          <w:tcPr>
            <w:tcW w:w="1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02"/>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14, 15 and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10"/>
          </w:tcPr>
          <w:p>
            <w:pPr>
              <w:jc w:val="right"/>
              <w:ind w:right="85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505"/>
              <w:spacing w:after="0" w:line="142"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502"/>
              <w:spacing w:after="0" w:line="142"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580" w:type="dxa"/>
            <w:vAlign w:val="bottom"/>
            <w:gridSpan w:val="3"/>
            <w:vMerge w:val="restart"/>
          </w:tcPr>
          <w:p>
            <w:pPr>
              <w:jc w:val="right"/>
              <w:ind w:right="1"/>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8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2,519</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3,302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24"/>
        </w:trPr>
        <w:tc>
          <w:tcPr>
            <w:tcW w:w="7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1,282</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50.9 %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4"/>
              </w:rPr>
              <w:t>1,488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Supplies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16.6 %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539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29.1 %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Government and other legal settlements and related costs (g)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cost and rent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3.3 %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Pandemic relief funds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5.6 %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Impairment and loss on sale of businesses, net (f)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33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2,223</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88.2 %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4"/>
              </w:rPr>
              <w:t>3,191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20" w:type="dxa"/>
            <w:vAlign w:val="bottom"/>
          </w:tcPr>
          <w:p>
            <w:pPr>
              <w:spacing w:after="0"/>
              <w:rPr>
                <w:sz w:val="20"/>
                <w:szCs w:val="20"/>
                <w:color w:val="auto"/>
              </w:rPr>
            </w:pPr>
            <w:r>
              <w:rPr>
                <w:rFonts w:ascii="Arial" w:cs="Arial" w:eastAsia="Arial" w:hAnsi="Arial"/>
                <w:sz w:val="18"/>
                <w:szCs w:val="18"/>
                <w:color w:val="auto"/>
              </w:rPr>
              <w:t>Income from operations (f), (g)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11.8 %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111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10.4 %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 (g)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3.7 %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0.9 %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21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i w:val="1"/>
                <w:iCs w:val="1"/>
                <w:color w:val="auto"/>
                <w:w w:val="93"/>
              </w:rPr>
              <w:t>Earnings (loss) per share attributable to Community Health Systems, Inc. common stockholders: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(f), (g)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(1.47)</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360"/>
              <w:spacing w:after="0"/>
              <w:rPr>
                <w:sz w:val="20"/>
                <w:szCs w:val="20"/>
                <w:color w:val="auto"/>
              </w:rPr>
            </w:pPr>
            <w:r>
              <w:rPr>
                <w:rFonts w:ascii="Arial" w:cs="Arial" w:eastAsia="Arial" w:hAnsi="Arial"/>
                <w:sz w:val="18"/>
                <w:szCs w:val="18"/>
                <w:color w:val="auto"/>
              </w:rPr>
              <w:t>Diluted (e), (f), (g)</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14, 15 and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gridSpan w:val="10"/>
          </w:tcPr>
          <w:p>
            <w:pPr>
              <w:jc w:val="right"/>
              <w:ind w:right="93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497"/>
              <w:spacing w:after="0" w:line="142"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580" w:type="dxa"/>
            <w:vAlign w:val="bottom"/>
            <w:gridSpan w:val="3"/>
            <w:vMerge w:val="restart"/>
          </w:tcPr>
          <w:p>
            <w:pPr>
              <w:jc w:val="right"/>
              <w:ind w:right="1"/>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8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5,544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6,679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24"/>
        </w:trPr>
        <w:tc>
          <w:tcPr>
            <w:tcW w:w="7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2,690</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48.5 %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4"/>
              </w:rPr>
              <w:t>3,030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Supplies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16.5 %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w w:val="84"/>
              </w:rPr>
              <w:t>1,097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1,472</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26.7 %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4"/>
              </w:rPr>
              <w:t>1,704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Government and other legal settlements and related costs (g)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cost and rent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2.9 %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Pandemic relief funds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(448)</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5.1 %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Impairment and loss on sale of businesses, net (f)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71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92.7 %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4"/>
              </w:rPr>
              <w:t>6,378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95.5 %</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20" w:type="dxa"/>
            <w:vAlign w:val="bottom"/>
          </w:tcPr>
          <w:p>
            <w:pPr>
              <w:spacing w:after="0"/>
              <w:rPr>
                <w:sz w:val="20"/>
                <w:szCs w:val="20"/>
                <w:color w:val="auto"/>
              </w:rPr>
            </w:pPr>
            <w:r>
              <w:rPr>
                <w:rFonts w:ascii="Arial" w:cs="Arial" w:eastAsia="Arial" w:hAnsi="Arial"/>
                <w:sz w:val="18"/>
                <w:szCs w:val="18"/>
                <w:color w:val="auto"/>
              </w:rPr>
              <w:t>Income from operations (f), (g)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7.3 %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301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9.4 %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Loss from early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31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(115)</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(243)</w:t>
            </w: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Net income (loss) (f), (g)</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(246)</w:t>
            </w: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3"/>
              </w:rPr>
              <w:t>Earnings (loss) per share attributable to Community Health Systems, Inc. common stockholders: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Basic (f), (g)</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3"/>
              </w:rPr>
              <w:t>(2.51)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 (f), (g)</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14, 15 and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8"/>
          </w:tcPr>
          <w:p>
            <w:pPr>
              <w:jc w:val="right"/>
              <w:ind w:right="281"/>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gridSpan w:val="6"/>
          </w:tcPr>
          <w:p>
            <w:pPr>
              <w:jc w:val="right"/>
              <w:ind w:right="81"/>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12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2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2020</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88"/>
        </w:trPr>
        <w:tc>
          <w:tcPr>
            <w:tcW w:w="1220" w:type="dxa"/>
            <w:vAlign w:val="bottom"/>
          </w:tcPr>
          <w:p>
            <w:pPr>
              <w:spacing w:after="0"/>
              <w:rPr>
                <w:sz w:val="7"/>
                <w:szCs w:val="7"/>
                <w:color w:val="auto"/>
              </w:rPr>
            </w:pPr>
          </w:p>
        </w:tc>
        <w:tc>
          <w:tcPr>
            <w:tcW w:w="6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(246)</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interest rate swaps,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debt securities,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740" w:type="dxa"/>
            <w:vAlign w:val="bottom"/>
            <w:gridSpan w:val="3"/>
          </w:tcPr>
          <w:p>
            <w:pPr>
              <w:jc w:val="right"/>
              <w:ind w:right="41"/>
              <w:spacing w:after="0"/>
              <w:rPr>
                <w:sz w:val="20"/>
                <w:szCs w:val="20"/>
                <w:color w:val="auto"/>
              </w:rPr>
            </w:pPr>
            <w:r>
              <w:rPr>
                <w:rFonts w:ascii="Arial" w:cs="Arial" w:eastAsia="Arial" w:hAnsi="Arial"/>
                <w:sz w:val="18"/>
                <w:szCs w:val="18"/>
                <w:color w:val="auto"/>
              </w:rPr>
              <w:t>4</w:t>
            </w:r>
          </w:p>
        </w:tc>
      </w:tr>
      <w:tr>
        <w:trPr>
          <w:trHeight w:val="27"/>
        </w:trPr>
        <w:tc>
          <w:tcPr>
            <w:tcW w:w="12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7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7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39</w:t>
            </w: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Community Health Systems, Inc. stockholders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2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14, 15 and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Same-Store</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hospitals (at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Licensed beds (at end of 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15,562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17,062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15,646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Beds in service (at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Admissions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106,481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139,400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106,076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129,463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admissions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214,373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302,964</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213,295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281,409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Patient days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486,920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622,046</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485,010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576,766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length of stay (days)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Occupancy rate (average beds in service)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94"/>
        </w:trPr>
        <w:tc>
          <w:tcPr>
            <w:tcW w:w="12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Net inpatient revenues as a % of net operating revenues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outpatient revenues as a % of net operating 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Income from operations (f), (g)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as a % of net operating 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10"/>
        </w:trPr>
        <w:tc>
          <w:tcPr>
            <w:tcW w:w="4980" w:type="dxa"/>
            <w:vAlign w:val="bottom"/>
            <w:gridSpan w:val="2"/>
          </w:tcPr>
          <w:p>
            <w:pPr>
              <w:spacing w:after="0"/>
              <w:rPr>
                <w:sz w:val="20"/>
                <w:szCs w:val="20"/>
                <w:color w:val="auto"/>
              </w:rPr>
            </w:pPr>
            <w:r>
              <w:rPr>
                <w:rFonts w:ascii="Arial" w:cs="Arial" w:eastAsia="Arial" w:hAnsi="Arial"/>
                <w:sz w:val="18"/>
                <w:szCs w:val="18"/>
                <w:color w:val="auto"/>
                <w:w w:val="95"/>
              </w:rPr>
              <w:t>Net income (loss) attributable to Community Health Systems, Inc.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08"/>
        </w:trPr>
        <w:tc>
          <w:tcPr>
            <w:tcW w:w="1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02"/>
        </w:trPr>
        <w:tc>
          <w:tcPr>
            <w:tcW w:w="4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(loss) attributable to Community Health Systems, Inc.</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 as a % of net operating revenues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Adjusted EBITDA (c)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as a % of net operating 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1151.5%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3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For footnotes, see pages 14, 15 and 16.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5"/>
        </w:trPr>
        <w:tc>
          <w:tcPr>
            <w:tcW w:w="1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-MORE-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4"/>
              </w:rPr>
              <w:t>Six Months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2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w w:val="95"/>
              </w:rPr>
              <w:t>Same-Store</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r>
      <w:tr>
        <w:trPr>
          <w:trHeight w:val="209"/>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hospitals (at end of period)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Licensed beds (at end of period)</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15,562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17,062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15,646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Beds in service (at end of period)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Admissions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234,729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287,288</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233,490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263,884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admissions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612,829</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480,994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562,678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Patient days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1,066,857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1,299,127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1,061,587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1,188,067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length of stay (days)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Occupancy rate (average beds in service)</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94"/>
        </w:trPr>
        <w:tc>
          <w:tcPr>
            <w:tcW w:w="12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6,679</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-17.0%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Net inpatient revenues as a % of net operating revenues</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outpatient revenues as a % of net operating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Income from operations (f), (g)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as a % of net operating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color w:val="auto"/>
                <w:w w:val="97"/>
              </w:rPr>
              <w:t>Net income (loss) attributable to Community Health Systems,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Inc.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08"/>
        </w:trPr>
        <w:tc>
          <w:tcPr>
            <w:tcW w:w="12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02"/>
        </w:trPr>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 (loss) attributable to Community Health Systems,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 stockholders as a % of net operating revenues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Adjusted EBITDA (c)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12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as a % of net operating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50"/>
        </w:trPr>
        <w:tc>
          <w:tcPr>
            <w:tcW w:w="4780" w:type="dxa"/>
            <w:vAlign w:val="bottom"/>
            <w:gridSpan w:val="2"/>
          </w:tcPr>
          <w:p>
            <w:pPr>
              <w:spacing w:after="0"/>
              <w:rPr>
                <w:sz w:val="20"/>
                <w:szCs w:val="20"/>
                <w:color w:val="auto"/>
              </w:rPr>
            </w:pPr>
            <w:r>
              <w:rPr>
                <w:rFonts w:ascii="Arial" w:cs="Arial" w:eastAsia="Arial" w:hAnsi="Arial"/>
                <w:sz w:val="18"/>
                <w:szCs w:val="18"/>
                <w:color w:val="auto"/>
              </w:rPr>
              <w:t>For footnotes, see pages 14, 15 and 16.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5"/>
        </w:trPr>
        <w:tc>
          <w:tcPr>
            <w:tcW w:w="1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-MORE-</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June 30, 2020</w:t>
            </w:r>
          </w:p>
        </w:tc>
        <w:tc>
          <w:tcPr>
            <w:tcW w:w="2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2019</w:t>
            </w:r>
          </w:p>
        </w:tc>
      </w:tr>
      <w:tr>
        <w:trPr>
          <w:trHeight w:val="196"/>
        </w:trPr>
        <w:tc>
          <w:tcPr>
            <w:tcW w:w="75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1,552</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Patient accounts receivable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1,925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2,258</w:t>
            </w: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Supplies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Prepaid income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r>
      <w:tr>
        <w:trPr>
          <w:trHeight w:val="27"/>
        </w:trPr>
        <w:tc>
          <w:tcPr>
            <w:tcW w:w="12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3,427</w:t>
            </w: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Property and equipment</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9,653</w:t>
            </w:r>
          </w:p>
        </w:tc>
        <w:tc>
          <w:tcPr>
            <w:tcW w:w="120" w:type="dxa"/>
            <w:vAlign w:val="bottom"/>
          </w:tcPr>
          <w:p>
            <w:pPr>
              <w:spacing w:after="0"/>
              <w:rPr>
                <w:sz w:val="19"/>
                <w:szCs w:val="19"/>
                <w:color w:val="auto"/>
              </w:rPr>
            </w:pP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(4,045)</w:t>
            </w:r>
          </w:p>
        </w:tc>
      </w:tr>
      <w:tr>
        <w:trPr>
          <w:trHeight w:val="230"/>
        </w:trPr>
        <w:tc>
          <w:tcPr>
            <w:tcW w:w="7500" w:type="dxa"/>
            <w:vAlign w:val="bottom"/>
            <w:gridSpan w:val="2"/>
          </w:tcPr>
          <w:p>
            <w:pPr>
              <w:ind w:left="72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0"/>
                <w:szCs w:val="20"/>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4,328</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Deferred income taxes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 net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w:t>
            </w: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Total assets</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15,609</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2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Current operating lease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Employee compensation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r>
      <w:tr>
        <w:trPr>
          <w:trHeight w:val="216"/>
        </w:trPr>
        <w:tc>
          <w:tcPr>
            <w:tcW w:w="7500" w:type="dxa"/>
            <w:vAlign w:val="bottom"/>
            <w:gridSpan w:val="2"/>
          </w:tcPr>
          <w:p>
            <w:pPr>
              <w:ind w:left="720"/>
              <w:spacing w:after="0"/>
              <w:rPr>
                <w:sz w:val="20"/>
                <w:szCs w:val="20"/>
                <w:color w:val="auto"/>
              </w:rPr>
            </w:pPr>
            <w:r>
              <w:rPr>
                <w:rFonts w:ascii="Arial" w:cs="Arial" w:eastAsia="Arial" w:hAnsi="Arial"/>
                <w:sz w:val="18"/>
                <w:szCs w:val="18"/>
                <w:color w:val="auto"/>
              </w:rPr>
              <w:t>Accrued interest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r>
      <w:tr>
        <w:trPr>
          <w:trHeight w:val="216"/>
        </w:trPr>
        <w:tc>
          <w:tcPr>
            <w:tcW w:w="7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w:t>
            </w:r>
          </w:p>
        </w:tc>
      </w:tr>
      <w:tr>
        <w:trPr>
          <w:trHeight w:val="230"/>
        </w:trPr>
        <w:tc>
          <w:tcPr>
            <w:tcW w:w="7500" w:type="dxa"/>
            <w:vAlign w:val="bottom"/>
            <w:gridSpan w:val="2"/>
          </w:tcPr>
          <w:p>
            <w:pPr>
              <w:ind w:left="108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0"/>
                <w:szCs w:val="20"/>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debt (h)</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13,106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13,385</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Deferred income taxes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operating lease liabilities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Other long-term liabilities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liabilities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17,978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17,248</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Redeemable noncontrolling interests in equity of consolidated subsidiaries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w:t>
            </w:r>
            <w:r>
              <w:rPr>
                <w:rFonts w:ascii="Arial" w:cs="Arial" w:eastAsia="Arial" w:hAnsi="Arial"/>
                <w:sz w:val="18"/>
                <w:szCs w:val="18"/>
                <w:color w:val="auto"/>
              </w:rPr>
              <w:t>’</w:t>
            </w:r>
            <w:r>
              <w:rPr>
                <w:rFonts w:ascii="Arial" w:cs="Arial" w:eastAsia="Arial" w:hAnsi="Arial"/>
                <w:sz w:val="18"/>
                <w:szCs w:val="18"/>
                <w:i w:val="1"/>
                <w:iCs w:val="1"/>
                <w:color w:val="auto"/>
              </w:rPr>
              <w:t xml:space="preserve"> DEFICIT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Community Health Systems, Inc. stockholders’ deficit: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$.01 par value per share, 100,000,000 shares authorized; none issued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5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Common stock, $.01 par value per share, 300,000,000 shares authorized; 119,628,652 shares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500" w:type="dxa"/>
            <w:vAlign w:val="bottom"/>
            <w:gridSpan w:val="2"/>
          </w:tcPr>
          <w:p>
            <w:pPr>
              <w:ind w:left="540"/>
              <w:spacing w:after="0"/>
              <w:rPr>
                <w:sz w:val="20"/>
                <w:szCs w:val="20"/>
                <w:color w:val="auto"/>
              </w:rPr>
            </w:pPr>
            <w:r>
              <w:rPr>
                <w:rFonts w:ascii="Arial" w:cs="Arial" w:eastAsia="Arial" w:hAnsi="Arial"/>
                <w:sz w:val="18"/>
                <w:szCs w:val="18"/>
                <w:color w:val="auto"/>
                <w:w w:val="93"/>
              </w:rPr>
              <w:t>issued and outstanding at June 30, 2020, and 117,822,631 shares issued and outstanding at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00" w:type="dxa"/>
            <w:vAlign w:val="bottom"/>
            <w:gridSpan w:val="2"/>
          </w:tcPr>
          <w:p>
            <w:pPr>
              <w:ind w:left="540"/>
              <w:spacing w:after="0"/>
              <w:rPr>
                <w:sz w:val="20"/>
                <w:szCs w:val="20"/>
                <w:color w:val="auto"/>
              </w:rPr>
            </w:pPr>
            <w:r>
              <w:rPr>
                <w:rFonts w:ascii="Arial" w:cs="Arial" w:eastAsia="Arial" w:hAnsi="Arial"/>
                <w:sz w:val="18"/>
                <w:szCs w:val="18"/>
                <w:color w:val="auto"/>
              </w:rPr>
              <w:t>December 31, 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(4,218)</w:t>
            </w:r>
          </w:p>
        </w:tc>
      </w:tr>
      <w:tr>
        <w:trPr>
          <w:trHeight w:val="223"/>
        </w:trPr>
        <w:tc>
          <w:tcPr>
            <w:tcW w:w="7500" w:type="dxa"/>
            <w:vAlign w:val="bottom"/>
            <w:gridSpan w:val="2"/>
          </w:tcPr>
          <w:p>
            <w:pPr>
              <w:ind w:left="720"/>
              <w:spacing w:after="0"/>
              <w:rPr>
                <w:sz w:val="20"/>
                <w:szCs w:val="20"/>
                <w:color w:val="auto"/>
              </w:rPr>
            </w:pPr>
            <w:r>
              <w:rPr>
                <w:rFonts w:ascii="Arial" w:cs="Arial" w:eastAsia="Arial" w:hAnsi="Arial"/>
                <w:sz w:val="18"/>
                <w:szCs w:val="18"/>
                <w:color w:val="auto"/>
              </w:rPr>
              <w:t>Total Community Health Systems, Inc. stockholders’ deficit</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9"/>
                <w:szCs w:val="19"/>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Noncontrolling interests in equity of consolidated subsidiaries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Total stockholders</w:t>
            </w:r>
            <w:r>
              <w:rPr>
                <w:rFonts w:ascii="Arial" w:cs="Arial" w:eastAsia="Arial" w:hAnsi="Arial"/>
                <w:sz w:val="18"/>
                <w:szCs w:val="18"/>
                <w:color w:val="auto"/>
              </w:rPr>
              <w:t>’</w:t>
            </w:r>
            <w:r>
              <w:rPr>
                <w:rFonts w:ascii="Arial" w:cs="Arial" w:eastAsia="Arial" w:hAnsi="Arial"/>
                <w:sz w:val="18"/>
                <w:szCs w:val="18"/>
                <w:i w:val="1"/>
                <w:iCs w:val="1"/>
                <w:color w:val="auto"/>
              </w:rPr>
              <w:t xml:space="preserve"> deficit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0"/>
                <w:szCs w:val="20"/>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liabilities and stockholders</w:t>
            </w:r>
            <w:r>
              <w:rPr>
                <w:rFonts w:ascii="Arial" w:cs="Arial" w:eastAsia="Arial" w:hAnsi="Arial"/>
                <w:sz w:val="18"/>
                <w:szCs w:val="18"/>
                <w:color w:val="auto"/>
              </w:rPr>
              <w:t>’</w:t>
            </w:r>
            <w:r>
              <w:rPr>
                <w:rFonts w:ascii="Arial" w:cs="Arial" w:eastAsia="Arial" w:hAnsi="Arial"/>
                <w:sz w:val="18"/>
                <w:szCs w:val="18"/>
                <w:i w:val="1"/>
                <w:iCs w:val="1"/>
                <w:color w:val="auto"/>
              </w:rPr>
              <w:t xml:space="preserve"> deficit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16,415</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15,609</w:t>
            </w:r>
          </w:p>
        </w:tc>
      </w:tr>
      <w:tr>
        <w:trPr>
          <w:trHeight w:val="20"/>
        </w:trPr>
        <w:tc>
          <w:tcPr>
            <w:tcW w:w="12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14, 15 and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1220" w:type="dxa"/>
            <w:vAlign w:val="bottom"/>
            <w:tcBorders>
              <w:bottom w:val="single" w:sz="8" w:color="CCEEFF"/>
            </w:tcBorders>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flows from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Net income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r>
      <w:tr>
        <w:trPr>
          <w:trHeight w:val="216"/>
        </w:trPr>
        <w:tc>
          <w:tcPr>
            <w:tcW w:w="9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9080" w:type="dxa"/>
            <w:vAlign w:val="bottom"/>
            <w:gridSpan w:val="2"/>
          </w:tcPr>
          <w:p>
            <w:pPr>
              <w:ind w:left="720"/>
              <w:spacing w:after="0"/>
              <w:rPr>
                <w:sz w:val="20"/>
                <w:szCs w:val="20"/>
                <w:color w:val="auto"/>
              </w:rPr>
            </w:pPr>
            <w:r>
              <w:rPr>
                <w:rFonts w:ascii="Arial" w:cs="Arial" w:eastAsia="Arial" w:hAnsi="Arial"/>
                <w:sz w:val="18"/>
                <w:szCs w:val="18"/>
                <w:color w:val="auto"/>
              </w:rPr>
              <w:t>Government and other legal settlements and related costs (g)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9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9080" w:type="dxa"/>
            <w:vAlign w:val="bottom"/>
            <w:gridSpan w:val="2"/>
          </w:tcPr>
          <w:p>
            <w:pPr>
              <w:ind w:left="720"/>
              <w:spacing w:after="0"/>
              <w:rPr>
                <w:sz w:val="20"/>
                <w:szCs w:val="20"/>
                <w:color w:val="auto"/>
              </w:rPr>
            </w:pPr>
            <w:r>
              <w:rPr>
                <w:rFonts w:ascii="Arial" w:cs="Arial" w:eastAsia="Arial" w:hAnsi="Arial"/>
                <w:sz w:val="18"/>
                <w:szCs w:val="18"/>
                <w:color w:val="auto"/>
              </w:rPr>
              <w:t>Impairment and loss on sale of businesses, net (f)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r>
      <w:tr>
        <w:trPr>
          <w:trHeight w:val="216"/>
        </w:trPr>
        <w:tc>
          <w:tcPr>
            <w:tcW w:w="9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Loss from early extinguishment of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9080" w:type="dxa"/>
            <w:vAlign w:val="bottom"/>
            <w:gridSpan w:val="2"/>
          </w:tcPr>
          <w:p>
            <w:pPr>
              <w:ind w:left="720"/>
              <w:spacing w:after="0"/>
              <w:rPr>
                <w:sz w:val="20"/>
                <w:szCs w:val="20"/>
                <w:color w:val="auto"/>
              </w:rPr>
            </w:pPr>
            <w:r>
              <w:rPr>
                <w:rFonts w:ascii="Arial" w:cs="Arial" w:eastAsia="Arial" w:hAnsi="Arial"/>
                <w:sz w:val="18"/>
                <w:szCs w:val="18"/>
                <w:color w:val="auto"/>
              </w:rPr>
              <w:t>Other non-cash expenses,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9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1080"/>
              <w:spacing w:after="0"/>
              <w:rPr>
                <w:sz w:val="20"/>
                <w:szCs w:val="20"/>
                <w:color w:val="auto"/>
              </w:rPr>
            </w:pPr>
            <w:r>
              <w:rPr>
                <w:rFonts w:ascii="Arial" w:cs="Arial" w:eastAsia="Arial" w:hAnsi="Arial"/>
                <w:sz w:val="18"/>
                <w:szCs w:val="18"/>
                <w:color w:val="auto"/>
              </w:rPr>
              <w:t>Patient 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90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Supplies, prepaid expenses and 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9080" w:type="dxa"/>
            <w:vAlign w:val="bottom"/>
            <w:gridSpan w:val="2"/>
          </w:tcPr>
          <w:p>
            <w:pPr>
              <w:ind w:left="1080"/>
              <w:spacing w:after="0"/>
              <w:rPr>
                <w:sz w:val="20"/>
                <w:szCs w:val="20"/>
                <w:color w:val="auto"/>
              </w:rPr>
            </w:pPr>
            <w:r>
              <w:rPr>
                <w:rFonts w:ascii="Arial" w:cs="Arial" w:eastAsia="Arial" w:hAnsi="Arial"/>
                <w:sz w:val="18"/>
                <w:szCs w:val="18"/>
                <w:color w:val="auto"/>
              </w:rPr>
              <w:t>Medicare accelerated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Unrecognized pandemic relief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tcPr>
          <w:p>
            <w:pPr>
              <w:ind w:left="1080"/>
              <w:spacing w:after="0"/>
              <w:rPr>
                <w:sz w:val="20"/>
                <w:szCs w:val="20"/>
                <w:color w:val="auto"/>
              </w:rPr>
            </w:pPr>
            <w:r>
              <w:rPr>
                <w:rFonts w:ascii="Arial" w:cs="Arial" w:eastAsia="Arial" w:hAnsi="Arial"/>
                <w:sz w:val="18"/>
                <w:szCs w:val="18"/>
                <w:color w:val="auto"/>
              </w:rPr>
              <w:t>Accounts payable, accrued liabilities and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r>
      <w:tr>
        <w:trPr>
          <w:trHeight w:val="216"/>
        </w:trPr>
        <w:tc>
          <w:tcPr>
            <w:tcW w:w="90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r>
      <w:tr>
        <w:trPr>
          <w:trHeight w:val="115"/>
        </w:trPr>
        <w:tc>
          <w:tcPr>
            <w:tcW w:w="12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Acquisitions of facilities and other related businesses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Proceeds from disposition of hospitals and other ancillary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Purchases of available-for-sale debt securities and equity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sales of available-for-sale debt securities and 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Increase in other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7"/>
        </w:trPr>
        <w:tc>
          <w:tcPr>
            <w:tcW w:w="12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331"/>
        </w:trPr>
        <w:tc>
          <w:tcPr>
            <w:tcW w:w="9080" w:type="dxa"/>
            <w:vAlign w:val="bottom"/>
            <w:gridSpan w:val="2"/>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Repurchase of restricted stock shares for payroll tax withholding requirements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Deferred financing costs and other debt-related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noncontrolling investors in joint ventures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Redemption of noncontrolling investments in joint ventures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noncontrolling investors in joint ventures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Proceeds from sale-lease back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borrowings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Issuance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2,034</w:t>
            </w:r>
          </w:p>
        </w:tc>
      </w:tr>
      <w:tr>
        <w:trPr>
          <w:trHeight w:val="216"/>
        </w:trPr>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ABL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16"/>
        </w:trPr>
        <w:tc>
          <w:tcPr>
            <w:tcW w:w="9080" w:type="dxa"/>
            <w:vAlign w:val="bottom"/>
            <w:gridSpan w:val="2"/>
          </w:tcPr>
          <w:p>
            <w:pPr>
              <w:ind w:left="360"/>
              <w:spacing w:after="0"/>
              <w:rPr>
                <w:sz w:val="20"/>
                <w:szCs w:val="20"/>
                <w:color w:val="auto"/>
              </w:rPr>
            </w:pPr>
            <w:r>
              <w:rPr>
                <w:rFonts w:ascii="Arial" w:cs="Arial" w:eastAsia="Arial" w:hAnsi="Arial"/>
                <w:sz w:val="18"/>
                <w:szCs w:val="18"/>
                <w:color w:val="auto"/>
              </w:rPr>
              <w:t>Repayments of long-term indebtedness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(2,264)</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(2,103)</w:t>
            </w:r>
          </w:p>
        </w:tc>
      </w:tr>
      <w:tr>
        <w:trPr>
          <w:trHeight w:val="27"/>
        </w:trPr>
        <w:tc>
          <w:tcPr>
            <w:tcW w:w="12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r>
      <w:tr>
        <w:trPr>
          <w:trHeight w:val="20"/>
        </w:trPr>
        <w:tc>
          <w:tcPr>
            <w:tcW w:w="12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9080" w:type="dxa"/>
            <w:vAlign w:val="bottom"/>
            <w:gridSpan w:val="2"/>
          </w:tcPr>
          <w:p>
            <w:pPr>
              <w:spacing w:after="0"/>
              <w:rPr>
                <w:sz w:val="20"/>
                <w:szCs w:val="20"/>
                <w:color w:val="auto"/>
              </w:rPr>
            </w:pPr>
            <w:r>
              <w:rPr>
                <w:rFonts w:ascii="Arial" w:cs="Arial" w:eastAsia="Arial" w:hAnsi="Arial"/>
                <w:sz w:val="18"/>
                <w:szCs w:val="18"/>
                <w:i w:val="1"/>
                <w:iCs w:val="1"/>
                <w:color w:val="auto"/>
              </w:rPr>
              <w:t>Net change in cash and cash equivalents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i w:val="1"/>
                <w:iCs w:val="1"/>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14, 15 and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w:t>
      </w:r>
    </w:p>
    <w:p>
      <w:pPr>
        <w:spacing w:after="0" w:line="256" w:lineRule="exact"/>
        <w:rPr>
          <w:sz w:val="20"/>
          <w:szCs w:val="20"/>
          <w:color w:val="auto"/>
        </w:rPr>
      </w:pPr>
    </w:p>
    <w:p>
      <w:pPr>
        <w:ind w:left="424" w:right="10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Both financial and statistical results include the operating results of divested hospitals through the effective closing date of each respective divestiture. Same-store operating results and statistical information exclude the results of a hospital acquired in 2019 and the hospitals divested in 2019 and 2020. There were no discontinued operations reported for 2019 and 2020.</w:t>
      </w:r>
    </w:p>
    <w:p>
      <w:pPr>
        <w:spacing w:after="0" w:line="89"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table provides information needed to calculate earnings (loss) per share, which is adjusted for income attributable to noncontrolling interests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400"/>
              <w:spacing w:after="0"/>
              <w:rPr>
                <w:sz w:val="20"/>
                <w:szCs w:val="20"/>
                <w:color w:val="auto"/>
              </w:rPr>
            </w:pPr>
            <w:r>
              <w:rPr>
                <w:rFonts w:ascii="Arial" w:cs="Arial" w:eastAsia="Arial" w:hAnsi="Arial"/>
                <w:sz w:val="14"/>
                <w:szCs w:val="14"/>
                <w:b w:val="1"/>
                <w:bCs w:val="1"/>
                <w:color w:val="auto"/>
                <w:w w:val="99"/>
              </w:rPr>
              <w:t>June 30,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 attributable to Community Health Systems, Inc. common</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126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 (246)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Income attributable to noncontrolling interests, net of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360"/>
              <w:spacing w:after="0"/>
              <w:rPr>
                <w:sz w:val="20"/>
                <w:szCs w:val="20"/>
                <w:color w:val="auto"/>
              </w:rPr>
            </w:pPr>
            <w:r>
              <w:rPr>
                <w:rFonts w:ascii="Arial" w:cs="Arial" w:eastAsia="Arial" w:hAnsi="Arial"/>
                <w:sz w:val="18"/>
                <w:szCs w:val="18"/>
                <w:color w:val="auto"/>
              </w:rPr>
              <w:t>Net income (loss) attributable to Community Health Systems, Inc. common</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87</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4"/>
              </w:rPr>
              <w:t>$ (285)</w:t>
            </w:r>
          </w:p>
        </w:tc>
        <w:tc>
          <w:tcPr>
            <w:tcW w:w="0" w:type="dxa"/>
            <w:vAlign w:val="bottom"/>
          </w:tcPr>
          <w:p>
            <w:pPr>
              <w:spacing w:after="0"/>
              <w:rPr>
                <w:sz w:val="1"/>
                <w:szCs w:val="1"/>
                <w:color w:val="auto"/>
              </w:rPr>
            </w:pPr>
          </w:p>
        </w:tc>
      </w:tr>
      <w:tr>
        <w:trPr>
          <w:trHeight w:val="230"/>
        </w:trPr>
        <w:tc>
          <w:tcPr>
            <w:tcW w:w="6680" w:type="dxa"/>
            <w:vAlign w:val="bottom"/>
          </w:tcPr>
          <w:p>
            <w:pPr>
              <w:ind w:left="540"/>
              <w:spacing w:after="0"/>
              <w:rPr>
                <w:sz w:val="20"/>
                <w:szCs w:val="20"/>
                <w:color w:val="auto"/>
              </w:rPr>
            </w:pPr>
            <w:r>
              <w:rPr>
                <w:rFonts w:ascii="Arial" w:cs="Arial" w:eastAsia="Arial" w:hAnsi="Arial"/>
                <w:sz w:val="18"/>
                <w:szCs w:val="18"/>
                <w:color w:val="auto"/>
              </w:rPr>
              <w:t>stockholders — basic and diluted</w:t>
            </w:r>
          </w:p>
        </w:tc>
        <w:tc>
          <w:tcPr>
            <w:tcW w:w="12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hanging="424"/>
        <w:spacing w:after="0" w:line="284"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EBITDA is a non-GAAP financial measure which consists of net income (loss) attributable to Community Health Systems, Inc. before interest, income taxes, and depreciation and amortization. Adjusted EBITDA, also a non-GAAP financial measure, is EBITDA adjusted to add back net income attributable to noncontrolling interests and to exclude loss (gain) from early extinguishment of debt, impairment and loss on sale of businesses, expense related to government and other legal settlements and related costs, expense related to employee termination benefits and other restructuring charges, expense from settlement and fair value adjustments on the CVR agreement liability related to the HMA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and clarifies for investors the Company’s portion of EBITDA generated by continuing operations. The Company reports Adjusted EBITDA as a measure of financial performance. Adjusted 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(the “ABL Facility”), which is a key component in the determination of the Company’s compliance with certain covenants under the ABL Facility (including the Company’s ability to service debt and incur capital expenditures), and is used to determine the interest rate and commitment fee payable under the ABL Facility (although Adjusted EBITDA does not include all of the adjustments described in the ABL Facility).</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4"/>
          </w:cols>
          <w:pgMar w:left="436" w:top="274" w:right="45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 (Continued)</w:t>
      </w:r>
    </w:p>
    <w:p>
      <w:pPr>
        <w:spacing w:after="0" w:line="162" w:lineRule="exact"/>
        <w:rPr>
          <w:sz w:val="20"/>
          <w:szCs w:val="20"/>
          <w:color w:val="auto"/>
        </w:rPr>
      </w:pPr>
    </w:p>
    <w:p>
      <w:pPr>
        <w:ind w:left="444" w:right="40"/>
        <w:spacing w:after="0" w:line="296" w:lineRule="auto"/>
        <w:rPr>
          <w:sz w:val="20"/>
          <w:szCs w:val="20"/>
          <w:color w:val="auto"/>
        </w:rPr>
      </w:pPr>
      <w:r>
        <w:rPr>
          <w:rFonts w:ascii="Arial" w:cs="Arial" w:eastAsia="Arial" w:hAnsi="Arial"/>
          <w:sz w:val="16"/>
          <w:szCs w:val="16"/>
          <w:color w:val="auto"/>
        </w:rPr>
        <w:t>Adjusted EBITDA is not a measurement of financial performance under U.S. GAAP. It should not be considered in isolation or as a substitute for net income, operating income, or any other performance measure calculated in accordance with U.S. GAAP. The items excluded from Adjusted EBITDA are significant components in understanding and evaluating financial performance. The Company believes such adjustments are appropriate as the magnitude and frequency of such items can vary significantly and are not related to the assessment of normal operating performance. Additionally, this calculation of Adjusted EBITDA may not be comparable to similarly titled measures reported by other companies.</w:t>
      </w:r>
    </w:p>
    <w:p>
      <w:pPr>
        <w:spacing w:after="0" w:line="53"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The following table reflects the reconciliation of Adjusted EBITDA, as defined, to net income (loss) attributable to Community Health Systems, Inc. stockholders as derived directly from the condensed consolidated financial statements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7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(285)</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(241)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early extinguishment of debt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Impairment and loss on sale of businesses, net</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from government and other legal settlements and related costs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Expense from settlement and legal expenses related to cases covered by the CVR</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related to employee termination benefits and other restructuring charges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Change in valuation allowances recorded for promissory notes</w:t>
            </w:r>
          </w:p>
        </w:tc>
        <w:tc>
          <w:tcPr>
            <w:tcW w:w="100" w:type="dxa"/>
            <w:vAlign w:val="bottom"/>
          </w:tcPr>
          <w:p>
            <w:pPr>
              <w:spacing w:after="0"/>
              <w:rPr>
                <w:sz w:val="18"/>
                <w:szCs w:val="18"/>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 for professional liability claims accrual</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30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table sets forth components reconciling the basic weighted-average number of shares to the diluted weighted-average number of shares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740" w:type="dxa"/>
            <w:vAlign w:val="bottom"/>
          </w:tcPr>
          <w:p>
            <w:pPr>
              <w:spacing w:after="0"/>
              <w:rPr>
                <w:sz w:val="14"/>
                <w:szCs w:val="14"/>
                <w:color w:val="auto"/>
              </w:rPr>
            </w:pPr>
          </w:p>
        </w:tc>
        <w:tc>
          <w:tcPr>
            <w:tcW w:w="1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 basic</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114</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115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114</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Add effect of dilutive securities: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awards and options</w:t>
            </w:r>
          </w:p>
        </w:tc>
        <w:tc>
          <w:tcPr>
            <w:tcW w:w="10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Weighted-average number of shares outstanding - diluted</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115</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114</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115</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114</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line="296" w:lineRule="auto"/>
        <w:rPr>
          <w:sz w:val="20"/>
          <w:szCs w:val="20"/>
          <w:color w:val="auto"/>
        </w:rPr>
      </w:pPr>
      <w:r>
        <w:rPr>
          <w:rFonts w:ascii="Arial" w:cs="Arial" w:eastAsia="Arial" w:hAnsi="Arial"/>
          <w:sz w:val="16"/>
          <w:szCs w:val="16"/>
          <w:color w:val="auto"/>
        </w:rPr>
        <w:t>The effect of restricted stock and stock option awards on the diluted shares calculation was an increase of 41,253 shares and 59,533 shares during the three and six months ended June 30, 2020, respectively. The Company generated a net loss attributable to Community Health Systems, Inc. common stockholders for the three and six months ended June 30, 2019, so the effect of dilutive securities is not considered because their effect would be antidilutive. If the Company had generated net income during the three and six months ended June 30, 2019, the effect of restricted stock and stock option awards on the diluted shares calculation would have been an increase in shares of 30,472 and 44,867, respectively.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4"/>
          </w:cols>
          <w:pgMar w:left="436" w:top="274"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 (Continued)</w:t>
      </w:r>
    </w:p>
    <w:p>
      <w:pPr>
        <w:spacing w:after="0" w:line="162" w:lineRule="exact"/>
        <w:rPr>
          <w:sz w:val="20"/>
          <w:szCs w:val="20"/>
          <w:color w:val="auto"/>
        </w:rPr>
      </w:pPr>
    </w:p>
    <w:p>
      <w:pPr>
        <w:ind w:left="424" w:hanging="424"/>
        <w:spacing w:after="0" w:line="272"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supplemental table reconciles net income (loss) attributable to Community Health Systems, Inc. common stockholders, as reported, on a per share (diluted) basis, to net income (loss) attributable to Community Health Systems, Inc. common stockholders per share (diluted) with the adjustments described herein (total per share amounts may not add due to rounding). The Company believes that the presentation of non-GAAP adjusted net income (loss) attributable to Community Health Systems, Inc. common stockholders per share (diluted) presents useful information to investors by highlighting the impact on net income (loss) attributable to Community Health Systems, Inc. common stockholders per share (diluted) of selected items used in calculating Adjusted EBITDA which may not reflect the Company’s underlying operating performance and assisting in comparing the Company’s results of operations between periods.</w:t>
      </w:r>
    </w:p>
    <w:p>
      <w:pPr>
        <w:spacing w:after="0" w:line="18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2020</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1"/>
              </w:rPr>
              <w:t>0.61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$ 0.76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early extinguishment of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Impairment and loss on sale of businesses, net</w:t>
            </w:r>
          </w:p>
        </w:tc>
        <w:tc>
          <w:tcPr>
            <w:tcW w:w="10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0.19</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0.50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from government and other legal settlements and related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0.01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Expense from settlement and legal expenses related to cases covered by the CVR</w:t>
            </w: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0.01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related to employee termination benefits and other restructuring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0.04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Change in valuation allowances recorded for promissory notes</w:t>
            </w: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estimate for professional liabilty claims accrual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Change in tax valuation allowance</w:t>
            </w: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excluding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0.85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20" w:hanging="424"/>
        <w:spacing w:after="0" w:line="272"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Both income from operations and net income (loss) for the three months ended June 30, 2020 and 2019, included non-cash expense of approximately $10 million and $33 million, respectively, primarily from impairment charges to reduce the value of long-lived assets, including allocated goodwill, at hospitals that the Company has identified for sale or has sold, and at certain underperforming hospitals. Both income from operations and net income (loss) for the six months ended June 30, 2020 and 2019, included non-cash expense of approximately $56 million and $71 million, respectively, primarily from impairment charges to reduce the value of long-lived assets, including allocated goodwill, at hospitals that the Company has identified for sale or has sold, and at certain underperforming hospitals. These impairment charges do not have an impact on the calculation of the Company’s financial covenants under the ABL Facility.</w:t>
      </w:r>
    </w:p>
    <w:p>
      <w:pPr>
        <w:spacing w:after="0" w:line="82" w:lineRule="exact"/>
        <w:rPr>
          <w:rFonts w:ascii="Arial" w:cs="Arial" w:eastAsia="Arial" w:hAnsi="Arial"/>
          <w:sz w:val="17"/>
          <w:szCs w:val="17"/>
          <w:color w:val="auto"/>
        </w:rPr>
      </w:pPr>
    </w:p>
    <w:p>
      <w:pPr>
        <w:ind w:left="424" w:right="80" w:hanging="424"/>
        <w:spacing w:after="0" w:line="25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$(0.01) per share (diluted) and $(0.03) per share (diluted) of expense for “Government and other legal settlements and related costs” for the three months ended June 30, 2020 and 2019, respectively, is the net impact of several lawsuits settled in principle during the related periods, and related legal expenses. The $(0.03) per share (diluted) and $(0.06) per share (diluted) of expense for “Government and other legal settlements and related costs” for the six months ended June 30, 2020 and 2019, respectively, is the net impact of several lawsuits settled in principle during the related periods, and related legal expenses.</w:t>
      </w:r>
    </w:p>
    <w:p>
      <w:pPr>
        <w:spacing w:after="0" w:line="93" w:lineRule="exact"/>
        <w:rPr>
          <w:rFonts w:ascii="Arial" w:cs="Arial" w:eastAsia="Arial" w:hAnsi="Arial"/>
          <w:sz w:val="18"/>
          <w:szCs w:val="18"/>
          <w:color w:val="auto"/>
        </w:rPr>
      </w:pPr>
    </w:p>
    <w:p>
      <w:pPr>
        <w:ind w:left="424" w:right="460" w:hanging="424"/>
        <w:spacing w:after="0" w:line="342"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June 30, 2020, the Company had no outstanding borrowings and approximately $434 million of borrowing capacity (after taking into consideration $180 million of outstanding letters of credit) under the ABL Facility, with the ability to increase borrowings up to $1.0 billion.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4"/>
          </w:cols>
          <w:pgMar w:left="436" w:top="27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Section 21E of the Securities Exchange Act of 1934, as amended, and the Private Securities Litigation Reform Act of 1995 that involve risk and uncertainties. All statements in this press release other than statements of historical fact, including statements regarding expected operating results, and other events that depend upon or refer to future events or conditions or that include words such as “expects,” “anticipates,” “intends,” “plans,” “believes,” “estimates,” “thinks,” and similar expressions, are forward-looking statements. Although the Company believes that these forward-looking statements are based on reasonable assumptions, these assumptions are inherently subject to significant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A number of factors could affect the future results of the Company or the healthcare industry generally and could cause the Company’s expected results to differ materially from those expressed in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 things:</w:t>
      </w:r>
    </w:p>
    <w:p>
      <w:pPr>
        <w:spacing w:after="0" w:line="131" w:lineRule="exact"/>
        <w:rPr>
          <w:sz w:val="20"/>
          <w:szCs w:val="20"/>
          <w:color w:val="auto"/>
        </w:rPr>
      </w:pPr>
    </w:p>
    <w:p>
      <w:pPr>
        <w:ind w:left="960" w:right="160" w:hanging="424"/>
        <w:spacing w:after="0" w:line="296"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developments related to COVID-19, including, without limitation, related to the length and severity of the pandemic; the volume of canceled or rescheduled procedures; the volume of COVID-19 patients cared for across our health systems; the timing and availability of effective medical treatments and vaccines; measures we are taking to respond to the COVID-19 pandemic; the impact of government and administrative regulation on us; changes in net revenue due to patient volumes, payor mix and negative macroeconomic conditions; increased expenses related to labor, supply chain or other expenditures; workforce disruptions; and supply shortages and disruptions;</w:t>
      </w:r>
    </w:p>
    <w:p>
      <w:pPr>
        <w:spacing w:after="0" w:line="66" w:lineRule="exact"/>
        <w:rPr>
          <w:rFonts w:ascii="Arial" w:cs="Arial" w:eastAsia="Arial" w:hAnsi="Arial"/>
          <w:sz w:val="16"/>
          <w:szCs w:val="16"/>
          <w:color w:val="auto"/>
        </w:rPr>
      </w:pPr>
    </w:p>
    <w:p>
      <w:pPr>
        <w:ind w:left="960" w:right="720" w:hanging="424"/>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uncertainty regarding the implementation of the CARES Act, the PPPHCE Act, and any other future stimulus measures related to COVID-19, including the magnitude and timing of any future payments or benefits we may receive or realize thereunder;</w:t>
      </w:r>
    </w:p>
    <w:p>
      <w:pPr>
        <w:spacing w:after="0" w:line="29" w:lineRule="exact"/>
        <w:rPr>
          <w:rFonts w:ascii="Arial" w:cs="Arial" w:eastAsia="Arial" w:hAnsi="Arial"/>
          <w:sz w:val="16"/>
          <w:szCs w:val="16"/>
          <w:color w:val="auto"/>
        </w:rPr>
      </w:pPr>
    </w:p>
    <w:p>
      <w:pPr>
        <w:ind w:left="960" w:right="5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economic and business conditions resulting from the COVID-19 pandemic;</w:t>
      </w:r>
    </w:p>
    <w:p>
      <w:pPr>
        <w:spacing w:after="0" w:line="75"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current or future federal and state health reform initiatives, including, without limitation, the Affordable Care Act, and the potential for the Affordable Care Act to be repealed or found unconstitutional or otherwise invalidated, or for additional changes to the law, its implementation or its interpretation (including through executive orders and court challenges);</w:t>
      </w:r>
    </w:p>
    <w:p>
      <w:pPr>
        <w:spacing w:after="0" w:line="89"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and manner in which states support increases, decreases or changes in Medicaid programs, implement health insurance exchanges or alter the provision of healthcare to state residents through regulation or otherwise;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future and long-term viability of health insurance exchanges and potential changes to the beneficiary enrollment process;</w:t>
      </w:r>
    </w:p>
    <w:p>
      <w:pPr>
        <w:spacing w:after="0" w:line="130" w:lineRule="exact"/>
        <w:rPr>
          <w:rFonts w:ascii="Arial" w:cs="Arial" w:eastAsia="Arial" w:hAnsi="Arial"/>
          <w:sz w:val="18"/>
          <w:szCs w:val="18"/>
          <w:color w:val="auto"/>
        </w:rPr>
      </w:pPr>
    </w:p>
    <w:p>
      <w:pPr>
        <w:ind w:left="960" w:right="100" w:hanging="424"/>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 as well as risks associated with disruptions in the financial and capital markets as the result of the COVID-19 pandemic which could impact us from a financing and liquidity perspective;</w:t>
      </w:r>
    </w:p>
    <w:p>
      <w:pPr>
        <w:spacing w:after="0" w:line="92"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the failure to comply with, federal, state or local laws or governmental regulations affecting our business, including any such laws or governmental regulations which are adopted in connection with the COVID-19 pandemic;</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adverse impact of known and unknown government investigations, audits, and federal and state false claims act litigation and other legal proceedings;</w:t>
      </w:r>
    </w:p>
    <w:p>
      <w:pPr>
        <w:spacing w:after="0" w:line="75" w:lineRule="exact"/>
        <w:rPr>
          <w:rFonts w:ascii="Arial" w:cs="Arial" w:eastAsia="Arial" w:hAnsi="Arial"/>
          <w:sz w:val="18"/>
          <w:szCs w:val="18"/>
          <w:color w:val="auto"/>
        </w:rPr>
      </w:pPr>
    </w:p>
    <w:p>
      <w:pPr>
        <w:ind w:left="960" w:right="26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pacing w:after="0" w:line="89"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the failure to comply with, contract terms with payors and changes in reimbursement policies or rates paid by federal or state healthcare programs or commercial payors;</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potential additional impairments in the carrying value of goodwill, other intangible assets, or other long-lived assets, or changes in the useful lives of other intangible assets;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CYH Announces Second Quarter 2020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143" w:lineRule="exact"/>
        <w:rPr>
          <w:sz w:val="20"/>
          <w:szCs w:val="20"/>
          <w:color w:val="auto"/>
        </w:rPr>
      </w:pPr>
    </w:p>
    <w:p>
      <w:pPr>
        <w:ind w:left="960" w:right="2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related to the continued implementation of the sequestration spending reductions and the potential for future deficit reduction legislation;</w:t>
      </w:r>
    </w:p>
    <w:p>
      <w:pPr>
        <w:spacing w:after="0" w:line="75"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spacing w:after="0" w:line="89"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75"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wages as a result of inflation or competition for highly technical positions and rising supply and drug costs due to market pressure from pharmaceutical companies and new product releases;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malpractice claims;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at reasonable employment costs, qualified personnel, key management, physicians, nurses and other healthcare workers;</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terms of capital to fund any additional acquisitions or replacement facilities or other capital expenditures;</w:t>
      </w:r>
    </w:p>
    <w:p>
      <w:pPr>
        <w:spacing w:after="0" w:line="130" w:lineRule="exact"/>
        <w:rPr>
          <w:rFonts w:ascii="Arial" w:cs="Arial" w:eastAsia="Arial" w:hAnsi="Arial"/>
          <w:sz w:val="18"/>
          <w:szCs w:val="18"/>
          <w:color w:val="auto"/>
        </w:rPr>
      </w:pPr>
    </w:p>
    <w:p>
      <w:pPr>
        <w:ind w:left="960" w:right="160" w:hanging="424"/>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including the disposition of hospitals and non-hospital businesses pursuant to our portfolio rationalization and deleveraging strategy,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92"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any acquired hospitals, or to recognize expected synergies from acquisitions;</w:t>
      </w:r>
    </w:p>
    <w:p>
      <w:pPr>
        <w:spacing w:after="0" w:line="130"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seasonal severe weather conditions, including the timing and amount of insurance recoveries in relation to severe weather events;</w:t>
      </w:r>
    </w:p>
    <w:p>
      <w:pPr>
        <w:spacing w:after="0" w:line="75"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adequate levels of insurance, including general liability, professional liability, and directors and officers liability insurance;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effects related to pandemics, epidemics, or outbreaks of infectious diseases, including the novel coronavirus causing the disease known as COVID-19 as noted above;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cyber-attacks or security breaches;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comply with the terms of the Corporate Integrity Agreement;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realize anticipated cost savings and other benefits from our current strategic and operational cost savings initiatives;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interpretations, assumptions and expectations regarding the Tax Cuts and Jobs Act; and</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other risk factors set forth in our in our Annual Report on Form 10-K for the year ended December 31, 2019, filed with the Securities and Exchange Commission on February 20, 2020, our Quarterly Report on Form 10-Q for the three months ended March 31, 2020, filed on April 29, 2020, and other public filings with the Securities and Exchange Commission.</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consolidated operating results for the three and six months ended June 30, 2020, are not necessarily indicative of the results that may be experienced for any future periods. The Company undertakes no obligation to revise or update any forward-looking statements, or to make any other forward-looking statements, whether as a result of new information, future events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2020-07-28T15:24:01Z</dcterms:created>
  <dcterms:modified xsi:type="dcterms:W3CDTF">2020-07-28T15:24:01Z</dcterms:modified>
</cp:coreProperties>
</file>