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50.jpeg" ContentType="image/jpeg"/>
  <Override PartName="/word/media/image49.jpeg" ContentType="image/jpeg"/>
  <Override PartName="/word/media/image48.jpeg" ContentType="image/jpeg"/>
  <Override PartName="/word/media/image47.jpeg" ContentType="image/jpeg"/>
  <Override PartName="/word/media/image59.jpeg" ContentType="image/jpeg"/>
  <Override PartName="/word/media/image16.jpeg" ContentType="image/jpeg"/>
  <Override PartName="/word/media/image46.jpeg" ContentType="image/jpeg"/>
  <Override PartName="/word/media/image58.jpeg" ContentType="image/jpeg"/>
  <Override PartName="/word/media/image15.jpeg" ContentType="image/jpeg"/>
  <Override PartName="/word/media/image45.jpeg" ContentType="image/jpeg"/>
  <Override PartName="/word/media/image57.jpeg" ContentType="image/jpeg"/>
  <Override PartName="/word/media/image14.jpeg" ContentType="image/jpeg"/>
  <Override PartName="/word/media/image44.jpeg" ContentType="image/jpeg"/>
  <Override PartName="/word/media/image56.jpeg" ContentType="image/jpeg"/>
  <Override PartName="/word/media/image13.jpeg" ContentType="image/jpeg"/>
  <Override PartName="/word/media/image43.jpeg" ContentType="image/jpeg"/>
  <Override PartName="/word/media/image55.jpeg" ContentType="image/jpeg"/>
  <Override PartName="/word/media/image12.jpeg" ContentType="image/jpeg"/>
  <Override PartName="/word/media/image42.jpeg" ContentType="image/jpeg"/>
  <Override PartName="/word/media/image54.jpeg" ContentType="image/jpeg"/>
  <Override PartName="/word/media/image11.jpeg" ContentType="image/jpeg"/>
  <Override PartName="/word/media/image22.jpeg" ContentType="image/jpeg"/>
  <Override PartName="/word/media/image6.jpeg" ContentType="image/jpeg"/>
  <Override PartName="/word/media/image36.jpeg" ContentType="image/jpeg"/>
  <Override PartName="/word/media/image4.jpeg" ContentType="image/jpeg"/>
  <Override PartName="/word/media/image20.jpeg" ContentType="image/jpeg"/>
  <Override PartName="/word/media/image53.jpeg" ContentType="image/jpeg"/>
  <Override PartName="/word/media/image10.jpeg" ContentType="image/jpeg"/>
  <Override PartName="/word/media/image21.jpeg" ContentType="image/jpeg"/>
  <Override PartName="/word/media/image37.jpeg" ContentType="image/jpeg"/>
  <Override PartName="/word/media/image5.jpeg" ContentType="image/jpeg"/>
  <Override PartName="/word/media/image35.jpeg" ContentType="image/jpeg"/>
  <Override PartName="/word/media/image3.jpeg" ContentType="image/jpeg"/>
  <Override PartName="/word/media/image7.jpeg" ContentType="image/jpeg"/>
  <Override PartName="/word/media/image23.jpeg" ContentType="image/jpeg"/>
  <Override PartName="/word/media/image8.jpeg" ContentType="image/jpeg"/>
  <Override PartName="/word/media/image24.jpeg" ContentType="image/jpeg"/>
  <Override PartName="/word/media/image9.jpeg" ContentType="image/jpeg"/>
  <Override PartName="/word/media/image25.jpeg" ContentType="image/jpeg"/>
  <Override PartName="/word/media/image26.jpeg" ContentType="image/jpeg"/>
  <Override PartName="/word/media/image40.jpeg" ContentType="image/jpeg"/>
  <Override PartName="/word/media/image27.jpeg" ContentType="image/jpeg"/>
  <Override PartName="/word/media/image41.jpeg" ContentType="image/jpeg"/>
  <Override PartName="/word/media/image28.jpeg" ContentType="image/jpeg"/>
  <Override PartName="/word/media/image29.jpeg" ContentType="image/jpeg"/>
  <Override PartName="/word/media/image17.jpeg" ContentType="image/jpeg"/>
  <Override PartName="/word/media/image30.jpeg" ContentType="image/jpeg"/>
  <Override PartName="/word/media/image18.jpeg" ContentType="image/jpeg"/>
  <Override PartName="/word/media/image31.jpeg" ContentType="image/jpeg"/>
  <Override PartName="/word/media/image19.jpeg" ContentType="image/jpeg"/>
  <Override PartName="/word/media/image32.jpeg" ContentType="image/jpeg"/>
  <Override PartName="/word/media/image1.jpeg" ContentType="image/jpeg"/>
  <Override PartName="/word/media/image33.jpeg" ContentType="image/jpeg"/>
  <Override PartName="/word/media/image2.jpeg" ContentType="image/jpeg"/>
  <Override PartName="/word/media/image34.jpeg" ContentType="image/jpeg"/>
  <Override PartName="/word/media/image51.jpeg" ContentType="image/jpeg"/>
  <Override PartName="/word/media/image38.jpeg" ContentType="image/jpeg"/>
  <Override PartName="/word/media/image52.jpeg" ContentType="image/jpeg"/>
  <Override PartName="/word/media/image39.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lineRule="atLeast" w:line="141" w:before="0" w:after="0"/>
        <w:jc w:val="left"/>
        <w:rPr>
          <w:highlight w:val="white"/>
          <w:bdr w:val="single" w:sz="2" w:space="1" w:color="000000"/>
        </w:rPr>
      </w:pPr>
      <w:bookmarkStart w:id="0" w:name="d360141ddef14a.htm"/>
      <w:bookmarkStart w:id="1" w:name="ksd360141ddef14a"/>
      <w:bookmarkEnd w:id="0"/>
      <w:bookmarkEnd w:id="1"/>
      <w:r>
        <w:rPr>
          <w:highlight w:val="white"/>
          <w:bdr w:val="single" w:sz="2" w:space="1" w:color="000000"/>
        </w:rPr>
        <w:t> </w:t>
      </w:r>
    </w:p>
    <w:p>
      <w:pPr>
        <w:pStyle w:val="TextBody"/>
        <w:spacing w:lineRule="atLeast" w:line="141" w:before="0" w:after="40"/>
        <w:jc w:val="left"/>
        <w:rPr>
          <w:highlight w:val="white"/>
          <w:bdr w:val="single" w:sz="2" w:space="1" w:color="000000"/>
        </w:rPr>
      </w:pPr>
      <w:r>
        <w:rPr>
          <w:highlight w:val="white"/>
          <w:bdr w:val="single" w:sz="2" w:space="1" w:color="000000"/>
        </w:rPr>
        <w:t> </w:t>
      </w:r>
    </w:p>
    <w:p>
      <w:pPr>
        <w:pStyle w:val="TextBody"/>
        <w:spacing w:before="120" w:after="0"/>
        <w:jc w:val="center"/>
        <w:rPr>
          <w:rFonts w:ascii="ARIAL" w:hAnsi="ARIAL"/>
          <w:b/>
          <w:sz w:val="36"/>
          <w:highlight w:val="white"/>
        </w:rPr>
      </w:pPr>
      <w:r>
        <w:rPr>
          <w:rFonts w:ascii="ARIAL" w:hAnsi="ARIAL"/>
          <w:b/>
          <w:sz w:val="36"/>
          <w:highlight w:val="white"/>
        </w:rPr>
        <w:t xml:space="preserve">UNITED STATES </w:t>
      </w:r>
    </w:p>
    <w:p>
      <w:pPr>
        <w:pStyle w:val="TextBody"/>
        <w:spacing w:before="0" w:after="0"/>
        <w:jc w:val="center"/>
        <w:rPr>
          <w:rFonts w:ascii="ARIAL" w:hAnsi="ARIAL"/>
          <w:b/>
          <w:sz w:val="36"/>
          <w:highlight w:val="white"/>
        </w:rPr>
      </w:pPr>
      <w:r>
        <w:rPr>
          <w:rFonts w:ascii="ARIAL" w:hAnsi="ARIAL"/>
          <w:b/>
          <w:sz w:val="36"/>
          <w:highlight w:val="white"/>
        </w:rPr>
        <w:t xml:space="preserve">SECURITIES AND EXCHANGE COMMISSION </w:t>
      </w:r>
    </w:p>
    <w:p>
      <w:pPr>
        <w:pStyle w:val="TextBody"/>
        <w:spacing w:before="0" w:after="0"/>
        <w:jc w:val="center"/>
        <w:rPr>
          <w:rFonts w:ascii="ARIAL" w:hAnsi="ARIAL"/>
          <w:b/>
          <w:sz w:val="24"/>
          <w:highlight w:val="white"/>
        </w:rPr>
      </w:pPr>
      <w:r>
        <w:rPr>
          <w:rFonts w:ascii="ARIAL" w:hAnsi="ARIAL"/>
          <w:b/>
          <w:sz w:val="24"/>
          <w:highlight w:val="white"/>
        </w:rPr>
        <w:t xml:space="preserve">Washington, D.C. 20549 </w:t>
      </w:r>
    </w:p>
    <w:p>
      <w:pPr>
        <w:pStyle w:val="TextBody"/>
        <w:spacing w:before="0" w:after="0"/>
        <w:jc w:val="left"/>
        <w:rPr>
          <w:highlight w:val="white"/>
        </w:rPr>
      </w:pPr>
      <w:r>
        <w:rPr>
          <w:highlight w:val="white"/>
        </w:rPr>
        <w:t> </w:t>
      </w:r>
    </w:p>
    <w:p>
      <w:pPr>
        <w:pStyle w:val="TextBody"/>
        <w:spacing w:lineRule="atLeast" w:line="141" w:before="0" w:after="40"/>
        <w:jc w:val="center"/>
        <w:rPr>
          <w:highlight w:val="white"/>
          <w:bdr w:val="single" w:sz="8" w:space="1" w:color="000000"/>
        </w:rPr>
      </w:pPr>
      <w:r>
        <w:rPr>
          <w:highlight w:val="white"/>
          <w:bdr w:val="single" w:sz="8" w:space="1" w:color="000000"/>
        </w:rPr>
        <w:t> </w:t>
      </w:r>
    </w:p>
    <w:p>
      <w:pPr>
        <w:pStyle w:val="TextBody"/>
        <w:spacing w:before="120" w:after="0"/>
        <w:jc w:val="center"/>
        <w:rPr>
          <w:rFonts w:ascii="ARIAL" w:hAnsi="ARIAL"/>
          <w:b/>
          <w:sz w:val="36"/>
          <w:highlight w:val="white"/>
        </w:rPr>
      </w:pPr>
      <w:r>
        <w:rPr>
          <w:rFonts w:ascii="ARIAL" w:hAnsi="ARIAL"/>
          <w:b/>
          <w:sz w:val="36"/>
          <w:highlight w:val="white"/>
        </w:rPr>
        <w:t xml:space="preserve">SCHEDULE 14A </w:t>
      </w:r>
    </w:p>
    <w:p>
      <w:pPr>
        <w:pStyle w:val="TextBody"/>
        <w:spacing w:before="120" w:after="0"/>
        <w:jc w:val="center"/>
        <w:rPr>
          <w:rFonts w:ascii="ARIAL" w:hAnsi="ARIAL"/>
          <w:b/>
          <w:sz w:val="24"/>
          <w:highlight w:val="white"/>
        </w:rPr>
      </w:pPr>
      <w:r>
        <w:rPr>
          <w:rFonts w:ascii="ARIAL" w:hAnsi="ARIAL"/>
          <w:b/>
          <w:sz w:val="24"/>
          <w:highlight w:val="white"/>
        </w:rPr>
        <w:t xml:space="preserve">Proxy Statement Pursuant to Section 14(a) of the </w:t>
      </w:r>
    </w:p>
    <w:p>
      <w:pPr>
        <w:pStyle w:val="TextBody"/>
        <w:spacing w:before="0" w:after="0"/>
        <w:jc w:val="center"/>
        <w:rPr>
          <w:rFonts w:ascii="ARIAL" w:hAnsi="ARIAL"/>
          <w:b/>
          <w:sz w:val="24"/>
          <w:highlight w:val="white"/>
        </w:rPr>
      </w:pPr>
      <w:r>
        <w:rPr>
          <w:rFonts w:ascii="ARIAL" w:hAnsi="ARIAL"/>
          <w:b/>
          <w:sz w:val="24"/>
          <w:highlight w:val="white"/>
        </w:rPr>
        <w:t xml:space="preserve">Securities Exchange Act of 1934 </w:t>
      </w:r>
    </w:p>
    <w:p>
      <w:pPr>
        <w:pStyle w:val="TextBody"/>
        <w:spacing w:before="0" w:after="0"/>
        <w:jc w:val="left"/>
        <w:rPr>
          <w:highlight w:val="white"/>
        </w:rPr>
      </w:pPr>
      <w:r>
        <w:rPr>
          <w:highlight w:val="white"/>
        </w:rPr>
        <w:t> </w:t>
      </w:r>
    </w:p>
    <w:p>
      <w:pPr>
        <w:pStyle w:val="TextBody"/>
        <w:spacing w:lineRule="atLeast" w:line="141" w:before="0" w:after="40"/>
        <w:jc w:val="center"/>
        <w:rPr>
          <w:highlight w:val="white"/>
          <w:bdr w:val="single" w:sz="8" w:space="1" w:color="000000"/>
        </w:rPr>
      </w:pPr>
      <w:r>
        <w:rPr>
          <w:highlight w:val="white"/>
          <w:bdr w:val="single" w:sz="8" w:space="1" w:color="000000"/>
        </w:rPr>
        <w:t> </w:t>
      </w:r>
    </w:p>
    <w:p>
      <w:pPr>
        <w:pStyle w:val="TextBody"/>
        <w:spacing w:before="120" w:after="0"/>
        <w:jc w:val="left"/>
        <w:rPr>
          <w:rFonts w:ascii="ARIAL" w:hAnsi="ARIAL"/>
          <w:sz w:val="20"/>
          <w:highlight w:val="white"/>
        </w:rPr>
      </w:pPr>
      <w:r>
        <w:rPr>
          <w:rFonts w:ascii="ARIAL" w:hAnsi="ARIAL"/>
          <w:sz w:val="20"/>
          <w:highlight w:val="white"/>
        </w:rPr>
        <w:t>Filed by the Registrant   </w:t>
      </w:r>
    </w:p>
    <w:p>
      <w:pPr>
        <w:pStyle w:val="TextBody"/>
        <w:spacing w:before="120" w:after="0"/>
        <w:jc w:val="left"/>
        <w:rPr>
          <w:spacing w:val="0"/>
          <w:highlight w:val="white"/>
        </w:rPr>
      </w:pPr>
      <w:r>
        <w:rPr>
          <w:spacing w:val="0"/>
          <w:highlight w:val="white"/>
        </w:rPr>
        <w:t>☒</w:t>
      </w:r>
    </w:p>
    <w:p>
      <w:pPr>
        <w:pStyle w:val="TextBody"/>
        <w:spacing w:before="120" w:after="0"/>
        <w:jc w:val="left"/>
        <w:rPr>
          <w:highlight w:val="white"/>
        </w:rPr>
      </w:pPr>
      <w:r>
        <w:rPr>
          <w:highlight w:val="white"/>
        </w:rPr>
        <w:t xml:space="preserve">                             </w:t>
      </w:r>
      <w:r>
        <w:rPr>
          <w:rFonts w:ascii="ARIAL" w:hAnsi="ARIAL"/>
          <w:sz w:val="20"/>
          <w:highlight w:val="white"/>
        </w:rPr>
        <w:t>Filed by a party other than the Registrant   </w:t>
      </w:r>
    </w:p>
    <w:p>
      <w:pPr>
        <w:pStyle w:val="TextBody"/>
        <w:spacing w:before="120" w:after="0"/>
        <w:jc w:val="left"/>
        <w:rPr>
          <w:spacing w:val="0"/>
          <w:highlight w:val="white"/>
        </w:rPr>
      </w:pPr>
      <w:r>
        <w:rPr>
          <w:spacing w:val="0"/>
          <w:highlight w:val="white"/>
        </w:rPr>
        <w:t>☐</w:t>
      </w:r>
    </w:p>
    <w:p>
      <w:pPr>
        <w:pStyle w:val="TextBody"/>
        <w:spacing w:before="120" w:after="0"/>
        <w:jc w:val="left"/>
        <w:rPr>
          <w:rFonts w:ascii="ARIAL" w:hAnsi="ARIAL"/>
          <w:sz w:val="20"/>
          <w:highlight w:val="white"/>
        </w:rPr>
      </w:pPr>
      <w:r>
        <w:rPr>
          <w:rFonts w:ascii="ARIAL" w:hAnsi="ARIAL"/>
          <w:sz w:val="20"/>
          <w:highlight w:val="white"/>
        </w:rPr>
        <w:t xml:space="preserve">Check the appropriate box: </w:t>
      </w:r>
    </w:p>
    <w:p>
      <w:pPr>
        <w:pStyle w:val="TextBody"/>
        <w:spacing w:before="0" w:after="0"/>
        <w:jc w:val="left"/>
        <w:rPr>
          <w:highlight w:val="white"/>
        </w:rPr>
      </w:pPr>
      <w:r>
        <w:rPr>
          <w:highlight w:val="white"/>
        </w:rPr>
        <w:t> </w:t>
      </w:r>
    </w:p>
    <w:tbl>
      <w:tblPr>
        <w:tblW w:w="3310" w:type="dxa"/>
        <w:jc w:val="left"/>
        <w:tblInd w:w="0" w:type="dxa"/>
        <w:tblCellMar>
          <w:top w:w="0" w:type="dxa"/>
          <w:left w:w="0" w:type="dxa"/>
          <w:bottom w:w="0" w:type="dxa"/>
          <w:right w:w="0" w:type="dxa"/>
        </w:tblCellMar>
      </w:tblPr>
      <w:tblGrid>
        <w:gridCol w:w="245"/>
        <w:gridCol w:w="60"/>
        <w:gridCol w:w="3005"/>
      </w:tblGrid>
      <w:tr>
        <w:trPr/>
        <w:tc>
          <w:tcPr>
            <w:tcW w:w="24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005" w:type="dxa"/>
            <w:tcBorders/>
            <w:shd w:fill="auto" w:val="clear"/>
            <w:vAlign w:val="center"/>
          </w:tcPr>
          <w:p>
            <w:pPr>
              <w:pStyle w:val="TableContents"/>
              <w:spacing w:before="0" w:after="283"/>
              <w:rPr>
                <w:sz w:val="4"/>
                <w:szCs w:val="4"/>
              </w:rPr>
            </w:pPr>
            <w:r>
              <w:rPr>
                <w:sz w:val="4"/>
                <w:szCs w:val="4"/>
              </w:rPr>
            </w:r>
          </w:p>
        </w:tc>
      </w:tr>
      <w:tr>
        <w:trPr/>
        <w:tc>
          <w:tcPr>
            <w:tcW w:w="245" w:type="dxa"/>
            <w:tcBorders/>
            <w:shd w:fill="auto" w:val="clear"/>
            <w:vAlign w:val="center"/>
          </w:tcPr>
          <w:p>
            <w:pPr>
              <w:pStyle w:val="TableContents"/>
              <w:spacing w:before="0" w:after="0"/>
              <w:rPr>
                <w:spacing w:val="0"/>
              </w:rPr>
            </w:pPr>
            <w:r>
              <w:rPr>
                <w:spacing w:val="0"/>
              </w:rPr>
              <w:t>☐</w:t>
            </w:r>
          </w:p>
        </w:tc>
        <w:tc>
          <w:tcPr>
            <w:tcW w:w="60" w:type="dxa"/>
            <w:tcBorders/>
            <w:shd w:fill="auto" w:val="clear"/>
            <w:vAlign w:val="center"/>
          </w:tcPr>
          <w:p>
            <w:pPr>
              <w:pStyle w:val="TableContents"/>
              <w:spacing w:before="0" w:after="283"/>
              <w:rPr/>
            </w:pPr>
            <w:r>
              <w:rPr/>
              <w:t> </w:t>
            </w:r>
          </w:p>
        </w:tc>
        <w:tc>
          <w:tcPr>
            <w:tcW w:w="3005" w:type="dxa"/>
            <w:tcBorders/>
            <w:shd w:fill="auto" w:val="clear"/>
            <w:vAlign w:val="center"/>
          </w:tcPr>
          <w:p>
            <w:pPr>
              <w:pStyle w:val="TableContents"/>
              <w:spacing w:before="0" w:after="283"/>
              <w:rPr/>
            </w:pPr>
            <w:r>
              <w:rPr/>
              <w:t>Preliminary Proxy Statement</w:t>
            </w:r>
          </w:p>
        </w:tc>
      </w:tr>
      <w:tr>
        <w:trPr/>
        <w:tc>
          <w:tcPr>
            <w:tcW w:w="245" w:type="dxa"/>
            <w:tcBorders/>
            <w:shd w:fill="auto" w:val="clear"/>
            <w:vAlign w:val="center"/>
          </w:tcPr>
          <w:p>
            <w:pPr>
              <w:pStyle w:val="TableContents"/>
              <w:spacing w:before="0" w:after="283"/>
              <w:rPr>
                <w:sz w:val="4"/>
                <w:szCs w:val="4"/>
              </w:rPr>
            </w:pPr>
            <w:r>
              <w:rPr>
                <w:sz w:val="4"/>
                <w:szCs w:val="4"/>
              </w:rPr>
            </w:r>
          </w:p>
        </w:tc>
        <w:tc>
          <w:tcPr>
            <w:tcW w:w="3065" w:type="dxa"/>
            <w:gridSpan w:val="2"/>
            <w:tcBorders/>
            <w:shd w:fill="auto" w:val="clear"/>
            <w:vAlign w:val="center"/>
          </w:tcPr>
          <w:p>
            <w:pPr>
              <w:pStyle w:val="TableContents"/>
              <w:spacing w:before="0" w:after="283"/>
              <w:rPr>
                <w:sz w:val="4"/>
                <w:szCs w:val="4"/>
              </w:rPr>
            </w:pPr>
            <w:r>
              <w:rPr>
                <w:sz w:val="4"/>
                <w:szCs w:val="4"/>
              </w:rPr>
            </w:r>
          </w:p>
        </w:tc>
      </w:tr>
      <w:tr>
        <w:trPr/>
        <w:tc>
          <w:tcPr>
            <w:tcW w:w="245" w:type="dxa"/>
            <w:tcBorders/>
            <w:shd w:fill="auto" w:val="clear"/>
            <w:vAlign w:val="center"/>
          </w:tcPr>
          <w:p>
            <w:pPr>
              <w:pStyle w:val="TableContents"/>
              <w:spacing w:before="0" w:after="0"/>
              <w:rPr>
                <w:spacing w:val="0"/>
              </w:rPr>
            </w:pPr>
            <w:r>
              <w:rPr>
                <w:spacing w:val="0"/>
              </w:rPr>
              <w:t>☐</w:t>
            </w:r>
          </w:p>
        </w:tc>
        <w:tc>
          <w:tcPr>
            <w:tcW w:w="60" w:type="dxa"/>
            <w:tcBorders/>
            <w:shd w:fill="auto" w:val="clear"/>
            <w:vAlign w:val="center"/>
          </w:tcPr>
          <w:p>
            <w:pPr>
              <w:pStyle w:val="TableContents"/>
              <w:spacing w:before="0" w:after="283"/>
              <w:rPr/>
            </w:pPr>
            <w:r>
              <w:rPr/>
              <w:t> </w:t>
            </w:r>
          </w:p>
        </w:tc>
        <w:tc>
          <w:tcPr>
            <w:tcW w:w="3005" w:type="dxa"/>
            <w:tcBorders/>
            <w:shd w:fill="auto" w:val="clear"/>
            <w:vAlign w:val="center"/>
          </w:tcPr>
          <w:p>
            <w:pPr>
              <w:pStyle w:val="TableContents"/>
              <w:spacing w:before="0" w:after="0"/>
              <w:rPr/>
            </w:pPr>
            <w:r>
              <w:rPr/>
              <w:t>Confidential, for Use of the Co</w:t>
            </w:r>
          </w:p>
          <w:p>
            <w:pPr>
              <w:pStyle w:val="TableContents"/>
              <w:spacing w:before="0" w:after="0"/>
              <w:rPr/>
            </w:pPr>
            <w:r>
              <w:rPr/>
              <w:t>mmis</w:t>
            </w:r>
          </w:p>
          <w:p>
            <w:pPr>
              <w:pStyle w:val="TableContents"/>
              <w:spacing w:before="0" w:after="0"/>
              <w:rPr/>
            </w:pPr>
            <w:r>
              <w:rPr/>
              <w:t>sion Only (as pe</w:t>
            </w:r>
          </w:p>
          <w:p>
            <w:pPr>
              <w:pStyle w:val="TableContents"/>
              <w:spacing w:before="0" w:after="0"/>
              <w:rPr/>
            </w:pPr>
            <w:r>
              <w:rPr/>
              <w:t>rmitt</w:t>
            </w:r>
          </w:p>
          <w:p>
            <w:pPr>
              <w:pStyle w:val="TableContents"/>
              <w:spacing w:before="0" w:after="0"/>
              <w:rPr/>
            </w:pPr>
            <w:r>
              <w:rPr/>
              <w:t xml:space="preserve">ed by Rule </w:t>
            </w:r>
          </w:p>
          <w:p>
            <w:pPr>
              <w:pStyle w:val="TableContents"/>
              <w:spacing w:before="0" w:after="0"/>
              <w:rPr>
                <w:spacing w:val="0"/>
              </w:rPr>
            </w:pPr>
            <w:r>
              <w:rPr>
                <w:spacing w:val="0"/>
              </w:rPr>
              <w:t>14a-6(e)(2))</w:t>
            </w:r>
          </w:p>
        </w:tc>
      </w:tr>
      <w:tr>
        <w:trPr/>
        <w:tc>
          <w:tcPr>
            <w:tcW w:w="245" w:type="dxa"/>
            <w:tcBorders/>
            <w:shd w:fill="auto" w:val="clear"/>
            <w:vAlign w:val="center"/>
          </w:tcPr>
          <w:p>
            <w:pPr>
              <w:pStyle w:val="TableContents"/>
              <w:spacing w:before="0" w:after="283"/>
              <w:rPr>
                <w:sz w:val="4"/>
                <w:szCs w:val="4"/>
              </w:rPr>
            </w:pPr>
            <w:r>
              <w:rPr>
                <w:sz w:val="4"/>
                <w:szCs w:val="4"/>
              </w:rPr>
            </w:r>
          </w:p>
        </w:tc>
        <w:tc>
          <w:tcPr>
            <w:tcW w:w="3065" w:type="dxa"/>
            <w:gridSpan w:val="2"/>
            <w:tcBorders/>
            <w:shd w:fill="auto" w:val="clear"/>
            <w:vAlign w:val="center"/>
          </w:tcPr>
          <w:p>
            <w:pPr>
              <w:pStyle w:val="TableContents"/>
              <w:spacing w:before="0" w:after="283"/>
              <w:rPr>
                <w:sz w:val="4"/>
                <w:szCs w:val="4"/>
              </w:rPr>
            </w:pPr>
            <w:r>
              <w:rPr>
                <w:sz w:val="4"/>
                <w:szCs w:val="4"/>
              </w:rPr>
            </w:r>
          </w:p>
        </w:tc>
      </w:tr>
      <w:tr>
        <w:trPr/>
        <w:tc>
          <w:tcPr>
            <w:tcW w:w="245" w:type="dxa"/>
            <w:tcBorders/>
            <w:shd w:fill="auto" w:val="clear"/>
            <w:vAlign w:val="center"/>
          </w:tcPr>
          <w:p>
            <w:pPr>
              <w:pStyle w:val="TableContents"/>
              <w:spacing w:before="0" w:after="0"/>
              <w:rPr>
                <w:spacing w:val="0"/>
              </w:rPr>
            </w:pPr>
            <w:r>
              <w:rPr>
                <w:spacing w:val="0"/>
              </w:rPr>
              <w:t>☒</w:t>
            </w:r>
          </w:p>
        </w:tc>
        <w:tc>
          <w:tcPr>
            <w:tcW w:w="60" w:type="dxa"/>
            <w:tcBorders/>
            <w:shd w:fill="auto" w:val="clear"/>
            <w:vAlign w:val="center"/>
          </w:tcPr>
          <w:p>
            <w:pPr>
              <w:pStyle w:val="TableContents"/>
              <w:spacing w:before="0" w:after="283"/>
              <w:rPr/>
            </w:pPr>
            <w:r>
              <w:rPr/>
              <w:t> </w:t>
            </w:r>
          </w:p>
        </w:tc>
        <w:tc>
          <w:tcPr>
            <w:tcW w:w="3005" w:type="dxa"/>
            <w:tcBorders/>
            <w:shd w:fill="auto" w:val="clear"/>
            <w:vAlign w:val="center"/>
          </w:tcPr>
          <w:p>
            <w:pPr>
              <w:pStyle w:val="TableContents"/>
              <w:spacing w:before="0" w:after="283"/>
              <w:rPr/>
            </w:pPr>
            <w:r>
              <w:rPr/>
              <w:t>Definitive Proxy Statement</w:t>
            </w:r>
          </w:p>
        </w:tc>
      </w:tr>
      <w:tr>
        <w:trPr/>
        <w:tc>
          <w:tcPr>
            <w:tcW w:w="245" w:type="dxa"/>
            <w:tcBorders/>
            <w:shd w:fill="auto" w:val="clear"/>
            <w:vAlign w:val="center"/>
          </w:tcPr>
          <w:p>
            <w:pPr>
              <w:pStyle w:val="TableContents"/>
              <w:spacing w:before="0" w:after="283"/>
              <w:rPr>
                <w:sz w:val="4"/>
                <w:szCs w:val="4"/>
              </w:rPr>
            </w:pPr>
            <w:r>
              <w:rPr>
                <w:sz w:val="4"/>
                <w:szCs w:val="4"/>
              </w:rPr>
            </w:r>
          </w:p>
        </w:tc>
        <w:tc>
          <w:tcPr>
            <w:tcW w:w="3065" w:type="dxa"/>
            <w:gridSpan w:val="2"/>
            <w:tcBorders/>
            <w:shd w:fill="auto" w:val="clear"/>
            <w:vAlign w:val="center"/>
          </w:tcPr>
          <w:p>
            <w:pPr>
              <w:pStyle w:val="TableContents"/>
              <w:spacing w:before="0" w:after="283"/>
              <w:rPr>
                <w:sz w:val="4"/>
                <w:szCs w:val="4"/>
              </w:rPr>
            </w:pPr>
            <w:r>
              <w:rPr>
                <w:sz w:val="4"/>
                <w:szCs w:val="4"/>
              </w:rPr>
            </w:r>
          </w:p>
        </w:tc>
      </w:tr>
      <w:tr>
        <w:trPr/>
        <w:tc>
          <w:tcPr>
            <w:tcW w:w="245" w:type="dxa"/>
            <w:tcBorders/>
            <w:shd w:fill="auto" w:val="clear"/>
            <w:vAlign w:val="center"/>
          </w:tcPr>
          <w:p>
            <w:pPr>
              <w:pStyle w:val="TableContents"/>
              <w:spacing w:before="0" w:after="0"/>
              <w:rPr>
                <w:spacing w:val="0"/>
              </w:rPr>
            </w:pPr>
            <w:r>
              <w:rPr>
                <w:spacing w:val="0"/>
              </w:rPr>
              <w:t>☐</w:t>
            </w:r>
          </w:p>
        </w:tc>
        <w:tc>
          <w:tcPr>
            <w:tcW w:w="60" w:type="dxa"/>
            <w:tcBorders/>
            <w:shd w:fill="auto" w:val="clear"/>
            <w:vAlign w:val="center"/>
          </w:tcPr>
          <w:p>
            <w:pPr>
              <w:pStyle w:val="TableContents"/>
              <w:spacing w:before="0" w:after="283"/>
              <w:rPr/>
            </w:pPr>
            <w:r>
              <w:rPr/>
              <w:t> </w:t>
            </w:r>
          </w:p>
        </w:tc>
        <w:tc>
          <w:tcPr>
            <w:tcW w:w="3005" w:type="dxa"/>
            <w:tcBorders/>
            <w:shd w:fill="auto" w:val="clear"/>
            <w:vAlign w:val="center"/>
          </w:tcPr>
          <w:p>
            <w:pPr>
              <w:pStyle w:val="TableContents"/>
              <w:spacing w:before="0" w:after="283"/>
              <w:rPr/>
            </w:pPr>
            <w:r>
              <w:rPr/>
              <w:t>Definitive Additional Materials</w:t>
            </w:r>
          </w:p>
        </w:tc>
      </w:tr>
      <w:tr>
        <w:trPr/>
        <w:tc>
          <w:tcPr>
            <w:tcW w:w="245" w:type="dxa"/>
            <w:tcBorders/>
            <w:shd w:fill="auto" w:val="clear"/>
            <w:vAlign w:val="center"/>
          </w:tcPr>
          <w:p>
            <w:pPr>
              <w:pStyle w:val="TableContents"/>
              <w:spacing w:before="0" w:after="283"/>
              <w:rPr>
                <w:sz w:val="4"/>
                <w:szCs w:val="4"/>
              </w:rPr>
            </w:pPr>
            <w:r>
              <w:rPr>
                <w:sz w:val="4"/>
                <w:szCs w:val="4"/>
              </w:rPr>
            </w:r>
          </w:p>
        </w:tc>
        <w:tc>
          <w:tcPr>
            <w:tcW w:w="3065" w:type="dxa"/>
            <w:gridSpan w:val="2"/>
            <w:tcBorders/>
            <w:shd w:fill="auto" w:val="clear"/>
            <w:vAlign w:val="center"/>
          </w:tcPr>
          <w:p>
            <w:pPr>
              <w:pStyle w:val="TableContents"/>
              <w:spacing w:before="0" w:after="283"/>
              <w:rPr>
                <w:sz w:val="4"/>
                <w:szCs w:val="4"/>
              </w:rPr>
            </w:pPr>
            <w:r>
              <w:rPr>
                <w:sz w:val="4"/>
                <w:szCs w:val="4"/>
              </w:rPr>
            </w:r>
          </w:p>
        </w:tc>
      </w:tr>
      <w:tr>
        <w:trPr/>
        <w:tc>
          <w:tcPr>
            <w:tcW w:w="245" w:type="dxa"/>
            <w:tcBorders/>
            <w:shd w:fill="auto" w:val="clear"/>
            <w:vAlign w:val="center"/>
          </w:tcPr>
          <w:p>
            <w:pPr>
              <w:pStyle w:val="TableContents"/>
              <w:spacing w:before="0" w:after="0"/>
              <w:rPr>
                <w:spacing w:val="0"/>
              </w:rPr>
            </w:pPr>
            <w:r>
              <w:rPr>
                <w:spacing w:val="0"/>
              </w:rPr>
              <w:t>☐</w:t>
            </w:r>
          </w:p>
        </w:tc>
        <w:tc>
          <w:tcPr>
            <w:tcW w:w="60" w:type="dxa"/>
            <w:tcBorders/>
            <w:shd w:fill="auto" w:val="clear"/>
            <w:vAlign w:val="center"/>
          </w:tcPr>
          <w:p>
            <w:pPr>
              <w:pStyle w:val="TableContents"/>
              <w:spacing w:before="0" w:after="283"/>
              <w:rPr/>
            </w:pPr>
            <w:r>
              <w:rPr/>
              <w:t> </w:t>
            </w:r>
          </w:p>
        </w:tc>
        <w:tc>
          <w:tcPr>
            <w:tcW w:w="3005" w:type="dxa"/>
            <w:tcBorders/>
            <w:shd w:fill="auto" w:val="clear"/>
            <w:vAlign w:val="center"/>
          </w:tcPr>
          <w:p>
            <w:pPr>
              <w:pStyle w:val="TableContents"/>
              <w:spacing w:before="0" w:after="0"/>
              <w:rPr/>
            </w:pPr>
            <w:r>
              <w:rPr/>
              <w:t xml:space="preserve">Soliciting Material Under Rule </w:t>
            </w:r>
          </w:p>
          <w:p>
            <w:pPr>
              <w:pStyle w:val="TableContents"/>
              <w:spacing w:before="0" w:after="0"/>
              <w:rPr>
                <w:spacing w:val="0"/>
              </w:rPr>
            </w:pPr>
            <w:r>
              <w:rPr>
                <w:spacing w:val="0"/>
              </w:rPr>
              <w:t>240.14a-12</w:t>
            </w:r>
          </w:p>
        </w:tc>
      </w:tr>
    </w:tbl>
    <w:p>
      <w:pPr>
        <w:pStyle w:val="TextBody"/>
        <w:spacing w:before="120" w:after="0"/>
        <w:jc w:val="center"/>
        <w:rPr>
          <w:rFonts w:ascii="ARIAL" w:hAnsi="ARIAL"/>
          <w:b/>
          <w:sz w:val="44"/>
          <w:highlight w:val="white"/>
        </w:rPr>
      </w:pPr>
      <w:r>
        <w:rPr>
          <w:rFonts w:ascii="ARIAL" w:hAnsi="ARIAL"/>
          <w:b/>
          <w:sz w:val="44"/>
          <w:highlight w:val="white"/>
        </w:rPr>
        <w:t xml:space="preserve">COMMUNITY HEALTH SYSTEMS, INC. </w:t>
      </w:r>
    </w:p>
    <w:p>
      <w:pPr>
        <w:pStyle w:val="TextBody"/>
        <w:spacing w:before="0" w:after="0"/>
        <w:jc w:val="center"/>
        <w:rPr>
          <w:rFonts w:ascii="ARIAL" w:hAnsi="ARIAL"/>
          <w:b/>
          <w:sz w:val="20"/>
          <w:highlight w:val="white"/>
        </w:rPr>
      </w:pPr>
      <w:r>
        <w:rPr>
          <w:rFonts w:ascii="ARIAL" w:hAnsi="ARIAL"/>
          <w:b/>
          <w:sz w:val="20"/>
          <w:highlight w:val="white"/>
        </w:rPr>
        <w:t xml:space="preserve">(Name of Registrant as Specified In Its Charter) </w:t>
      </w:r>
    </w:p>
    <w:p>
      <w:pPr>
        <w:pStyle w:val="TextBody"/>
        <w:spacing w:before="120" w:after="0"/>
        <w:jc w:val="center"/>
        <w:rPr>
          <w:rFonts w:ascii="ARIAL" w:hAnsi="ARIAL"/>
          <w:b/>
          <w:sz w:val="16"/>
          <w:highlight w:val="white"/>
        </w:rPr>
      </w:pPr>
      <w:r>
        <w:rPr>
          <w:rFonts w:ascii="ARIAL" w:hAnsi="ARIAL"/>
          <w:b/>
          <w:sz w:val="16"/>
          <w:highlight w:val="white"/>
        </w:rPr>
        <w:t xml:space="preserve">(Name of Person(s) Filing Proxy Statement, if other than the Registrant) </w:t>
      </w:r>
    </w:p>
    <w:p>
      <w:pPr>
        <w:pStyle w:val="TextBody"/>
        <w:spacing w:before="120" w:after="0"/>
        <w:jc w:val="left"/>
        <w:rPr>
          <w:rFonts w:ascii="ARIAL" w:hAnsi="ARIAL"/>
          <w:sz w:val="20"/>
          <w:highlight w:val="white"/>
        </w:rPr>
      </w:pPr>
      <w:r>
        <w:rPr>
          <w:rFonts w:ascii="ARIAL" w:hAnsi="ARIAL"/>
          <w:sz w:val="20"/>
          <w:highlight w:val="white"/>
        </w:rPr>
        <w:t xml:space="preserve">Payment of Filing Fee (Check the appropriate box): </w:t>
      </w:r>
    </w:p>
    <w:p>
      <w:pPr>
        <w:pStyle w:val="TextBody"/>
        <w:spacing w:before="0" w:after="0"/>
        <w:jc w:val="left"/>
        <w:rPr>
          <w:highlight w:val="white"/>
        </w:rPr>
      </w:pPr>
      <w:r>
        <w:rPr>
          <w:highlight w:val="white"/>
        </w:rPr>
        <w:t> </w:t>
      </w:r>
    </w:p>
    <w:tbl>
      <w:tblPr>
        <w:tblW w:w="9534" w:type="dxa"/>
        <w:jc w:val="left"/>
        <w:tblInd w:w="0" w:type="dxa"/>
        <w:tblCellMar>
          <w:top w:w="0" w:type="dxa"/>
          <w:left w:w="0" w:type="dxa"/>
          <w:bottom w:w="0" w:type="dxa"/>
          <w:right w:w="0" w:type="dxa"/>
        </w:tblCellMar>
      </w:tblPr>
      <w:tblGrid>
        <w:gridCol w:w="245"/>
        <w:gridCol w:w="60"/>
        <w:gridCol w:w="2521"/>
        <w:gridCol w:w="2521"/>
        <w:gridCol w:w="4187"/>
      </w:tblGrid>
      <w:tr>
        <w:trPr/>
        <w:tc>
          <w:tcPr>
            <w:tcW w:w="24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21" w:type="dxa"/>
            <w:tcBorders/>
            <w:shd w:fill="auto" w:val="clear"/>
            <w:vAlign w:val="center"/>
          </w:tcPr>
          <w:p>
            <w:pPr>
              <w:pStyle w:val="TableContents"/>
              <w:spacing w:before="0" w:after="283"/>
              <w:rPr>
                <w:sz w:val="4"/>
                <w:szCs w:val="4"/>
              </w:rPr>
            </w:pPr>
            <w:r>
              <w:rPr>
                <w:sz w:val="4"/>
                <w:szCs w:val="4"/>
              </w:rPr>
            </w:r>
          </w:p>
        </w:tc>
        <w:tc>
          <w:tcPr>
            <w:tcW w:w="2521" w:type="dxa"/>
            <w:tcBorders/>
            <w:shd w:fill="auto" w:val="clear"/>
            <w:vAlign w:val="center"/>
          </w:tcPr>
          <w:p>
            <w:pPr>
              <w:pStyle w:val="TableContents"/>
              <w:spacing w:before="0" w:after="283"/>
              <w:rPr>
                <w:sz w:val="4"/>
                <w:szCs w:val="4"/>
              </w:rPr>
            </w:pPr>
            <w:r>
              <w:rPr>
                <w:sz w:val="4"/>
                <w:szCs w:val="4"/>
              </w:rPr>
            </w:r>
          </w:p>
        </w:tc>
        <w:tc>
          <w:tcPr>
            <w:tcW w:w="4187" w:type="dxa"/>
            <w:tcBorders/>
            <w:shd w:fill="auto" w:val="clear"/>
            <w:vAlign w:val="center"/>
          </w:tcPr>
          <w:p>
            <w:pPr>
              <w:pStyle w:val="TableContents"/>
              <w:spacing w:before="0" w:after="283"/>
              <w:rPr>
                <w:sz w:val="4"/>
                <w:szCs w:val="4"/>
              </w:rPr>
            </w:pPr>
            <w:r>
              <w:rPr>
                <w:sz w:val="4"/>
                <w:szCs w:val="4"/>
              </w:rPr>
            </w:r>
          </w:p>
        </w:tc>
      </w:tr>
      <w:tr>
        <w:trPr/>
        <w:tc>
          <w:tcPr>
            <w:tcW w:w="245" w:type="dxa"/>
            <w:tcBorders/>
            <w:shd w:fill="auto" w:val="clear"/>
            <w:vAlign w:val="center"/>
          </w:tcPr>
          <w:p>
            <w:pPr>
              <w:pStyle w:val="TableContents"/>
              <w:spacing w:before="0" w:after="0"/>
              <w:rPr>
                <w:spacing w:val="0"/>
              </w:rPr>
            </w:pPr>
            <w:r>
              <w:rPr>
                <w:spacing w:val="0"/>
              </w:rPr>
              <w:t>☒</w:t>
            </w:r>
          </w:p>
        </w:tc>
        <w:tc>
          <w:tcPr>
            <w:tcW w:w="60" w:type="dxa"/>
            <w:tcBorders/>
            <w:shd w:fill="auto" w:val="clear"/>
            <w:vAlign w:val="center"/>
          </w:tcPr>
          <w:p>
            <w:pPr>
              <w:pStyle w:val="TableContents"/>
              <w:spacing w:before="0" w:after="283"/>
              <w:rPr/>
            </w:pPr>
            <w:r>
              <w:rPr/>
              <w:t> </w:t>
            </w:r>
          </w:p>
        </w:tc>
        <w:tc>
          <w:tcPr>
            <w:tcW w:w="9229" w:type="dxa"/>
            <w:gridSpan w:val="3"/>
            <w:tcBorders/>
            <w:shd w:fill="auto" w:val="clear"/>
            <w:vAlign w:val="center"/>
          </w:tcPr>
          <w:p>
            <w:pPr>
              <w:pStyle w:val="TableContents"/>
              <w:spacing w:before="0" w:after="283"/>
              <w:rPr/>
            </w:pPr>
            <w:r>
              <w:rPr/>
              <w:t>No fee required.</w:t>
            </w:r>
          </w:p>
        </w:tc>
      </w:tr>
      <w:tr>
        <w:trPr/>
        <w:tc>
          <w:tcPr>
            <w:tcW w:w="245" w:type="dxa"/>
            <w:tcBorders/>
            <w:shd w:fill="auto" w:val="clear"/>
            <w:vAlign w:val="center"/>
          </w:tcPr>
          <w:p>
            <w:pPr>
              <w:pStyle w:val="TableContents"/>
              <w:spacing w:before="0" w:after="283"/>
              <w:rPr>
                <w:sz w:val="4"/>
                <w:szCs w:val="4"/>
              </w:rPr>
            </w:pPr>
            <w:r>
              <w:rPr>
                <w:sz w:val="4"/>
                <w:szCs w:val="4"/>
              </w:rPr>
            </w:r>
          </w:p>
        </w:tc>
        <w:tc>
          <w:tcPr>
            <w:tcW w:w="9289" w:type="dxa"/>
            <w:gridSpan w:val="4"/>
            <w:tcBorders/>
            <w:shd w:fill="auto" w:val="clear"/>
            <w:vAlign w:val="center"/>
          </w:tcPr>
          <w:p>
            <w:pPr>
              <w:pStyle w:val="TableContents"/>
              <w:spacing w:before="0" w:after="283"/>
              <w:rPr>
                <w:sz w:val="4"/>
                <w:szCs w:val="4"/>
              </w:rPr>
            </w:pPr>
            <w:r>
              <w:rPr>
                <w:sz w:val="4"/>
                <w:szCs w:val="4"/>
              </w:rPr>
            </w:r>
          </w:p>
        </w:tc>
      </w:tr>
      <w:tr>
        <w:trPr/>
        <w:tc>
          <w:tcPr>
            <w:tcW w:w="245" w:type="dxa"/>
            <w:tcBorders/>
            <w:shd w:fill="auto" w:val="clear"/>
            <w:vAlign w:val="center"/>
          </w:tcPr>
          <w:p>
            <w:pPr>
              <w:pStyle w:val="TableContents"/>
              <w:spacing w:before="0" w:after="0"/>
              <w:rPr>
                <w:spacing w:val="0"/>
              </w:rPr>
            </w:pPr>
            <w:r>
              <w:rPr>
                <w:spacing w:val="0"/>
              </w:rPr>
              <w:t>☐</w:t>
            </w:r>
          </w:p>
        </w:tc>
        <w:tc>
          <w:tcPr>
            <w:tcW w:w="60" w:type="dxa"/>
            <w:tcBorders/>
            <w:shd w:fill="auto" w:val="clear"/>
            <w:vAlign w:val="center"/>
          </w:tcPr>
          <w:p>
            <w:pPr>
              <w:pStyle w:val="TableContents"/>
              <w:spacing w:before="0" w:after="283"/>
              <w:rPr/>
            </w:pPr>
            <w:r>
              <w:rPr/>
              <w:t> </w:t>
            </w:r>
          </w:p>
        </w:tc>
        <w:tc>
          <w:tcPr>
            <w:tcW w:w="9229" w:type="dxa"/>
            <w:gridSpan w:val="3"/>
            <w:tcBorders/>
            <w:shd w:fill="auto" w:val="clear"/>
            <w:vAlign w:val="center"/>
          </w:tcPr>
          <w:p>
            <w:pPr>
              <w:pStyle w:val="TableContents"/>
              <w:spacing w:before="0" w:after="283"/>
              <w:rPr/>
            </w:pPr>
            <w:r>
              <w:rPr/>
              <w:t>Fee paid previously with preliminary materials.</w:t>
            </w:r>
          </w:p>
        </w:tc>
      </w:tr>
      <w:tr>
        <w:trPr/>
        <w:tc>
          <w:tcPr>
            <w:tcW w:w="245" w:type="dxa"/>
            <w:tcBorders/>
            <w:shd w:fill="auto" w:val="clear"/>
            <w:vAlign w:val="center"/>
          </w:tcPr>
          <w:p>
            <w:pPr>
              <w:pStyle w:val="TableContents"/>
              <w:spacing w:before="0" w:after="283"/>
              <w:rPr>
                <w:sz w:val="4"/>
                <w:szCs w:val="4"/>
              </w:rPr>
            </w:pPr>
            <w:r>
              <w:rPr>
                <w:sz w:val="4"/>
                <w:szCs w:val="4"/>
              </w:rPr>
            </w:r>
          </w:p>
        </w:tc>
        <w:tc>
          <w:tcPr>
            <w:tcW w:w="9289" w:type="dxa"/>
            <w:gridSpan w:val="4"/>
            <w:tcBorders/>
            <w:shd w:fill="auto" w:val="clear"/>
            <w:vAlign w:val="center"/>
          </w:tcPr>
          <w:p>
            <w:pPr>
              <w:pStyle w:val="TableContents"/>
              <w:spacing w:before="0" w:after="283"/>
              <w:rPr>
                <w:sz w:val="4"/>
                <w:szCs w:val="4"/>
              </w:rPr>
            </w:pPr>
            <w:r>
              <w:rPr>
                <w:sz w:val="4"/>
                <w:szCs w:val="4"/>
              </w:rPr>
            </w:r>
          </w:p>
        </w:tc>
      </w:tr>
      <w:tr>
        <w:trPr/>
        <w:tc>
          <w:tcPr>
            <w:tcW w:w="245" w:type="dxa"/>
            <w:tcBorders/>
            <w:shd w:fill="auto" w:val="clear"/>
            <w:vAlign w:val="center"/>
          </w:tcPr>
          <w:p>
            <w:pPr>
              <w:pStyle w:val="TableContents"/>
              <w:spacing w:before="0" w:after="0"/>
              <w:rPr>
                <w:spacing w:val="0"/>
              </w:rPr>
            </w:pPr>
            <w:r>
              <w:rPr>
                <w:spacing w:val="0"/>
              </w:rPr>
              <w:t>☐</w:t>
            </w:r>
          </w:p>
        </w:tc>
        <w:tc>
          <w:tcPr>
            <w:tcW w:w="60" w:type="dxa"/>
            <w:tcBorders/>
            <w:shd w:fill="auto" w:val="clear"/>
            <w:vAlign w:val="center"/>
          </w:tcPr>
          <w:p>
            <w:pPr>
              <w:pStyle w:val="TableContents"/>
              <w:spacing w:before="0" w:after="283"/>
              <w:rPr/>
            </w:pPr>
            <w:r>
              <w:rPr/>
              <w:t> </w:t>
            </w:r>
          </w:p>
        </w:tc>
        <w:tc>
          <w:tcPr>
            <w:tcW w:w="9229" w:type="dxa"/>
            <w:gridSpan w:val="3"/>
            <w:tcBorders/>
            <w:shd w:fill="auto" w:val="clear"/>
            <w:vAlign w:val="center"/>
          </w:tcPr>
          <w:p>
            <w:pPr>
              <w:pStyle w:val="TableContents"/>
              <w:spacing w:before="0" w:after="0"/>
              <w:rPr/>
            </w:pPr>
            <w:r>
              <w:rPr/>
              <w:t xml:space="preserve">Fee computed on table in exhibit required by Item 25(b) per Exchange Act Rules 14a-6(i)(1) and </w:t>
            </w:r>
          </w:p>
          <w:p>
            <w:pPr>
              <w:pStyle w:val="TableContents"/>
              <w:spacing w:before="0" w:after="0"/>
              <w:rPr>
                <w:spacing w:val="0"/>
              </w:rPr>
            </w:pPr>
            <w:r>
              <w:rPr>
                <w:spacing w:val="0"/>
              </w:rPr>
              <w:t>0-11.</w:t>
            </w:r>
          </w:p>
        </w:tc>
      </w:tr>
    </w:tbl>
    <w:p>
      <w:pPr>
        <w:pStyle w:val="TextBody"/>
        <w:spacing w:before="0" w:after="0"/>
        <w:jc w:val="left"/>
        <w:rPr>
          <w:highlight w:val="white"/>
        </w:rPr>
      </w:pPr>
      <w:r>
        <w:rPr>
          <w:highlight w:val="white"/>
        </w:rPr>
        <w:t> </w:t>
      </w:r>
    </w:p>
    <w:p>
      <w:pPr>
        <w:pStyle w:val="TextBody"/>
        <w:spacing w:lineRule="atLeast" w:line="141" w:before="0" w:after="0"/>
        <w:jc w:val="left"/>
        <w:rPr>
          <w:highlight w:val="white"/>
          <w:bdr w:val="single" w:sz="2" w:space="1" w:color="000000"/>
        </w:rPr>
      </w:pPr>
      <w:r>
        <w:rPr>
          <w:highlight w:val="white"/>
          <w:bdr w:val="single" w:sz="2" w:space="1" w:color="000000"/>
        </w:rPr>
        <w:t> </w:t>
      </w:r>
    </w:p>
    <w:p>
      <w:pPr>
        <w:pStyle w:val="TextBody"/>
        <w:spacing w:lineRule="atLeast" w:line="141" w:before="0" w:after="40"/>
        <w:jc w:val="left"/>
        <w:rPr>
          <w:highlight w:val="white"/>
          <w:bdr w:val="single" w:sz="2" w:space="1" w:color="000000"/>
        </w:rPr>
      </w:pPr>
      <w:r>
        <w:rPr>
          <w:highlight w:val="white"/>
          <w:bdr w:val="single" w:sz="2" w:space="1" w:color="000000"/>
        </w:rPr>
        <w:t> </w:t>
      </w:r>
      <w:r>
        <w:br w:type="page"/>
      </w:r>
    </w:p>
    <w:p>
      <w:pPr>
        <w:pStyle w:val="HorizontalLine"/>
        <w:rPr/>
      </w:pPr>
      <w:r>
        <w:rPr/>
      </w:r>
    </w:p>
    <w:p>
      <w:pPr>
        <w:pStyle w:val="TextBody"/>
        <w:spacing w:before="0" w:after="0"/>
        <w:jc w:val="center"/>
        <w:rPr/>
      </w:pPr>
      <w:r>
        <w:rPr/>
        <w:drawing>
          <wp:inline distT="0" distB="0" distL="0" distR="0">
            <wp:extent cx="802005" cy="103124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02005" cy="1031240"/>
                    </a:xfrm>
                    <a:prstGeom prst="rect">
                      <a:avLst/>
                    </a:prstGeom>
                  </pic:spPr>
                </pic:pic>
              </a:graphicData>
            </a:graphic>
          </wp:inline>
        </w:drawing>
      </w:r>
      <w:r>
        <w:rPr/>
        <w:t xml:space="preserve"> </w:t>
      </w:r>
    </w:p>
    <w:p>
      <w:pPr>
        <w:pStyle w:val="TextBody"/>
        <w:jc w:val="left"/>
        <w:rPr>
          <w:rFonts w:ascii="ARIAL" w:hAnsi="ARIAL"/>
          <w:color w:val="FFFFFF"/>
          <w:sz w:val="2"/>
        </w:rPr>
      </w:pPr>
      <w:r>
        <w:rPr>
          <w:rFonts w:ascii="ARIAL" w:hAnsi="ARIAL"/>
          <w:color w:val="FFFFFF"/>
          <w:sz w:val="2"/>
        </w:rPr>
        <w:t xml:space="preserve">CHS Health System Community Notice of 2023 Annual Meeting of Stockholders and Proxy Statement To be held: Tuesday, May 9, 2023 8:00a.m. (Central Daylight Time) Hilton Franklin Cool Springs 601 Corporate Centre Drive Franklin, Tennessee </w:t>
      </w:r>
      <w:r>
        <w:br w:type="page"/>
      </w:r>
    </w:p>
    <w:p>
      <w:pPr>
        <w:pStyle w:val="HorizontalLine"/>
        <w:rPr/>
      </w:pPr>
      <w:r>
        <w:rPr/>
      </w:r>
    </w:p>
    <w:tbl>
      <w:tblPr>
        <w:tblW w:w="1049" w:type="dxa"/>
        <w:jc w:val="left"/>
        <w:tblInd w:w="0" w:type="dxa"/>
        <w:tblCellMar>
          <w:top w:w="0" w:type="dxa"/>
          <w:left w:w="0" w:type="dxa"/>
          <w:bottom w:w="0" w:type="dxa"/>
          <w:right w:w="0" w:type="dxa"/>
        </w:tblCellMar>
      </w:tblPr>
      <w:tblGrid>
        <w:gridCol w:w="38"/>
        <w:gridCol w:w="60"/>
        <w:gridCol w:w="23"/>
        <w:gridCol w:w="60"/>
        <w:gridCol w:w="23"/>
        <w:gridCol w:w="60"/>
        <w:gridCol w:w="23"/>
        <w:gridCol w:w="60"/>
        <w:gridCol w:w="23"/>
        <w:gridCol w:w="60"/>
        <w:gridCol w:w="23"/>
        <w:gridCol w:w="60"/>
        <w:gridCol w:w="23"/>
        <w:gridCol w:w="60"/>
        <w:gridCol w:w="23"/>
        <w:gridCol w:w="60"/>
        <w:gridCol w:w="23"/>
        <w:gridCol w:w="60"/>
        <w:gridCol w:w="23"/>
        <w:gridCol w:w="60"/>
        <w:gridCol w:w="23"/>
        <w:gridCol w:w="60"/>
        <w:gridCol w:w="23"/>
        <w:gridCol w:w="60"/>
        <w:gridCol w:w="38"/>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E0DDCC" w:val="clear"/>
            <w:vAlign w:val="center"/>
          </w:tcPr>
          <w:p>
            <w:pPr>
              <w:pStyle w:val="TableContents"/>
              <w:spacing w:before="0" w:after="283"/>
              <w:rPr/>
            </w:pPr>
            <w:r>
              <w:rPr/>
              <w:t> </w:t>
            </w:r>
          </w:p>
        </w:tc>
        <w:tc>
          <w:tcPr>
            <w:tcW w:w="23" w:type="dxa"/>
            <w:tcBorders/>
            <w:shd w:fill="E0DDCC"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E0DDCC" w:val="clear"/>
            <w:vAlign w:val="center"/>
          </w:tcPr>
          <w:p>
            <w:pPr>
              <w:pStyle w:val="TableContents"/>
              <w:spacing w:before="0" w:after="283"/>
              <w:rPr/>
            </w:pPr>
            <w:r>
              <w:rPr/>
              <w:t> </w:t>
            </w:r>
          </w:p>
        </w:tc>
        <w:tc>
          <w:tcPr>
            <w:tcW w:w="23" w:type="dxa"/>
            <w:tcBorders/>
            <w:shd w:fill="E0DDCC"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E0DDCC" w:val="clear"/>
            <w:vAlign w:val="center"/>
          </w:tcPr>
          <w:p>
            <w:pPr>
              <w:pStyle w:val="TableContents"/>
              <w:spacing w:before="0" w:after="283"/>
              <w:rPr/>
            </w:pPr>
            <w:r>
              <w:rPr/>
              <w:t> </w:t>
            </w:r>
          </w:p>
        </w:tc>
        <w:tc>
          <w:tcPr>
            <w:tcW w:w="23" w:type="dxa"/>
            <w:tcBorders/>
            <w:shd w:fill="E0DDCC"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E0DDCC" w:val="clear"/>
            <w:vAlign w:val="center"/>
          </w:tcPr>
          <w:p>
            <w:pPr>
              <w:pStyle w:val="TableContents"/>
              <w:spacing w:before="0" w:after="283"/>
              <w:rPr/>
            </w:pPr>
            <w:r>
              <w:rPr/>
              <w:t> </w:t>
            </w:r>
          </w:p>
        </w:tc>
        <w:tc>
          <w:tcPr>
            <w:tcW w:w="23" w:type="dxa"/>
            <w:tcBorders/>
            <w:shd w:fill="E0DDCC"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E0DDCC" w:val="clear"/>
            <w:vAlign w:val="center"/>
          </w:tcPr>
          <w:p>
            <w:pPr>
              <w:pStyle w:val="TableContents"/>
              <w:spacing w:before="0" w:after="283"/>
              <w:rPr/>
            </w:pPr>
            <w:r>
              <w:rPr/>
              <w:t> </w:t>
            </w:r>
          </w:p>
        </w:tc>
        <w:tc>
          <w:tcPr>
            <w:tcW w:w="23" w:type="dxa"/>
            <w:tcBorders/>
            <w:shd w:fill="E0DDCC"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E0DDCC" w:val="clear"/>
            <w:vAlign w:val="center"/>
          </w:tcPr>
          <w:p>
            <w:pPr>
              <w:pStyle w:val="TableContents"/>
              <w:spacing w:before="0" w:after="283"/>
              <w:rPr/>
            </w:pPr>
            <w:r>
              <w:rPr/>
              <w:t> </w:t>
            </w:r>
          </w:p>
        </w:tc>
        <w:tc>
          <w:tcPr>
            <w:tcW w:w="23" w:type="dxa"/>
            <w:tcBorders/>
            <w:shd w:fill="E0DDCC"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left"/>
        <w:rPr/>
      </w:pPr>
      <w:r>
        <w:rPr/>
        <w:t> </w:t>
      </w:r>
    </w:p>
    <w:p>
      <w:pPr>
        <w:pStyle w:val="TextBody"/>
        <w:pBdr>
          <w:bottom w:val="single" w:sz="8" w:space="1" w:color="000000"/>
        </w:pBdr>
        <w:spacing w:lineRule="atLeast" w:line="141" w:before="0" w:after="40"/>
        <w:jc w:val="left"/>
        <w:rPr/>
      </w:pPr>
      <w:r>
        <w:rPr/>
        <w:t> </w:t>
      </w:r>
    </w:p>
    <w:p>
      <w:pPr>
        <w:pStyle w:val="TextBody"/>
        <w:spacing w:before="0" w:after="0"/>
        <w:jc w:val="left"/>
        <w:rPr/>
      </w:pPr>
      <w:r>
        <w:rPr/>
        <w:t> </w:t>
      </w:r>
    </w:p>
    <w:tbl>
      <w:tblPr>
        <w:tblW w:w="2185" w:type="dxa"/>
        <w:jc w:val="left"/>
        <w:tblInd w:w="0" w:type="dxa"/>
        <w:tblCellMar>
          <w:top w:w="0" w:type="dxa"/>
          <w:left w:w="0" w:type="dxa"/>
          <w:bottom w:w="0" w:type="dxa"/>
          <w:right w:w="0" w:type="dxa"/>
        </w:tblCellMar>
      </w:tblPr>
      <w:tblGrid>
        <w:gridCol w:w="275"/>
        <w:gridCol w:w="60"/>
        <w:gridCol w:w="1850"/>
      </w:tblGrid>
      <w:tr>
        <w:trPr/>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850" w:type="dxa"/>
            <w:tcBorders/>
            <w:shd w:fill="auto" w:val="clear"/>
            <w:vAlign w:val="center"/>
          </w:tcPr>
          <w:p>
            <w:pPr>
              <w:pStyle w:val="TableContents"/>
              <w:spacing w:before="0" w:after="283"/>
              <w:rPr>
                <w:sz w:val="4"/>
                <w:szCs w:val="4"/>
              </w:rPr>
            </w:pPr>
            <w:r>
              <w:rPr>
                <w:sz w:val="4"/>
                <w:szCs w:val="4"/>
              </w:rPr>
            </w:r>
          </w:p>
        </w:tc>
      </w:tr>
      <w:tr>
        <w:trPr/>
        <w:tc>
          <w:tcPr>
            <w:tcW w:w="275" w:type="dxa"/>
            <w:tcBorders/>
            <w:shd w:fill="auto" w:val="clear"/>
            <w:vAlign w:val="center"/>
          </w:tcPr>
          <w:p>
            <w:pPr>
              <w:pStyle w:val="TableContents"/>
              <w:spacing w:before="0" w:after="283"/>
              <w:rPr/>
            </w:pPr>
            <w:r>
              <w:rPr/>
              <w:drawing>
                <wp:inline distT="0" distB="0" distL="0" distR="0">
                  <wp:extent cx="127000" cy="3429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7000" cy="3429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1850" w:type="dxa"/>
            <w:tcBorders/>
            <w:shd w:fill="auto" w:val="clear"/>
            <w:vAlign w:val="center"/>
          </w:tcPr>
          <w:p>
            <w:pPr>
              <w:pStyle w:val="TableContents"/>
              <w:spacing w:before="0" w:after="283"/>
              <w:jc w:val="right"/>
              <w:rPr/>
            </w:pPr>
            <w:r>
              <w:rPr/>
              <w:t>March 30, 2023     </w:t>
            </w:r>
          </w:p>
        </w:tc>
      </w:tr>
    </w:tbl>
    <w:p>
      <w:pPr>
        <w:pStyle w:val="TextBody"/>
        <w:spacing w:before="0" w:after="0"/>
        <w:jc w:val="left"/>
        <w:rPr/>
      </w:pPr>
      <w:r>
        <w:rPr/>
        <w:t> </w:t>
      </w:r>
    </w:p>
    <w:tbl>
      <w:tblPr>
        <w:tblW w:w="53" w:type="dxa"/>
        <w:jc w:val="left"/>
        <w:tblInd w:w="0" w:type="dxa"/>
        <w:tblCellMar>
          <w:top w:w="0" w:type="dxa"/>
          <w:left w:w="0" w:type="dxa"/>
          <w:bottom w:w="0" w:type="dxa"/>
          <w:right w:w="0" w:type="dxa"/>
        </w:tblCellMar>
      </w:tblPr>
      <w:tblGrid>
        <w:gridCol w:w="53"/>
      </w:tblGrid>
      <w:tr>
        <w:trPr/>
        <w:tc>
          <w:tcPr>
            <w:tcW w:w="53" w:type="dxa"/>
            <w:tcBorders/>
            <w:shd w:fill="auto" w:val="clear"/>
            <w:vAlign w:val="center"/>
          </w:tcPr>
          <w:p>
            <w:pPr>
              <w:pStyle w:val="TableContents"/>
              <w:spacing w:before="0" w:after="283"/>
              <w:rPr>
                <w:sz w:val="4"/>
                <w:szCs w:val="4"/>
              </w:rPr>
            </w:pPr>
            <w:r>
              <w:rPr>
                <w:sz w:val="4"/>
                <w:szCs w:val="4"/>
              </w:rPr>
            </w:r>
          </w:p>
        </w:tc>
      </w:tr>
      <w:tr>
        <w:trPr/>
        <w:tc>
          <w:tcPr>
            <w:tcW w:w="53"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left"/>
        <w:rPr>
          <w:rFonts w:ascii="ARIAL" w:hAnsi="ARIAL"/>
          <w:b/>
          <w:sz w:val="20"/>
        </w:rPr>
      </w:pPr>
      <w:r>
        <w:rPr>
          <w:rFonts w:ascii="ARIAL" w:hAnsi="ARIAL"/>
          <w:b/>
          <w:sz w:val="20"/>
        </w:rPr>
        <w:t xml:space="preserve">DEAR FELLOW STOCKHOLDERS, </w:t>
      </w:r>
    </w:p>
    <w:p>
      <w:pPr>
        <w:pStyle w:val="TextBody"/>
        <w:spacing w:before="120" w:after="0"/>
        <w:jc w:val="left"/>
        <w:rPr>
          <w:rFonts w:ascii="Times New Roman" w:hAnsi="Times New Roman"/>
          <w:sz w:val="20"/>
        </w:rPr>
      </w:pPr>
      <w:r>
        <w:rPr>
          <w:rFonts w:ascii="Times New Roman" w:hAnsi="Times New Roman"/>
          <w:sz w:val="20"/>
        </w:rPr>
        <w:t xml:space="preserve">We are pleased to announce the Community Health Systems, Inc. 2023 Annual Meeting. The attached Notice of Annual Meeting of Stockholders and Proxy Statement describe the business to be considered and voted on during that meeting. We encourage you to read the Proxy Statement carefully for more information. </w:t>
      </w:r>
    </w:p>
    <w:p>
      <w:pPr>
        <w:pStyle w:val="TextBody"/>
        <w:spacing w:before="120" w:after="0"/>
        <w:jc w:val="left"/>
        <w:rPr>
          <w:rFonts w:ascii="Times New Roman" w:hAnsi="Times New Roman"/>
          <w:sz w:val="20"/>
        </w:rPr>
      </w:pPr>
      <w:r>
        <w:rPr>
          <w:rFonts w:ascii="Times New Roman" w:hAnsi="Times New Roman"/>
          <w:sz w:val="20"/>
        </w:rPr>
        <w:t xml:space="preserve">It is important that your shares be represented at the Annual Meeting. Whether or not you plan on attending the meeting, the Company would appreciate your efforts to vote your shares. Additional information on this process can be found in the Proxy Statement. </w:t>
      </w:r>
    </w:p>
    <w:p>
      <w:pPr>
        <w:pStyle w:val="TextBody"/>
        <w:spacing w:before="120" w:after="0"/>
        <w:jc w:val="left"/>
        <w:rPr>
          <w:rFonts w:ascii="Times New Roman" w:hAnsi="Times New Roman"/>
          <w:sz w:val="20"/>
        </w:rPr>
      </w:pPr>
      <w:r>
        <w:rPr>
          <w:rFonts w:ascii="Times New Roman" w:hAnsi="Times New Roman"/>
          <w:sz w:val="20"/>
        </w:rPr>
        <w:t xml:space="preserve">We do not believe that communication begins and ends with the Annual Meeting. We appreciate the dialogue we have with our stockholders and look forward to continuing this dialogue in the future. Thank you for your investment in Community Health Systems, Inc. and your support. </w:t>
      </w:r>
    </w:p>
    <w:p>
      <w:pPr>
        <w:pStyle w:val="TextBody"/>
        <w:spacing w:before="240" w:after="0"/>
        <w:jc w:val="left"/>
        <w:rPr>
          <w:rFonts w:ascii="Times New Roman" w:hAnsi="Times New Roman"/>
          <w:sz w:val="20"/>
        </w:rPr>
      </w:pPr>
      <w:r>
        <w:rPr>
          <w:rFonts w:ascii="Times New Roman" w:hAnsi="Times New Roman"/>
          <w:sz w:val="20"/>
        </w:rPr>
        <w:t xml:space="preserve">Sincerely, </w:t>
      </w:r>
    </w:p>
    <w:p>
      <w:pPr>
        <w:pStyle w:val="TextBody"/>
        <w:spacing w:before="0" w:after="0"/>
        <w:jc w:val="left"/>
        <w:rPr/>
      </w:pPr>
      <w:r>
        <w:rPr/>
        <w:t> </w:t>
      </w:r>
    </w:p>
    <w:p>
      <w:pPr>
        <w:pStyle w:val="TextBody"/>
        <w:spacing w:before="0" w:after="0"/>
        <w:jc w:val="left"/>
        <w:rPr/>
      </w:pPr>
      <w:r>
        <w:rPr/>
        <w:drawing>
          <wp:inline distT="0" distB="0" distL="0" distR="0">
            <wp:extent cx="161925" cy="6604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61925" cy="66040"/>
                    </a:xfrm>
                    <a:prstGeom prst="rect">
                      <a:avLst/>
                    </a:prstGeom>
                  </pic:spPr>
                </pic:pic>
              </a:graphicData>
            </a:graphic>
          </wp:inline>
        </w:drawing>
      </w:r>
      <w:r>
        <w:rPr/>
        <w:t xml:space="preserve"> </w:t>
      </w:r>
    </w:p>
    <w:p>
      <w:pPr>
        <w:pStyle w:val="TextBody"/>
        <w:spacing w:before="120" w:after="0"/>
        <w:jc w:val="left"/>
        <w:rPr>
          <w:rFonts w:ascii="Times New Roman" w:hAnsi="Times New Roman"/>
          <w:sz w:val="20"/>
        </w:rPr>
      </w:pPr>
      <w:r>
        <w:rPr>
          <w:rFonts w:ascii="Times New Roman" w:hAnsi="Times New Roman"/>
          <w:sz w:val="20"/>
        </w:rPr>
        <w:t xml:space="preserve">Wayne T. Smith </w:t>
      </w:r>
    </w:p>
    <w:p>
      <w:pPr>
        <w:pStyle w:val="TextBody"/>
        <w:spacing w:before="0" w:after="0"/>
        <w:jc w:val="left"/>
        <w:rPr>
          <w:rFonts w:ascii="Times New Roman" w:hAnsi="Times New Roman"/>
          <w:sz w:val="20"/>
        </w:rPr>
      </w:pPr>
      <w:r>
        <w:rPr>
          <w:rFonts w:ascii="Times New Roman" w:hAnsi="Times New Roman"/>
          <w:sz w:val="20"/>
        </w:rPr>
        <w:t xml:space="preserve">Chairman of the Board of Directors </w:t>
      </w:r>
    </w:p>
    <w:p>
      <w:pPr>
        <w:pStyle w:val="TextBody"/>
        <w:spacing w:before="0" w:after="0"/>
        <w:jc w:val="left"/>
        <w:rPr/>
      </w:pPr>
      <w:r>
        <w:rPr/>
        <w:t> </w:t>
      </w:r>
    </w:p>
    <w:p>
      <w:pPr>
        <w:pStyle w:val="TextBody"/>
        <w:spacing w:before="0" w:after="0"/>
        <w:jc w:val="left"/>
        <w:rPr/>
      </w:pPr>
      <w:r>
        <w:rPr/>
        <w:drawing>
          <wp:inline distT="0" distB="0" distL="0" distR="0">
            <wp:extent cx="139065" cy="6286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39065" cy="62865"/>
                    </a:xfrm>
                    <a:prstGeom prst="rect">
                      <a:avLst/>
                    </a:prstGeom>
                  </pic:spPr>
                </pic:pic>
              </a:graphicData>
            </a:graphic>
          </wp:inline>
        </w:drawing>
      </w:r>
      <w:r>
        <w:rPr/>
        <w:t xml:space="preserve"> </w:t>
      </w:r>
    </w:p>
    <w:p>
      <w:pPr>
        <w:pStyle w:val="TextBody"/>
        <w:spacing w:before="120" w:after="0"/>
        <w:jc w:val="left"/>
        <w:rPr>
          <w:rFonts w:ascii="Times New Roman" w:hAnsi="Times New Roman"/>
          <w:sz w:val="20"/>
        </w:rPr>
      </w:pPr>
      <w:r>
        <w:rPr>
          <w:rFonts w:ascii="Times New Roman" w:hAnsi="Times New Roman"/>
          <w:sz w:val="20"/>
        </w:rPr>
        <w:t xml:space="preserve">Tim L. Hingtgen </w:t>
      </w:r>
    </w:p>
    <w:p>
      <w:pPr>
        <w:pStyle w:val="TextBody"/>
        <w:spacing w:before="0" w:after="0"/>
        <w:jc w:val="left"/>
        <w:rPr>
          <w:rFonts w:ascii="Times New Roman" w:hAnsi="Times New Roman"/>
          <w:sz w:val="20"/>
        </w:rPr>
      </w:pPr>
      <w:r>
        <w:rPr>
          <w:rFonts w:ascii="Times New Roman" w:hAnsi="Times New Roman"/>
          <w:sz w:val="20"/>
        </w:rPr>
        <w:t xml:space="preserve">Chief Executive Officer </w:t>
      </w:r>
    </w:p>
    <w:p>
      <w:pPr>
        <w:pStyle w:val="TextBody"/>
        <w:spacing w:before="0" w:after="0"/>
        <w:jc w:val="left"/>
        <w:rPr/>
      </w:pPr>
      <w:r>
        <w:rPr/>
        <w:t> </w:t>
      </w:r>
      <w:r>
        <w:br w:type="page"/>
      </w:r>
    </w:p>
    <w:p>
      <w:pPr>
        <w:pStyle w:val="HorizontalLine"/>
        <w:rPr/>
      </w:pPr>
      <w:r>
        <w:rPr/>
      </w:r>
    </w:p>
    <w:tbl>
      <w:tblPr>
        <w:tblW w:w="1049" w:type="dxa"/>
        <w:jc w:val="left"/>
        <w:tblInd w:w="0" w:type="dxa"/>
        <w:tblCellMar>
          <w:top w:w="0" w:type="dxa"/>
          <w:left w:w="0" w:type="dxa"/>
          <w:bottom w:w="0" w:type="dxa"/>
          <w:right w:w="0" w:type="dxa"/>
        </w:tblCellMar>
      </w:tblPr>
      <w:tblGrid>
        <w:gridCol w:w="38"/>
        <w:gridCol w:w="60"/>
        <w:gridCol w:w="23"/>
        <w:gridCol w:w="60"/>
        <w:gridCol w:w="23"/>
        <w:gridCol w:w="60"/>
        <w:gridCol w:w="23"/>
        <w:gridCol w:w="60"/>
        <w:gridCol w:w="23"/>
        <w:gridCol w:w="60"/>
        <w:gridCol w:w="23"/>
        <w:gridCol w:w="60"/>
        <w:gridCol w:w="23"/>
        <w:gridCol w:w="60"/>
        <w:gridCol w:w="23"/>
        <w:gridCol w:w="60"/>
        <w:gridCol w:w="23"/>
        <w:gridCol w:w="60"/>
        <w:gridCol w:w="23"/>
        <w:gridCol w:w="60"/>
        <w:gridCol w:w="23"/>
        <w:gridCol w:w="60"/>
        <w:gridCol w:w="23"/>
        <w:gridCol w:w="60"/>
        <w:gridCol w:w="38"/>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E0DDCC" w:val="clear"/>
            <w:vAlign w:val="center"/>
          </w:tcPr>
          <w:p>
            <w:pPr>
              <w:pStyle w:val="TableContents"/>
              <w:spacing w:before="0" w:after="283"/>
              <w:rPr/>
            </w:pPr>
            <w:r>
              <w:rPr/>
              <w:t> </w:t>
            </w:r>
          </w:p>
        </w:tc>
        <w:tc>
          <w:tcPr>
            <w:tcW w:w="23" w:type="dxa"/>
            <w:tcBorders/>
            <w:shd w:fill="E0DDCC"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E0DDCC" w:val="clear"/>
            <w:vAlign w:val="center"/>
          </w:tcPr>
          <w:p>
            <w:pPr>
              <w:pStyle w:val="TableContents"/>
              <w:spacing w:before="0" w:after="283"/>
              <w:rPr/>
            </w:pPr>
            <w:r>
              <w:rPr/>
              <w:t> </w:t>
            </w:r>
          </w:p>
        </w:tc>
        <w:tc>
          <w:tcPr>
            <w:tcW w:w="23" w:type="dxa"/>
            <w:tcBorders/>
            <w:shd w:fill="E0DDCC"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E0DDCC" w:val="clear"/>
            <w:vAlign w:val="center"/>
          </w:tcPr>
          <w:p>
            <w:pPr>
              <w:pStyle w:val="TableContents"/>
              <w:spacing w:before="0" w:after="283"/>
              <w:rPr/>
            </w:pPr>
            <w:r>
              <w:rPr/>
              <w:t> </w:t>
            </w:r>
          </w:p>
        </w:tc>
        <w:tc>
          <w:tcPr>
            <w:tcW w:w="23" w:type="dxa"/>
            <w:tcBorders/>
            <w:shd w:fill="E0DDCC"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E0DDCC" w:val="clear"/>
            <w:vAlign w:val="center"/>
          </w:tcPr>
          <w:p>
            <w:pPr>
              <w:pStyle w:val="TableContents"/>
              <w:spacing w:before="0" w:after="283"/>
              <w:rPr/>
            </w:pPr>
            <w:r>
              <w:rPr/>
              <w:t> </w:t>
            </w:r>
          </w:p>
        </w:tc>
        <w:tc>
          <w:tcPr>
            <w:tcW w:w="23" w:type="dxa"/>
            <w:tcBorders/>
            <w:shd w:fill="E0DDCC"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E0DDCC" w:val="clear"/>
            <w:vAlign w:val="center"/>
          </w:tcPr>
          <w:p>
            <w:pPr>
              <w:pStyle w:val="TableContents"/>
              <w:spacing w:before="0" w:after="283"/>
              <w:rPr/>
            </w:pPr>
            <w:r>
              <w:rPr/>
              <w:t> </w:t>
            </w:r>
          </w:p>
        </w:tc>
        <w:tc>
          <w:tcPr>
            <w:tcW w:w="23" w:type="dxa"/>
            <w:tcBorders/>
            <w:shd w:fill="E0DDCC"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E0DDCC" w:val="clear"/>
            <w:vAlign w:val="center"/>
          </w:tcPr>
          <w:p>
            <w:pPr>
              <w:pStyle w:val="TableContents"/>
              <w:spacing w:before="0" w:after="283"/>
              <w:rPr/>
            </w:pPr>
            <w:r>
              <w:rPr/>
              <w:t> </w:t>
            </w:r>
          </w:p>
        </w:tc>
        <w:tc>
          <w:tcPr>
            <w:tcW w:w="23" w:type="dxa"/>
            <w:tcBorders/>
            <w:shd w:fill="E0DDCC"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left"/>
        <w:rPr/>
      </w:pPr>
      <w:r>
        <w:rPr/>
        <w:t> </w:t>
      </w:r>
    </w:p>
    <w:p>
      <w:pPr>
        <w:pStyle w:val="TextBody"/>
        <w:pBdr>
          <w:bottom w:val="single" w:sz="8" w:space="1" w:color="000000"/>
        </w:pBdr>
        <w:spacing w:lineRule="atLeast" w:line="141" w:before="0" w:after="40"/>
        <w:jc w:val="left"/>
        <w:rPr/>
      </w:pPr>
      <w:r>
        <w:rPr/>
        <w:t> </w:t>
      </w:r>
    </w:p>
    <w:p>
      <w:pPr>
        <w:pStyle w:val="TextBody"/>
        <w:spacing w:before="600" w:after="0"/>
        <w:jc w:val="left"/>
        <w:rPr>
          <w:rFonts w:ascii="ARIAL" w:hAnsi="ARIAL"/>
          <w:b/>
          <w:color w:val="02197A"/>
          <w:sz w:val="24"/>
        </w:rPr>
      </w:pPr>
      <w:r>
        <w:rPr>
          <w:rFonts w:ascii="ARIAL" w:hAnsi="ARIAL"/>
          <w:b/>
          <w:color w:val="02197A"/>
          <w:sz w:val="24"/>
        </w:rPr>
        <w:t xml:space="preserve">COMMUNITY HEALTH SYSTEMS, INC. </w:t>
      </w:r>
    </w:p>
    <w:p>
      <w:pPr>
        <w:pStyle w:val="TextBody"/>
        <w:spacing w:before="360" w:after="0"/>
        <w:jc w:val="center"/>
        <w:rPr>
          <w:rFonts w:ascii="ARIAL" w:hAnsi="ARIAL"/>
          <w:b/>
          <w:sz w:val="24"/>
        </w:rPr>
      </w:pPr>
      <w:r>
        <w:rPr>
          <w:rFonts w:ascii="ARIAL" w:hAnsi="ARIAL"/>
          <w:b/>
          <w:sz w:val="24"/>
        </w:rPr>
        <w:t xml:space="preserve">NOTICE OF ANNUAL MEETING OF STOCKHOLDERS </w:t>
      </w:r>
    </w:p>
    <w:p>
      <w:pPr>
        <w:pStyle w:val="TextBody"/>
        <w:spacing w:before="320" w:after="0"/>
        <w:jc w:val="left"/>
        <w:rPr>
          <w:rFonts w:ascii="ARIAL" w:hAnsi="ARIAL"/>
          <w:b/>
          <w:color w:val="02197A"/>
          <w:sz w:val="20"/>
        </w:rPr>
      </w:pPr>
      <w:r>
        <w:rPr>
          <w:rFonts w:ascii="ARIAL" w:hAnsi="ARIAL"/>
          <w:b/>
          <w:color w:val="02197A"/>
          <w:sz w:val="20"/>
        </w:rPr>
        <w:t xml:space="preserve">Tuesday, May 9, 2023 </w:t>
      </w:r>
    </w:p>
    <w:p>
      <w:pPr>
        <w:pStyle w:val="TextBody"/>
        <w:spacing w:before="0" w:after="0"/>
        <w:jc w:val="left"/>
        <w:rPr>
          <w:rFonts w:ascii="ARIAL" w:hAnsi="ARIAL"/>
          <w:b/>
          <w:color w:val="02197A"/>
          <w:sz w:val="20"/>
        </w:rPr>
      </w:pPr>
      <w:r>
        <w:rPr>
          <w:rFonts w:ascii="ARIAL" w:hAnsi="ARIAL"/>
          <w:b/>
          <w:color w:val="02197A"/>
          <w:sz w:val="20"/>
        </w:rPr>
        <w:t xml:space="preserve">8:00 a.m. (Central Time) </w:t>
      </w:r>
    </w:p>
    <w:p>
      <w:pPr>
        <w:pStyle w:val="TextBody"/>
        <w:spacing w:before="0" w:after="0"/>
        <w:jc w:val="left"/>
        <w:rPr>
          <w:rFonts w:ascii="ARIAL" w:hAnsi="ARIAL"/>
          <w:b/>
          <w:color w:val="02197A"/>
          <w:sz w:val="20"/>
        </w:rPr>
      </w:pPr>
      <w:r>
        <w:rPr>
          <w:rFonts w:ascii="ARIAL" w:hAnsi="ARIAL"/>
          <w:b/>
          <w:color w:val="02197A"/>
          <w:sz w:val="20"/>
        </w:rPr>
        <w:t xml:space="preserve">Hilton Franklin Cool Springs, 601 Corporate Centre Drive, Franklin, TN 37067 </w:t>
      </w:r>
    </w:p>
    <w:p>
      <w:pPr>
        <w:pStyle w:val="TextBody"/>
        <w:spacing w:before="240" w:after="0"/>
        <w:jc w:val="left"/>
        <w:rPr>
          <w:rFonts w:ascii="Times New Roman" w:hAnsi="Times New Roman"/>
          <w:sz w:val="20"/>
        </w:rPr>
      </w:pPr>
      <w:r>
        <w:rPr>
          <w:rFonts w:ascii="Times New Roman" w:hAnsi="Times New Roman"/>
          <w:sz w:val="20"/>
        </w:rPr>
        <w:t xml:space="preserve">The Annual Meeting of Stockholders of Community Health Systems, Inc. (the “Annual Meeting”) will be held on Tuesday, May 9, 2023 at 8:00 a.m. (Central Time) at the Hilton Franklin Cool Springs, 601 Corporate Centre Drive, Franklin, TN 37067. </w:t>
      </w:r>
    </w:p>
    <w:p>
      <w:pPr>
        <w:pStyle w:val="TextBody"/>
        <w:spacing w:before="240" w:after="0"/>
        <w:jc w:val="left"/>
        <w:rPr>
          <w:rFonts w:ascii="Times New Roman" w:hAnsi="Times New Roman"/>
          <w:sz w:val="20"/>
        </w:rPr>
      </w:pPr>
      <w:r>
        <w:rPr>
          <w:rFonts w:ascii="Times New Roman" w:hAnsi="Times New Roman"/>
          <w:sz w:val="20"/>
        </w:rPr>
        <w:t xml:space="preserve">The Annual Meeting will be held for the purpose of considering and acting upon the following matters: </w:t>
      </w:r>
    </w:p>
    <w:p>
      <w:pPr>
        <w:pStyle w:val="TextBody"/>
        <w:spacing w:before="0" w:after="0"/>
        <w:jc w:val="left"/>
        <w:rPr/>
      </w:pPr>
      <w:r>
        <w:rPr/>
        <w:t> </w:t>
      </w:r>
    </w:p>
    <w:tbl>
      <w:tblPr>
        <w:tblW w:w="10165" w:type="dxa"/>
        <w:jc w:val="left"/>
        <w:tblInd w:w="0" w:type="dxa"/>
        <w:tblCellMar>
          <w:top w:w="0" w:type="dxa"/>
          <w:left w:w="0" w:type="dxa"/>
          <w:bottom w:w="0" w:type="dxa"/>
          <w:right w:w="0" w:type="dxa"/>
        </w:tblCellMar>
      </w:tblPr>
      <w:tblGrid>
        <w:gridCol w:w="75"/>
        <w:gridCol w:w="200"/>
        <w:gridCol w:w="9815"/>
        <w:gridCol w:w="75"/>
      </w:tblGrid>
      <w:tr>
        <w:trPr/>
        <w:tc>
          <w:tcPr>
            <w:tcW w:w="75"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jc w:val="left"/>
              <w:rPr/>
            </w:pPr>
            <w:r>
              <w:rPr/>
              <w:t>1.</w:t>
            </w:r>
          </w:p>
        </w:tc>
        <w:tc>
          <w:tcPr>
            <w:tcW w:w="981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To elect twelve (12) directors, each to serve for a term of one year to expire at the 2024 Annual Meeting of Stockholders; </w:t>
            </w:r>
          </w:p>
        </w:tc>
        <w:tc>
          <w:tcPr>
            <w:tcW w:w="75" w:type="dxa"/>
            <w:tcBorders/>
            <w:shd w:fill="auto" w:val="clear"/>
            <w:vAlign w:val="center"/>
          </w:tcPr>
          <w:p>
            <w:pPr>
              <w:pStyle w:val="TableContents"/>
              <w:spacing w:before="0" w:after="283"/>
              <w:rPr/>
            </w:pPr>
            <w:r>
              <w:rPr/>
              <w:t> </w:t>
            </w:r>
          </w:p>
        </w:tc>
      </w:tr>
    </w:tbl>
    <w:p>
      <w:pPr>
        <w:pStyle w:val="TextBody"/>
        <w:spacing w:before="0" w:after="0"/>
        <w:jc w:val="left"/>
        <w:rPr/>
      </w:pPr>
      <w:r>
        <w:rPr/>
        <w:t> </w:t>
      </w:r>
    </w:p>
    <w:tbl>
      <w:tblPr>
        <w:tblW w:w="4795" w:type="dxa"/>
        <w:jc w:val="left"/>
        <w:tblInd w:w="0" w:type="dxa"/>
        <w:tblCellMar>
          <w:top w:w="0" w:type="dxa"/>
          <w:left w:w="0" w:type="dxa"/>
          <w:bottom w:w="0" w:type="dxa"/>
          <w:right w:w="0" w:type="dxa"/>
        </w:tblCellMar>
      </w:tblPr>
      <w:tblGrid>
        <w:gridCol w:w="75"/>
        <w:gridCol w:w="200"/>
        <w:gridCol w:w="4445"/>
        <w:gridCol w:w="75"/>
      </w:tblGrid>
      <w:tr>
        <w:trPr/>
        <w:tc>
          <w:tcPr>
            <w:tcW w:w="75"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jc w:val="left"/>
              <w:rPr/>
            </w:pPr>
            <w:r>
              <w:rPr/>
              <w:t>2.</w:t>
            </w:r>
          </w:p>
        </w:tc>
        <w:tc>
          <w:tcPr>
            <w:tcW w:w="444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To hold an advisory vote on executive compensation; </w:t>
            </w:r>
          </w:p>
        </w:tc>
        <w:tc>
          <w:tcPr>
            <w:tcW w:w="75" w:type="dxa"/>
            <w:tcBorders/>
            <w:shd w:fill="auto" w:val="clear"/>
            <w:vAlign w:val="center"/>
          </w:tcPr>
          <w:p>
            <w:pPr>
              <w:pStyle w:val="TableContents"/>
              <w:spacing w:before="0" w:after="283"/>
              <w:rPr/>
            </w:pPr>
            <w:r>
              <w:rPr/>
              <w: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96"/>
        <w:gridCol w:w="9858"/>
        <w:gridCol w:w="76"/>
      </w:tblGrid>
      <w:tr>
        <w:trPr/>
        <w:tc>
          <w:tcPr>
            <w:tcW w:w="75" w:type="dxa"/>
            <w:tcBorders/>
            <w:shd w:fill="auto" w:val="clear"/>
            <w:vAlign w:val="center"/>
          </w:tcPr>
          <w:p>
            <w:pPr>
              <w:pStyle w:val="TableContents"/>
              <w:spacing w:before="0" w:after="283"/>
              <w:rPr/>
            </w:pPr>
            <w:r>
              <w:rPr/>
              <w:t> </w:t>
            </w:r>
          </w:p>
        </w:tc>
        <w:tc>
          <w:tcPr>
            <w:tcW w:w="196" w:type="dxa"/>
            <w:tcBorders/>
            <w:shd w:fill="auto" w:val="clear"/>
            <w:vAlign w:val="center"/>
          </w:tcPr>
          <w:p>
            <w:pPr>
              <w:pStyle w:val="TableContents"/>
              <w:spacing w:before="0" w:after="283"/>
              <w:jc w:val="left"/>
              <w:rPr/>
            </w:pPr>
            <w:r>
              <w:rPr/>
              <w:t>3.</w:t>
            </w:r>
          </w:p>
        </w:tc>
        <w:tc>
          <w:tcPr>
            <w:tcW w:w="9858"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To hold an advisory vote on the frequency with which stockholders are provided an advisory vote on executive compensation; </w:t>
            </w:r>
          </w:p>
        </w:tc>
        <w:tc>
          <w:tcPr>
            <w:tcW w:w="76" w:type="dxa"/>
            <w:tcBorders/>
            <w:shd w:fill="auto" w:val="clear"/>
            <w:vAlign w:val="center"/>
          </w:tcPr>
          <w:p>
            <w:pPr>
              <w:pStyle w:val="TableContents"/>
              <w:spacing w:before="0" w:after="283"/>
              <w:rPr/>
            </w:pPr>
            <w:r>
              <w:rPr/>
              <w: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63"/>
        <w:gridCol w:w="9891"/>
        <w:gridCol w:w="76"/>
      </w:tblGrid>
      <w:tr>
        <w:trPr/>
        <w:tc>
          <w:tcPr>
            <w:tcW w:w="75" w:type="dxa"/>
            <w:tcBorders/>
            <w:shd w:fill="auto" w:val="clear"/>
            <w:vAlign w:val="center"/>
          </w:tcPr>
          <w:p>
            <w:pPr>
              <w:pStyle w:val="TableContents"/>
              <w:spacing w:before="0" w:after="283"/>
              <w:rPr/>
            </w:pPr>
            <w:r>
              <w:rPr/>
              <w:t> </w:t>
            </w:r>
          </w:p>
        </w:tc>
        <w:tc>
          <w:tcPr>
            <w:tcW w:w="163" w:type="dxa"/>
            <w:tcBorders/>
            <w:shd w:fill="auto" w:val="clear"/>
            <w:vAlign w:val="center"/>
          </w:tcPr>
          <w:p>
            <w:pPr>
              <w:pStyle w:val="TableContents"/>
              <w:spacing w:before="0" w:after="283"/>
              <w:jc w:val="left"/>
              <w:rPr/>
            </w:pPr>
            <w:r>
              <w:rPr/>
              <w:t>4.</w:t>
            </w:r>
          </w:p>
        </w:tc>
        <w:tc>
          <w:tcPr>
            <w:tcW w:w="9891"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To approve the amendment and restatement of the Community Health Systems, Inc. 2009 Stock Option and Award Plan, as previously amended and restated (the “2009 Plan”), which was approved by our Board of Directors on March 22, 2023, subject to stockholder approval at the Annual Meeting; </w:t>
            </w:r>
          </w:p>
        </w:tc>
        <w:tc>
          <w:tcPr>
            <w:tcW w:w="76" w:type="dxa"/>
            <w:tcBorders/>
            <w:shd w:fill="auto" w:val="clear"/>
            <w:vAlign w:val="center"/>
          </w:tcPr>
          <w:p>
            <w:pPr>
              <w:pStyle w:val="TableContents"/>
              <w:spacing w:before="0" w:after="283"/>
              <w:rPr/>
            </w:pPr>
            <w:r>
              <w:rPr/>
              <w: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86"/>
        <w:gridCol w:w="9868"/>
        <w:gridCol w:w="76"/>
      </w:tblGrid>
      <w:tr>
        <w:trPr/>
        <w:tc>
          <w:tcPr>
            <w:tcW w:w="75" w:type="dxa"/>
            <w:tcBorders/>
            <w:shd w:fill="auto" w:val="clear"/>
            <w:vAlign w:val="center"/>
          </w:tcPr>
          <w:p>
            <w:pPr>
              <w:pStyle w:val="TableContents"/>
              <w:spacing w:before="0" w:after="283"/>
              <w:rPr/>
            </w:pPr>
            <w:r>
              <w:rPr/>
              <w:t> </w:t>
            </w:r>
          </w:p>
        </w:tc>
        <w:tc>
          <w:tcPr>
            <w:tcW w:w="186" w:type="dxa"/>
            <w:tcBorders/>
            <w:shd w:fill="auto" w:val="clear"/>
            <w:vAlign w:val="center"/>
          </w:tcPr>
          <w:p>
            <w:pPr>
              <w:pStyle w:val="TableContents"/>
              <w:spacing w:before="0" w:after="283"/>
              <w:jc w:val="left"/>
              <w:rPr/>
            </w:pPr>
            <w:r>
              <w:rPr/>
              <w:t>5.</w:t>
            </w:r>
          </w:p>
        </w:tc>
        <w:tc>
          <w:tcPr>
            <w:tcW w:w="9868"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To ratify the appointment of Deloitte &amp; Touche LLP as our independent registered public accounting firm for the fiscal year ending December 31, 2023; </w:t>
            </w:r>
          </w:p>
        </w:tc>
        <w:tc>
          <w:tcPr>
            <w:tcW w:w="76" w:type="dxa"/>
            <w:tcBorders/>
            <w:shd w:fill="auto" w:val="clear"/>
            <w:vAlign w:val="center"/>
          </w:tcPr>
          <w:p>
            <w:pPr>
              <w:pStyle w:val="TableContents"/>
              <w:spacing w:before="0" w:after="283"/>
              <w:rPr/>
            </w:pPr>
            <w:r>
              <w:rPr/>
              <w:t> </w:t>
            </w:r>
          </w:p>
        </w:tc>
      </w:tr>
    </w:tbl>
    <w:p>
      <w:pPr>
        <w:pStyle w:val="TextBody"/>
        <w:spacing w:before="0" w:after="0"/>
        <w:jc w:val="left"/>
        <w:rPr/>
      </w:pPr>
      <w:r>
        <w:rPr/>
        <w:t> </w:t>
      </w:r>
    </w:p>
    <w:tbl>
      <w:tblPr>
        <w:tblW w:w="10150" w:type="dxa"/>
        <w:jc w:val="left"/>
        <w:tblInd w:w="0" w:type="dxa"/>
        <w:tblCellMar>
          <w:top w:w="0" w:type="dxa"/>
          <w:left w:w="0" w:type="dxa"/>
          <w:bottom w:w="0" w:type="dxa"/>
          <w:right w:w="0" w:type="dxa"/>
        </w:tblCellMar>
      </w:tblPr>
      <w:tblGrid>
        <w:gridCol w:w="75"/>
        <w:gridCol w:w="200"/>
        <w:gridCol w:w="9800"/>
        <w:gridCol w:w="75"/>
      </w:tblGrid>
      <w:tr>
        <w:trPr/>
        <w:tc>
          <w:tcPr>
            <w:tcW w:w="75"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jc w:val="left"/>
              <w:rPr/>
            </w:pPr>
            <w:r>
              <w:rPr/>
              <w:t>6.</w:t>
            </w:r>
          </w:p>
        </w:tc>
        <w:tc>
          <w:tcPr>
            <w:tcW w:w="980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To transact such other business as may properly come before the meeting and any adjournment or postponement thereof. </w:t>
            </w:r>
          </w:p>
        </w:tc>
        <w:tc>
          <w:tcPr>
            <w:tcW w:w="75"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The close of business on March 13, 2023, has been fixed as the record date for the determination of stockholders entitled to notice of and to vote at the meeting and any adjournment or postponement thereof. </w:t>
      </w:r>
    </w:p>
    <w:p>
      <w:pPr>
        <w:pStyle w:val="TextBody"/>
        <w:spacing w:before="240" w:after="0"/>
        <w:jc w:val="left"/>
        <w:rPr>
          <w:rFonts w:ascii="Times New Roman" w:hAnsi="Times New Roman"/>
          <w:sz w:val="20"/>
        </w:rPr>
      </w:pPr>
      <w:r>
        <w:rPr>
          <w:rFonts w:ascii="Times New Roman" w:hAnsi="Times New Roman"/>
          <w:sz w:val="20"/>
        </w:rPr>
        <w:t xml:space="preserve">YOU ARE REQUESTED, WHETHER OR NOT YOU PLAN TO BE PRESENT AT THE MEETING, TO VOTE VIA THE INTERNET OR BY TELEPHONE, OR COMPLETE, DATE, SIGN AND RETURN THE ACCOMPANYING PROXY IN THE ENCLOSED ENVELOPE (IF APPLICABLE). IF YOU ATTEND THE MEETING AND WISH TO VOTE YOUR SHARES PERSONALLY, YOU MAY DO SO AT ANY TIME BEFORE THE PROXY IS EXERCISED. IF YOU HOLD YOUR SHARES THROUGH A BANK, BROKER OR OTHER NOMINEE, YOU MAY VOTE YOUR SHARES BY THE METHODS SPECIFIED ON THE VOTING INSTRUCTION FORM THAT THEY PROVIDE. WE ENCOURAGE YOU TO VOTE YOUR SHARES AS SOON AS POSSIBLE. </w:t>
      </w:r>
    </w:p>
    <w:p>
      <w:pPr>
        <w:pStyle w:val="TextBody"/>
        <w:spacing w:before="360" w:after="0"/>
        <w:jc w:val="left"/>
        <w:rPr>
          <w:rFonts w:ascii="Times New Roman" w:hAnsi="Times New Roman"/>
          <w:sz w:val="20"/>
        </w:rPr>
      </w:pPr>
      <w:r>
        <w:rPr>
          <w:rFonts w:ascii="Times New Roman" w:hAnsi="Times New Roman"/>
          <w:sz w:val="20"/>
        </w:rPr>
        <w:t xml:space="preserve">By Order of the Board of Directors, </w:t>
      </w:r>
    </w:p>
    <w:p>
      <w:pPr>
        <w:pStyle w:val="TextBody"/>
        <w:spacing w:before="240" w:after="0"/>
        <w:jc w:val="left"/>
        <w:rPr>
          <w:rFonts w:ascii="Times New Roman" w:hAnsi="Times New Roman"/>
          <w:sz w:val="20"/>
        </w:rPr>
      </w:pPr>
      <w:r>
        <w:rPr>
          <w:rFonts w:ascii="Times New Roman" w:hAnsi="Times New Roman"/>
          <w:sz w:val="20"/>
        </w:rPr>
        <w:t xml:space="preserve">Christopher G. Cobb </w:t>
      </w:r>
    </w:p>
    <w:p>
      <w:pPr>
        <w:pStyle w:val="TextBody"/>
        <w:spacing w:before="0" w:after="0"/>
        <w:jc w:val="left"/>
        <w:rPr>
          <w:rFonts w:ascii="Times New Roman" w:hAnsi="Times New Roman"/>
          <w:sz w:val="20"/>
        </w:rPr>
      </w:pPr>
      <w:r>
        <w:rPr>
          <w:rFonts w:ascii="Times New Roman" w:hAnsi="Times New Roman"/>
          <w:sz w:val="20"/>
        </w:rPr>
        <w:t xml:space="preserve">Vice President-Legal and Corporate Secretary </w:t>
      </w:r>
    </w:p>
    <w:p>
      <w:pPr>
        <w:pStyle w:val="TextBody"/>
        <w:spacing w:before="240" w:after="0"/>
        <w:jc w:val="left"/>
        <w:rPr>
          <w:rFonts w:ascii="Times New Roman" w:hAnsi="Times New Roman"/>
          <w:sz w:val="20"/>
        </w:rPr>
      </w:pPr>
      <w:r>
        <w:rPr>
          <w:rFonts w:ascii="Times New Roman" w:hAnsi="Times New Roman"/>
          <w:sz w:val="20"/>
        </w:rPr>
        <w:t xml:space="preserve">Franklin, Tennessee </w:t>
      </w:r>
    </w:p>
    <w:p>
      <w:pPr>
        <w:pStyle w:val="TextBody"/>
        <w:spacing w:before="0" w:after="0"/>
        <w:jc w:val="left"/>
        <w:rPr>
          <w:rFonts w:ascii="Times New Roman" w:hAnsi="Times New Roman"/>
          <w:sz w:val="20"/>
        </w:rPr>
      </w:pPr>
      <w:r>
        <w:rPr>
          <w:rFonts w:ascii="Times New Roman" w:hAnsi="Times New Roman"/>
          <w:sz w:val="20"/>
        </w:rPr>
        <w:t xml:space="preserve">March 30, 2023 </w:t>
      </w:r>
      <w:r>
        <w:br w:type="page"/>
      </w:r>
    </w:p>
    <w:p>
      <w:pPr>
        <w:pStyle w:val="HorizontalLine"/>
        <w:rPr/>
      </w:pPr>
      <w:r>
        <w:rPr/>
      </w:r>
    </w:p>
    <w:tbl>
      <w:tblPr>
        <w:tblW w:w="1049" w:type="dxa"/>
        <w:jc w:val="left"/>
        <w:tblInd w:w="0" w:type="dxa"/>
        <w:tblCellMar>
          <w:top w:w="0" w:type="dxa"/>
          <w:left w:w="0" w:type="dxa"/>
          <w:bottom w:w="0" w:type="dxa"/>
          <w:right w:w="0" w:type="dxa"/>
        </w:tblCellMar>
      </w:tblPr>
      <w:tblGrid>
        <w:gridCol w:w="38"/>
        <w:gridCol w:w="60"/>
        <w:gridCol w:w="23"/>
        <w:gridCol w:w="60"/>
        <w:gridCol w:w="23"/>
        <w:gridCol w:w="60"/>
        <w:gridCol w:w="23"/>
        <w:gridCol w:w="60"/>
        <w:gridCol w:w="23"/>
        <w:gridCol w:w="60"/>
        <w:gridCol w:w="23"/>
        <w:gridCol w:w="60"/>
        <w:gridCol w:w="23"/>
        <w:gridCol w:w="60"/>
        <w:gridCol w:w="23"/>
        <w:gridCol w:w="60"/>
        <w:gridCol w:w="23"/>
        <w:gridCol w:w="60"/>
        <w:gridCol w:w="23"/>
        <w:gridCol w:w="60"/>
        <w:gridCol w:w="23"/>
        <w:gridCol w:w="60"/>
        <w:gridCol w:w="23"/>
        <w:gridCol w:w="60"/>
        <w:gridCol w:w="38"/>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E0DDCC" w:val="clear"/>
            <w:vAlign w:val="center"/>
          </w:tcPr>
          <w:p>
            <w:pPr>
              <w:pStyle w:val="TableContents"/>
              <w:spacing w:before="0" w:after="283"/>
              <w:rPr/>
            </w:pPr>
            <w:r>
              <w:rPr/>
              <w:t> </w:t>
            </w:r>
          </w:p>
        </w:tc>
        <w:tc>
          <w:tcPr>
            <w:tcW w:w="23" w:type="dxa"/>
            <w:tcBorders/>
            <w:shd w:fill="E0DDCC"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E0DDCC" w:val="clear"/>
            <w:vAlign w:val="center"/>
          </w:tcPr>
          <w:p>
            <w:pPr>
              <w:pStyle w:val="TableContents"/>
              <w:spacing w:before="0" w:after="283"/>
              <w:rPr/>
            </w:pPr>
            <w:r>
              <w:rPr/>
              <w:t> </w:t>
            </w:r>
          </w:p>
        </w:tc>
        <w:tc>
          <w:tcPr>
            <w:tcW w:w="23" w:type="dxa"/>
            <w:tcBorders/>
            <w:shd w:fill="E0DDCC"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E0DDCC" w:val="clear"/>
            <w:vAlign w:val="center"/>
          </w:tcPr>
          <w:p>
            <w:pPr>
              <w:pStyle w:val="TableContents"/>
              <w:spacing w:before="0" w:after="283"/>
              <w:rPr/>
            </w:pPr>
            <w:r>
              <w:rPr/>
              <w:t> </w:t>
            </w:r>
          </w:p>
        </w:tc>
        <w:tc>
          <w:tcPr>
            <w:tcW w:w="23" w:type="dxa"/>
            <w:tcBorders/>
            <w:shd w:fill="E0DDCC"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E0DDCC" w:val="clear"/>
            <w:vAlign w:val="center"/>
          </w:tcPr>
          <w:p>
            <w:pPr>
              <w:pStyle w:val="TableContents"/>
              <w:spacing w:before="0" w:after="283"/>
              <w:rPr/>
            </w:pPr>
            <w:r>
              <w:rPr/>
              <w:t> </w:t>
            </w:r>
          </w:p>
        </w:tc>
        <w:tc>
          <w:tcPr>
            <w:tcW w:w="23" w:type="dxa"/>
            <w:tcBorders/>
            <w:shd w:fill="E0DDCC"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E0DDCC" w:val="clear"/>
            <w:vAlign w:val="center"/>
          </w:tcPr>
          <w:p>
            <w:pPr>
              <w:pStyle w:val="TableContents"/>
              <w:spacing w:before="0" w:after="283"/>
              <w:rPr/>
            </w:pPr>
            <w:r>
              <w:rPr/>
              <w:t> </w:t>
            </w:r>
          </w:p>
        </w:tc>
        <w:tc>
          <w:tcPr>
            <w:tcW w:w="23" w:type="dxa"/>
            <w:tcBorders/>
            <w:shd w:fill="E0DDCC"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E0DDCC" w:val="clear"/>
            <w:vAlign w:val="center"/>
          </w:tcPr>
          <w:p>
            <w:pPr>
              <w:pStyle w:val="TableContents"/>
              <w:spacing w:before="0" w:after="283"/>
              <w:rPr/>
            </w:pPr>
            <w:r>
              <w:rPr/>
              <w:t> </w:t>
            </w:r>
          </w:p>
        </w:tc>
        <w:tc>
          <w:tcPr>
            <w:tcW w:w="23" w:type="dxa"/>
            <w:tcBorders/>
            <w:shd w:fill="E0DDCC"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left"/>
        <w:rPr/>
      </w:pPr>
      <w:r>
        <w:rPr/>
        <w:t> </w:t>
      </w:r>
    </w:p>
    <w:p>
      <w:pPr>
        <w:pStyle w:val="TextBody"/>
        <w:pBdr>
          <w:bottom w:val="single" w:sz="8" w:space="1" w:color="000000"/>
        </w:pBdr>
        <w:spacing w:lineRule="atLeast" w:line="141" w:before="0" w:after="40"/>
        <w:jc w:val="left"/>
        <w:rPr/>
      </w:pPr>
      <w:r>
        <w:rPr/>
        <w:t> </w:t>
      </w:r>
    </w:p>
    <w:p>
      <w:pPr>
        <w:pStyle w:val="TextBody"/>
        <w:spacing w:before="80" w:after="0"/>
        <w:jc w:val="center"/>
        <w:rPr>
          <w:rFonts w:ascii="ARIAL" w:hAnsi="ARIAL"/>
          <w:b/>
          <w:sz w:val="19"/>
        </w:rPr>
      </w:pPr>
      <w:r>
        <w:rPr>
          <w:rFonts w:ascii="ARIAL" w:hAnsi="ARIAL"/>
          <w:b/>
          <w:sz w:val="19"/>
        </w:rPr>
        <w:t xml:space="preserve">ANNUAL MEETING OF STOCKHOLDERS OF </w:t>
      </w:r>
    </w:p>
    <w:p>
      <w:pPr>
        <w:pStyle w:val="TextBody"/>
        <w:spacing w:before="0" w:after="0"/>
        <w:jc w:val="center"/>
        <w:rPr>
          <w:rFonts w:ascii="ARIAL" w:hAnsi="ARIAL"/>
          <w:b/>
          <w:sz w:val="19"/>
        </w:rPr>
      </w:pPr>
      <w:r>
        <w:rPr>
          <w:rFonts w:ascii="ARIAL" w:hAnsi="ARIAL"/>
          <w:b/>
          <w:sz w:val="19"/>
        </w:rPr>
        <w:t xml:space="preserve">COMMUNITY HEALTH SYSTEMS, INC. </w:t>
      </w:r>
    </w:p>
    <w:p>
      <w:pPr>
        <w:pStyle w:val="TextBody"/>
        <w:spacing w:before="80" w:after="0"/>
        <w:jc w:val="center"/>
        <w:rPr>
          <w:rFonts w:ascii="ARIAL" w:hAnsi="ARIAL"/>
          <w:b/>
          <w:sz w:val="19"/>
        </w:rPr>
      </w:pPr>
      <w:r>
        <w:rPr>
          <w:rFonts w:ascii="ARIAL" w:hAnsi="ARIAL"/>
          <w:b/>
          <w:sz w:val="19"/>
        </w:rPr>
        <w:t xml:space="preserve">PROXY STATEMENT </w:t>
      </w:r>
    </w:p>
    <w:p>
      <w:pPr>
        <w:pStyle w:val="TextBody"/>
        <w:spacing w:before="80" w:after="0"/>
        <w:jc w:val="center"/>
        <w:rPr>
          <w:rFonts w:ascii="ARIAL" w:hAnsi="ARIAL"/>
          <w:b/>
          <w:sz w:val="19"/>
        </w:rPr>
      </w:pPr>
      <w:bookmarkStart w:id="2" w:name="toc"/>
      <w:bookmarkEnd w:id="2"/>
      <w:r>
        <w:rPr>
          <w:rFonts w:ascii="ARIAL" w:hAnsi="ARIAL"/>
          <w:b/>
          <w:sz w:val="19"/>
        </w:rPr>
        <w:t xml:space="preserve">Table of Contents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9495"/>
        <w:gridCol w:w="120"/>
        <w:gridCol w:w="92"/>
        <w:gridCol w:w="423"/>
        <w:gridCol w:w="75"/>
      </w:tblGrid>
      <w:tr>
        <w:trPr/>
        <w:tc>
          <w:tcPr>
            <w:tcW w:w="94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2" w:type="dxa"/>
            <w:tcBorders/>
            <w:shd w:fill="auto" w:val="clear"/>
            <w:vAlign w:val="center"/>
          </w:tcPr>
          <w:p>
            <w:pPr>
              <w:pStyle w:val="TableContents"/>
              <w:spacing w:before="0" w:after="283"/>
              <w:rPr>
                <w:sz w:val="4"/>
                <w:szCs w:val="4"/>
              </w:rPr>
            </w:pPr>
            <w:r>
              <w:rPr>
                <w:sz w:val="4"/>
                <w:szCs w:val="4"/>
              </w:rPr>
            </w:r>
          </w:p>
        </w:tc>
        <w:tc>
          <w:tcPr>
            <w:tcW w:w="423"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94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515" w:type="dxa"/>
            <w:gridSpan w:val="2"/>
            <w:tcBorders/>
            <w:shd w:fill="auto" w:val="clear"/>
            <w:vAlign w:val="center"/>
          </w:tcPr>
          <w:p>
            <w:pPr>
              <w:pStyle w:val="TableContents"/>
              <w:spacing w:before="0" w:after="283"/>
              <w:jc w:val="center"/>
              <w:rPr>
                <w:b/>
              </w:rPr>
            </w:pPr>
            <w:r>
              <w:rPr>
                <w:b/>
              </w:rPr>
              <w:t>Page</w:t>
            </w:r>
          </w:p>
        </w:tc>
        <w:tc>
          <w:tcPr>
            <w:tcW w:w="75" w:type="dxa"/>
            <w:tcBorders/>
            <w:shd w:fill="auto" w:val="clear"/>
            <w:vAlign w:val="center"/>
          </w:tcPr>
          <w:p>
            <w:pPr>
              <w:pStyle w:val="TableContents"/>
              <w:spacing w:before="0" w:after="283"/>
              <w:rPr/>
            </w:pPr>
            <w:r>
              <w:rPr/>
              <w:t> </w:t>
            </w:r>
          </w:p>
        </w:tc>
      </w:tr>
      <w:tr>
        <w:trPr/>
        <w:tc>
          <w:tcPr>
            <w:tcW w:w="9495" w:type="dxa"/>
            <w:tcBorders/>
            <w:shd w:fill="CEE8F6" w:val="clear"/>
            <w:vAlign w:val="center"/>
          </w:tcPr>
          <w:p>
            <w:pPr>
              <w:pStyle w:val="TableContents"/>
              <w:spacing w:before="0" w:after="283"/>
              <w:rPr>
                <w:sz w:val="4"/>
                <w:szCs w:val="4"/>
              </w:rPr>
            </w:pPr>
            <w:r>
              <w:rPr>
                <w:sz w:val="4"/>
                <w:szCs w:val="4"/>
              </w:rPr>
            </w:r>
          </w:p>
        </w:tc>
        <w:tc>
          <w:tcPr>
            <w:tcW w:w="710" w:type="dxa"/>
            <w:gridSpan w:val="4"/>
            <w:tcBorders/>
            <w:shd w:fill="CEE8F6" w:val="clear"/>
            <w:vAlign w:val="center"/>
          </w:tcPr>
          <w:p>
            <w:pPr>
              <w:pStyle w:val="TableContents"/>
              <w:spacing w:before="0" w:after="283"/>
              <w:rPr>
                <w:sz w:val="4"/>
                <w:szCs w:val="4"/>
              </w:rPr>
            </w:pPr>
            <w:r>
              <w:rPr>
                <w:sz w:val="4"/>
                <w:szCs w:val="4"/>
              </w:rPr>
            </w:r>
          </w:p>
        </w:tc>
      </w:tr>
      <w:tr>
        <w:trPr/>
        <w:tc>
          <w:tcPr>
            <w:tcW w:w="9495" w:type="dxa"/>
            <w:tcBorders/>
            <w:shd w:fill="CEE8F6" w:val="clear"/>
            <w:vAlign w:val="center"/>
          </w:tcPr>
          <w:p>
            <w:pPr>
              <w:pStyle w:val="TableContents"/>
              <w:spacing w:before="0" w:after="0"/>
              <w:rPr/>
            </w:pPr>
            <w:hyperlink w:anchor="toc360141_1">
              <w:r>
                <w:rPr>
                  <w:rStyle w:val="InternetLink"/>
                  <w:rFonts w:ascii="ARIAL" w:hAnsi="ARIAL"/>
                  <w:sz w:val="19"/>
                </w:rPr>
                <w:t>Proxy Summary</w:t>
              </w:r>
            </w:hyperlink>
          </w:p>
        </w:tc>
        <w:tc>
          <w:tcPr>
            <w:tcW w:w="120" w:type="dxa"/>
            <w:tcBorders/>
            <w:shd w:fill="CEE8F6" w:val="clear"/>
            <w:vAlign w:val="center"/>
          </w:tcPr>
          <w:p>
            <w:pPr>
              <w:pStyle w:val="TableContents"/>
              <w:spacing w:before="0" w:after="283"/>
              <w:rPr/>
            </w:pPr>
            <w:r>
              <w:rPr/>
              <w:t>  </w:t>
            </w:r>
          </w:p>
        </w:tc>
        <w:tc>
          <w:tcPr>
            <w:tcW w:w="92" w:type="dxa"/>
            <w:tcBorders/>
            <w:shd w:fill="CEE8F6" w:val="clear"/>
            <w:vAlign w:val="center"/>
          </w:tcPr>
          <w:p>
            <w:pPr>
              <w:pStyle w:val="TableContents"/>
              <w:spacing w:before="0" w:after="283"/>
              <w:rPr/>
            </w:pPr>
            <w:r>
              <w:rPr/>
              <w:t> </w:t>
            </w:r>
          </w:p>
        </w:tc>
        <w:tc>
          <w:tcPr>
            <w:tcW w:w="423" w:type="dxa"/>
            <w:tcBorders/>
            <w:shd w:fill="CEE8F6" w:val="clear"/>
            <w:vAlign w:val="center"/>
          </w:tcPr>
          <w:p>
            <w:pPr>
              <w:pStyle w:val="TableContents"/>
              <w:spacing w:before="0" w:after="283"/>
              <w:jc w:val="right"/>
              <w:rPr/>
            </w:pPr>
            <w:r>
              <w:rPr/>
              <w:t>S-1</w:t>
            </w:r>
          </w:p>
        </w:tc>
        <w:tc>
          <w:tcPr>
            <w:tcW w:w="75" w:type="dxa"/>
            <w:tcBorders/>
            <w:shd w:fill="CEE8F6" w:val="clear"/>
            <w:vAlign w:val="center"/>
          </w:tcPr>
          <w:p>
            <w:pPr>
              <w:pStyle w:val="TableContents"/>
              <w:spacing w:before="0" w:after="283"/>
              <w:rPr/>
            </w:pPr>
            <w:r>
              <w:rPr/>
              <w:t> </w:t>
            </w:r>
          </w:p>
        </w:tc>
      </w:tr>
      <w:tr>
        <w:trPr/>
        <w:tc>
          <w:tcPr>
            <w:tcW w:w="9495" w:type="dxa"/>
            <w:tcBorders/>
            <w:shd w:fill="auto" w:val="clear"/>
            <w:vAlign w:val="center"/>
          </w:tcPr>
          <w:p>
            <w:pPr>
              <w:pStyle w:val="TableContents"/>
              <w:spacing w:before="0" w:after="283"/>
              <w:rPr>
                <w:sz w:val="4"/>
                <w:szCs w:val="4"/>
              </w:rPr>
            </w:pPr>
            <w:r>
              <w:rPr>
                <w:sz w:val="4"/>
                <w:szCs w:val="4"/>
              </w:rPr>
            </w:r>
          </w:p>
        </w:tc>
        <w:tc>
          <w:tcPr>
            <w:tcW w:w="710" w:type="dxa"/>
            <w:gridSpan w:val="4"/>
            <w:tcBorders/>
            <w:shd w:fill="auto" w:val="clear"/>
            <w:vAlign w:val="center"/>
          </w:tcPr>
          <w:p>
            <w:pPr>
              <w:pStyle w:val="TableContents"/>
              <w:spacing w:before="0" w:after="283"/>
              <w:rPr>
                <w:sz w:val="4"/>
                <w:szCs w:val="4"/>
              </w:rPr>
            </w:pPr>
            <w:r>
              <w:rPr>
                <w:sz w:val="4"/>
                <w:szCs w:val="4"/>
              </w:rPr>
            </w:r>
          </w:p>
        </w:tc>
      </w:tr>
      <w:tr>
        <w:trPr/>
        <w:tc>
          <w:tcPr>
            <w:tcW w:w="9495" w:type="dxa"/>
            <w:tcBorders/>
            <w:shd w:fill="auto" w:val="clear"/>
            <w:vAlign w:val="center"/>
          </w:tcPr>
          <w:p>
            <w:pPr>
              <w:pStyle w:val="TableContents"/>
              <w:spacing w:before="0" w:after="0"/>
              <w:rPr/>
            </w:pPr>
            <w:hyperlink w:anchor="toc360141_2">
              <w:r>
                <w:rPr>
                  <w:rStyle w:val="InternetLink"/>
                  <w:rFonts w:ascii="ARIAL" w:hAnsi="ARIAL"/>
                  <w:sz w:val="19"/>
                </w:rPr>
                <w:t>Introduction</w:t>
              </w:r>
            </w:hyperlink>
          </w:p>
        </w:tc>
        <w:tc>
          <w:tcPr>
            <w:tcW w:w="120" w:type="dxa"/>
            <w:tcBorders/>
            <w:shd w:fill="auto" w:val="clear"/>
            <w:vAlign w:val="center"/>
          </w:tcPr>
          <w:p>
            <w:pPr>
              <w:pStyle w:val="TableContents"/>
              <w:spacing w:before="0" w:after="283"/>
              <w:rPr/>
            </w:pPr>
            <w:r>
              <w:rPr/>
              <w:t>  </w:t>
            </w:r>
          </w:p>
        </w:tc>
        <w:tc>
          <w:tcPr>
            <w:tcW w:w="92" w:type="dxa"/>
            <w:tcBorders/>
            <w:shd w:fill="auto" w:val="clear"/>
            <w:vAlign w:val="center"/>
          </w:tcPr>
          <w:p>
            <w:pPr>
              <w:pStyle w:val="TableContents"/>
              <w:spacing w:before="0" w:after="283"/>
              <w:rPr/>
            </w:pPr>
            <w:r>
              <w:rPr/>
              <w:t> </w:t>
            </w:r>
          </w:p>
        </w:tc>
        <w:tc>
          <w:tcPr>
            <w:tcW w:w="423" w:type="dxa"/>
            <w:tcBorders/>
            <w:shd w:fill="auto" w:val="clear"/>
            <w:vAlign w:val="center"/>
          </w:tcPr>
          <w:p>
            <w:pPr>
              <w:pStyle w:val="TableContents"/>
              <w:spacing w:before="0" w:after="283"/>
              <w:jc w:val="right"/>
              <w:rPr/>
            </w:pPr>
            <w:r>
              <w:rPr/>
              <w:t>1</w:t>
            </w:r>
          </w:p>
        </w:tc>
        <w:tc>
          <w:tcPr>
            <w:tcW w:w="75" w:type="dxa"/>
            <w:tcBorders/>
            <w:shd w:fill="auto" w:val="clear"/>
            <w:vAlign w:val="center"/>
          </w:tcPr>
          <w:p>
            <w:pPr>
              <w:pStyle w:val="TableContents"/>
              <w:spacing w:before="0" w:after="283"/>
              <w:rPr/>
            </w:pPr>
            <w:r>
              <w:rPr/>
              <w:t> </w:t>
            </w:r>
          </w:p>
        </w:tc>
      </w:tr>
      <w:tr>
        <w:trPr/>
        <w:tc>
          <w:tcPr>
            <w:tcW w:w="9495" w:type="dxa"/>
            <w:tcBorders/>
            <w:shd w:fill="CEE8F6" w:val="clear"/>
            <w:vAlign w:val="center"/>
          </w:tcPr>
          <w:p>
            <w:pPr>
              <w:pStyle w:val="TableContents"/>
              <w:spacing w:before="0" w:after="283"/>
              <w:rPr>
                <w:sz w:val="4"/>
                <w:szCs w:val="4"/>
              </w:rPr>
            </w:pPr>
            <w:r>
              <w:rPr>
                <w:sz w:val="4"/>
                <w:szCs w:val="4"/>
              </w:rPr>
            </w:r>
          </w:p>
        </w:tc>
        <w:tc>
          <w:tcPr>
            <w:tcW w:w="710" w:type="dxa"/>
            <w:gridSpan w:val="4"/>
            <w:tcBorders/>
            <w:shd w:fill="CEE8F6" w:val="clear"/>
            <w:vAlign w:val="center"/>
          </w:tcPr>
          <w:p>
            <w:pPr>
              <w:pStyle w:val="TableContents"/>
              <w:spacing w:before="0" w:after="283"/>
              <w:rPr>
                <w:sz w:val="4"/>
                <w:szCs w:val="4"/>
              </w:rPr>
            </w:pPr>
            <w:r>
              <w:rPr>
                <w:sz w:val="4"/>
                <w:szCs w:val="4"/>
              </w:rPr>
            </w:r>
          </w:p>
        </w:tc>
      </w:tr>
      <w:tr>
        <w:trPr/>
        <w:tc>
          <w:tcPr>
            <w:tcW w:w="9495" w:type="dxa"/>
            <w:tcBorders/>
            <w:shd w:fill="CEE8F6" w:val="clear"/>
            <w:vAlign w:val="center"/>
          </w:tcPr>
          <w:p>
            <w:pPr>
              <w:pStyle w:val="TableContents"/>
              <w:spacing w:before="0" w:after="0"/>
              <w:rPr/>
            </w:pPr>
            <w:hyperlink w:anchor="toc360141_3">
              <w:r>
                <w:rPr>
                  <w:rStyle w:val="InternetLink"/>
                  <w:rFonts w:ascii="ARIAL" w:hAnsi="ARIAL"/>
                  <w:sz w:val="19"/>
                </w:rPr>
                <w:t>General Information</w:t>
              </w:r>
            </w:hyperlink>
          </w:p>
        </w:tc>
        <w:tc>
          <w:tcPr>
            <w:tcW w:w="120" w:type="dxa"/>
            <w:tcBorders/>
            <w:shd w:fill="CEE8F6" w:val="clear"/>
            <w:vAlign w:val="center"/>
          </w:tcPr>
          <w:p>
            <w:pPr>
              <w:pStyle w:val="TableContents"/>
              <w:spacing w:before="0" w:after="283"/>
              <w:rPr/>
            </w:pPr>
            <w:r>
              <w:rPr/>
              <w:t>  </w:t>
            </w:r>
          </w:p>
        </w:tc>
        <w:tc>
          <w:tcPr>
            <w:tcW w:w="92" w:type="dxa"/>
            <w:tcBorders/>
            <w:shd w:fill="CEE8F6" w:val="clear"/>
            <w:vAlign w:val="center"/>
          </w:tcPr>
          <w:p>
            <w:pPr>
              <w:pStyle w:val="TableContents"/>
              <w:spacing w:before="0" w:after="283"/>
              <w:rPr/>
            </w:pPr>
            <w:r>
              <w:rPr/>
              <w:t> </w:t>
            </w:r>
          </w:p>
        </w:tc>
        <w:tc>
          <w:tcPr>
            <w:tcW w:w="423" w:type="dxa"/>
            <w:tcBorders/>
            <w:shd w:fill="CEE8F6" w:val="clear"/>
            <w:vAlign w:val="center"/>
          </w:tcPr>
          <w:p>
            <w:pPr>
              <w:pStyle w:val="TableContents"/>
              <w:spacing w:before="0" w:after="283"/>
              <w:jc w:val="right"/>
              <w:rPr/>
            </w:pPr>
            <w:r>
              <w:rPr/>
              <w:t>7</w:t>
            </w:r>
          </w:p>
        </w:tc>
        <w:tc>
          <w:tcPr>
            <w:tcW w:w="75" w:type="dxa"/>
            <w:tcBorders/>
            <w:shd w:fill="CEE8F6" w:val="clear"/>
            <w:vAlign w:val="center"/>
          </w:tcPr>
          <w:p>
            <w:pPr>
              <w:pStyle w:val="TableContents"/>
              <w:spacing w:before="0" w:after="283"/>
              <w:rPr/>
            </w:pPr>
            <w:r>
              <w:rPr/>
              <w:t> </w:t>
            </w:r>
          </w:p>
        </w:tc>
      </w:tr>
      <w:tr>
        <w:trPr/>
        <w:tc>
          <w:tcPr>
            <w:tcW w:w="9495" w:type="dxa"/>
            <w:tcBorders/>
            <w:shd w:fill="auto" w:val="clear"/>
            <w:vAlign w:val="center"/>
          </w:tcPr>
          <w:p>
            <w:pPr>
              <w:pStyle w:val="TableContents"/>
              <w:spacing w:before="0" w:after="283"/>
              <w:rPr>
                <w:sz w:val="4"/>
                <w:szCs w:val="4"/>
              </w:rPr>
            </w:pPr>
            <w:r>
              <w:rPr>
                <w:sz w:val="4"/>
                <w:szCs w:val="4"/>
              </w:rPr>
            </w:r>
          </w:p>
        </w:tc>
        <w:tc>
          <w:tcPr>
            <w:tcW w:w="710" w:type="dxa"/>
            <w:gridSpan w:val="4"/>
            <w:tcBorders/>
            <w:shd w:fill="auto" w:val="clear"/>
            <w:vAlign w:val="center"/>
          </w:tcPr>
          <w:p>
            <w:pPr>
              <w:pStyle w:val="TableContents"/>
              <w:spacing w:before="0" w:after="283"/>
              <w:rPr>
                <w:sz w:val="4"/>
                <w:szCs w:val="4"/>
              </w:rPr>
            </w:pPr>
            <w:r>
              <w:rPr>
                <w:sz w:val="4"/>
                <w:szCs w:val="4"/>
              </w:rPr>
            </w:r>
          </w:p>
        </w:tc>
      </w:tr>
      <w:tr>
        <w:trPr/>
        <w:tc>
          <w:tcPr>
            <w:tcW w:w="9495" w:type="dxa"/>
            <w:tcBorders/>
            <w:shd w:fill="auto" w:val="clear"/>
            <w:vAlign w:val="center"/>
          </w:tcPr>
          <w:p>
            <w:pPr>
              <w:pStyle w:val="TableContents"/>
              <w:spacing w:before="0" w:after="0"/>
              <w:rPr/>
            </w:pPr>
            <w:hyperlink w:anchor="toc360141_4">
              <w:r>
                <w:rPr>
                  <w:rStyle w:val="InternetLink"/>
                  <w:rFonts w:ascii="ARIAL" w:hAnsi="ARIAL"/>
                  <w:sz w:val="19"/>
                </w:rPr>
                <w:t>Members of the Board of Directors</w:t>
              </w:r>
            </w:hyperlink>
          </w:p>
        </w:tc>
        <w:tc>
          <w:tcPr>
            <w:tcW w:w="120" w:type="dxa"/>
            <w:tcBorders/>
            <w:shd w:fill="auto" w:val="clear"/>
            <w:vAlign w:val="center"/>
          </w:tcPr>
          <w:p>
            <w:pPr>
              <w:pStyle w:val="TableContents"/>
              <w:spacing w:before="0" w:after="283"/>
              <w:rPr/>
            </w:pPr>
            <w:r>
              <w:rPr/>
              <w:t>  </w:t>
            </w:r>
          </w:p>
        </w:tc>
        <w:tc>
          <w:tcPr>
            <w:tcW w:w="92" w:type="dxa"/>
            <w:tcBorders/>
            <w:shd w:fill="auto" w:val="clear"/>
            <w:vAlign w:val="center"/>
          </w:tcPr>
          <w:p>
            <w:pPr>
              <w:pStyle w:val="TableContents"/>
              <w:spacing w:before="0" w:after="283"/>
              <w:rPr/>
            </w:pPr>
            <w:r>
              <w:rPr/>
              <w:t> </w:t>
            </w:r>
          </w:p>
        </w:tc>
        <w:tc>
          <w:tcPr>
            <w:tcW w:w="423" w:type="dxa"/>
            <w:tcBorders/>
            <w:shd w:fill="auto" w:val="clear"/>
            <w:vAlign w:val="center"/>
          </w:tcPr>
          <w:p>
            <w:pPr>
              <w:pStyle w:val="TableContents"/>
              <w:spacing w:before="0" w:after="283"/>
              <w:jc w:val="right"/>
              <w:rPr/>
            </w:pPr>
            <w:r>
              <w:rPr/>
              <w:t>23</w:t>
            </w:r>
          </w:p>
        </w:tc>
        <w:tc>
          <w:tcPr>
            <w:tcW w:w="75" w:type="dxa"/>
            <w:tcBorders/>
            <w:shd w:fill="auto" w:val="clear"/>
            <w:vAlign w:val="center"/>
          </w:tcPr>
          <w:p>
            <w:pPr>
              <w:pStyle w:val="TableContents"/>
              <w:spacing w:before="0" w:after="283"/>
              <w:rPr/>
            </w:pPr>
            <w:r>
              <w:rPr/>
              <w:t> </w:t>
            </w:r>
          </w:p>
        </w:tc>
      </w:tr>
      <w:tr>
        <w:trPr/>
        <w:tc>
          <w:tcPr>
            <w:tcW w:w="9495" w:type="dxa"/>
            <w:tcBorders/>
            <w:shd w:fill="CEE8F6" w:val="clear"/>
            <w:vAlign w:val="center"/>
          </w:tcPr>
          <w:p>
            <w:pPr>
              <w:pStyle w:val="TableContents"/>
              <w:spacing w:before="0" w:after="283"/>
              <w:rPr>
                <w:sz w:val="4"/>
                <w:szCs w:val="4"/>
              </w:rPr>
            </w:pPr>
            <w:r>
              <w:rPr>
                <w:sz w:val="4"/>
                <w:szCs w:val="4"/>
              </w:rPr>
            </w:r>
          </w:p>
        </w:tc>
        <w:tc>
          <w:tcPr>
            <w:tcW w:w="710" w:type="dxa"/>
            <w:gridSpan w:val="4"/>
            <w:tcBorders/>
            <w:shd w:fill="CEE8F6" w:val="clear"/>
            <w:vAlign w:val="center"/>
          </w:tcPr>
          <w:p>
            <w:pPr>
              <w:pStyle w:val="TableContents"/>
              <w:spacing w:before="0" w:after="283"/>
              <w:rPr>
                <w:sz w:val="4"/>
                <w:szCs w:val="4"/>
              </w:rPr>
            </w:pPr>
            <w:r>
              <w:rPr>
                <w:sz w:val="4"/>
                <w:szCs w:val="4"/>
              </w:rPr>
            </w:r>
          </w:p>
        </w:tc>
      </w:tr>
      <w:tr>
        <w:trPr/>
        <w:tc>
          <w:tcPr>
            <w:tcW w:w="9495" w:type="dxa"/>
            <w:tcBorders/>
            <w:shd w:fill="CEE8F6" w:val="clear"/>
            <w:vAlign w:val="center"/>
          </w:tcPr>
          <w:p>
            <w:pPr>
              <w:pStyle w:val="TableContents"/>
              <w:spacing w:before="0" w:after="0"/>
              <w:rPr/>
            </w:pPr>
            <w:hyperlink w:anchor="toc360141_5">
              <w:r>
                <w:rPr>
                  <w:rStyle w:val="InternetLink"/>
                  <w:rFonts w:ascii="ARIAL" w:hAnsi="ARIAL"/>
                  <w:sz w:val="19"/>
                </w:rPr>
                <w:t>Security Ownership of Certain Beneficial Owners and Management</w:t>
              </w:r>
            </w:hyperlink>
          </w:p>
        </w:tc>
        <w:tc>
          <w:tcPr>
            <w:tcW w:w="120" w:type="dxa"/>
            <w:tcBorders/>
            <w:shd w:fill="CEE8F6" w:val="clear"/>
            <w:vAlign w:val="center"/>
          </w:tcPr>
          <w:p>
            <w:pPr>
              <w:pStyle w:val="TableContents"/>
              <w:spacing w:before="0" w:after="283"/>
              <w:rPr/>
            </w:pPr>
            <w:r>
              <w:rPr/>
              <w:t>  </w:t>
            </w:r>
          </w:p>
        </w:tc>
        <w:tc>
          <w:tcPr>
            <w:tcW w:w="92" w:type="dxa"/>
            <w:tcBorders/>
            <w:shd w:fill="CEE8F6" w:val="clear"/>
            <w:vAlign w:val="center"/>
          </w:tcPr>
          <w:p>
            <w:pPr>
              <w:pStyle w:val="TableContents"/>
              <w:spacing w:before="0" w:after="283"/>
              <w:rPr/>
            </w:pPr>
            <w:r>
              <w:rPr/>
              <w:t> </w:t>
            </w:r>
          </w:p>
        </w:tc>
        <w:tc>
          <w:tcPr>
            <w:tcW w:w="423" w:type="dxa"/>
            <w:tcBorders/>
            <w:shd w:fill="CEE8F6" w:val="clear"/>
            <w:vAlign w:val="center"/>
          </w:tcPr>
          <w:p>
            <w:pPr>
              <w:pStyle w:val="TableContents"/>
              <w:spacing w:before="0" w:after="283"/>
              <w:jc w:val="right"/>
              <w:rPr/>
            </w:pPr>
            <w:r>
              <w:rPr/>
              <w:t>30</w:t>
            </w:r>
          </w:p>
        </w:tc>
        <w:tc>
          <w:tcPr>
            <w:tcW w:w="75" w:type="dxa"/>
            <w:tcBorders/>
            <w:shd w:fill="CEE8F6" w:val="clear"/>
            <w:vAlign w:val="center"/>
          </w:tcPr>
          <w:p>
            <w:pPr>
              <w:pStyle w:val="TableContents"/>
              <w:spacing w:before="0" w:after="283"/>
              <w:rPr/>
            </w:pPr>
            <w:r>
              <w:rPr/>
              <w:t> </w:t>
            </w:r>
          </w:p>
        </w:tc>
      </w:tr>
      <w:tr>
        <w:trPr/>
        <w:tc>
          <w:tcPr>
            <w:tcW w:w="9495" w:type="dxa"/>
            <w:tcBorders/>
            <w:shd w:fill="auto" w:val="clear"/>
            <w:vAlign w:val="center"/>
          </w:tcPr>
          <w:p>
            <w:pPr>
              <w:pStyle w:val="TableContents"/>
              <w:spacing w:before="0" w:after="283"/>
              <w:rPr>
                <w:sz w:val="4"/>
                <w:szCs w:val="4"/>
              </w:rPr>
            </w:pPr>
            <w:r>
              <w:rPr>
                <w:sz w:val="4"/>
                <w:szCs w:val="4"/>
              </w:rPr>
            </w:r>
          </w:p>
        </w:tc>
        <w:tc>
          <w:tcPr>
            <w:tcW w:w="710" w:type="dxa"/>
            <w:gridSpan w:val="4"/>
            <w:tcBorders/>
            <w:shd w:fill="auto" w:val="clear"/>
            <w:vAlign w:val="center"/>
          </w:tcPr>
          <w:p>
            <w:pPr>
              <w:pStyle w:val="TableContents"/>
              <w:spacing w:before="0" w:after="283"/>
              <w:rPr>
                <w:sz w:val="4"/>
                <w:szCs w:val="4"/>
              </w:rPr>
            </w:pPr>
            <w:r>
              <w:rPr>
                <w:sz w:val="4"/>
                <w:szCs w:val="4"/>
              </w:rPr>
            </w:r>
          </w:p>
        </w:tc>
      </w:tr>
      <w:tr>
        <w:trPr/>
        <w:tc>
          <w:tcPr>
            <w:tcW w:w="9495" w:type="dxa"/>
            <w:tcBorders/>
            <w:shd w:fill="auto" w:val="clear"/>
            <w:vAlign w:val="center"/>
          </w:tcPr>
          <w:p>
            <w:pPr>
              <w:pStyle w:val="TableContents"/>
              <w:spacing w:before="0" w:after="0"/>
              <w:rPr/>
            </w:pPr>
            <w:hyperlink w:anchor="toc360141_6">
              <w:r>
                <w:rPr>
                  <w:rStyle w:val="InternetLink"/>
                  <w:rFonts w:ascii="ARIAL" w:hAnsi="ARIAL"/>
                  <w:sz w:val="19"/>
                </w:rPr>
                <w:t>Delinquent Section16(a) Reports</w:t>
              </w:r>
            </w:hyperlink>
          </w:p>
        </w:tc>
        <w:tc>
          <w:tcPr>
            <w:tcW w:w="120" w:type="dxa"/>
            <w:tcBorders/>
            <w:shd w:fill="auto" w:val="clear"/>
            <w:vAlign w:val="center"/>
          </w:tcPr>
          <w:p>
            <w:pPr>
              <w:pStyle w:val="TableContents"/>
              <w:spacing w:before="0" w:after="283"/>
              <w:rPr/>
            </w:pPr>
            <w:r>
              <w:rPr/>
              <w:t>  </w:t>
            </w:r>
          </w:p>
        </w:tc>
        <w:tc>
          <w:tcPr>
            <w:tcW w:w="92" w:type="dxa"/>
            <w:tcBorders/>
            <w:shd w:fill="auto" w:val="clear"/>
            <w:vAlign w:val="center"/>
          </w:tcPr>
          <w:p>
            <w:pPr>
              <w:pStyle w:val="TableContents"/>
              <w:spacing w:before="0" w:after="283"/>
              <w:rPr/>
            </w:pPr>
            <w:r>
              <w:rPr/>
              <w:t> </w:t>
            </w:r>
          </w:p>
        </w:tc>
        <w:tc>
          <w:tcPr>
            <w:tcW w:w="423" w:type="dxa"/>
            <w:tcBorders/>
            <w:shd w:fill="auto" w:val="clear"/>
            <w:vAlign w:val="center"/>
          </w:tcPr>
          <w:p>
            <w:pPr>
              <w:pStyle w:val="TableContents"/>
              <w:spacing w:before="0" w:after="283"/>
              <w:jc w:val="right"/>
              <w:rPr/>
            </w:pPr>
            <w:r>
              <w:rPr/>
              <w:t>32</w:t>
            </w:r>
          </w:p>
        </w:tc>
        <w:tc>
          <w:tcPr>
            <w:tcW w:w="75" w:type="dxa"/>
            <w:tcBorders/>
            <w:shd w:fill="auto" w:val="clear"/>
            <w:vAlign w:val="center"/>
          </w:tcPr>
          <w:p>
            <w:pPr>
              <w:pStyle w:val="TableContents"/>
              <w:spacing w:before="0" w:after="283"/>
              <w:rPr/>
            </w:pPr>
            <w:r>
              <w:rPr/>
              <w:t> </w:t>
            </w:r>
          </w:p>
        </w:tc>
      </w:tr>
      <w:tr>
        <w:trPr/>
        <w:tc>
          <w:tcPr>
            <w:tcW w:w="9495" w:type="dxa"/>
            <w:tcBorders/>
            <w:shd w:fill="CEE8F6" w:val="clear"/>
            <w:vAlign w:val="center"/>
          </w:tcPr>
          <w:p>
            <w:pPr>
              <w:pStyle w:val="TableContents"/>
              <w:spacing w:before="0" w:after="283"/>
              <w:rPr>
                <w:sz w:val="4"/>
                <w:szCs w:val="4"/>
              </w:rPr>
            </w:pPr>
            <w:r>
              <w:rPr>
                <w:sz w:val="4"/>
                <w:szCs w:val="4"/>
              </w:rPr>
            </w:r>
          </w:p>
        </w:tc>
        <w:tc>
          <w:tcPr>
            <w:tcW w:w="710" w:type="dxa"/>
            <w:gridSpan w:val="4"/>
            <w:tcBorders/>
            <w:shd w:fill="CEE8F6" w:val="clear"/>
            <w:vAlign w:val="center"/>
          </w:tcPr>
          <w:p>
            <w:pPr>
              <w:pStyle w:val="TableContents"/>
              <w:spacing w:before="0" w:after="283"/>
              <w:rPr>
                <w:sz w:val="4"/>
                <w:szCs w:val="4"/>
              </w:rPr>
            </w:pPr>
            <w:r>
              <w:rPr>
                <w:sz w:val="4"/>
                <w:szCs w:val="4"/>
              </w:rPr>
            </w:r>
          </w:p>
        </w:tc>
      </w:tr>
      <w:tr>
        <w:trPr/>
        <w:tc>
          <w:tcPr>
            <w:tcW w:w="9495" w:type="dxa"/>
            <w:tcBorders/>
            <w:shd w:fill="CEE8F6" w:val="clear"/>
            <w:vAlign w:val="center"/>
          </w:tcPr>
          <w:p>
            <w:pPr>
              <w:pStyle w:val="TableContents"/>
              <w:spacing w:before="0" w:after="0"/>
              <w:rPr/>
            </w:pPr>
            <w:hyperlink w:anchor="toc360141_7">
              <w:r>
                <w:rPr>
                  <w:rStyle w:val="InternetLink"/>
                  <w:rFonts w:ascii="ARIAL" w:hAnsi="ARIAL"/>
                  <w:sz w:val="19"/>
                </w:rPr>
                <w:t xml:space="preserve">Relationships and Certain Transactions between the Company and its Officers, Directors and 5% Beneficial Owners and their Family Members </w:t>
              </w:r>
            </w:hyperlink>
          </w:p>
        </w:tc>
        <w:tc>
          <w:tcPr>
            <w:tcW w:w="120" w:type="dxa"/>
            <w:tcBorders/>
            <w:shd w:fill="CEE8F6" w:val="clear"/>
            <w:vAlign w:val="center"/>
          </w:tcPr>
          <w:p>
            <w:pPr>
              <w:pStyle w:val="TableContents"/>
              <w:spacing w:before="0" w:after="283"/>
              <w:rPr/>
            </w:pPr>
            <w:r>
              <w:rPr/>
              <w:t>  </w:t>
            </w:r>
          </w:p>
        </w:tc>
        <w:tc>
          <w:tcPr>
            <w:tcW w:w="92" w:type="dxa"/>
            <w:tcBorders/>
            <w:shd w:fill="CEE8F6" w:val="clear"/>
            <w:vAlign w:val="center"/>
          </w:tcPr>
          <w:p>
            <w:pPr>
              <w:pStyle w:val="TableContents"/>
              <w:spacing w:before="0" w:after="283"/>
              <w:rPr/>
            </w:pPr>
            <w:r>
              <w:rPr/>
              <w:t> </w:t>
            </w:r>
          </w:p>
        </w:tc>
        <w:tc>
          <w:tcPr>
            <w:tcW w:w="423" w:type="dxa"/>
            <w:tcBorders/>
            <w:shd w:fill="CEE8F6" w:val="clear"/>
            <w:vAlign w:val="center"/>
          </w:tcPr>
          <w:p>
            <w:pPr>
              <w:pStyle w:val="TableContents"/>
              <w:spacing w:before="0" w:after="283"/>
              <w:jc w:val="right"/>
              <w:rPr/>
            </w:pPr>
            <w:r>
              <w:rPr/>
              <w:t>32</w:t>
            </w:r>
          </w:p>
        </w:tc>
        <w:tc>
          <w:tcPr>
            <w:tcW w:w="75" w:type="dxa"/>
            <w:tcBorders/>
            <w:shd w:fill="CEE8F6" w:val="clear"/>
            <w:vAlign w:val="center"/>
          </w:tcPr>
          <w:p>
            <w:pPr>
              <w:pStyle w:val="TableContents"/>
              <w:spacing w:before="0" w:after="283"/>
              <w:rPr/>
            </w:pPr>
            <w:r>
              <w:rPr/>
              <w:t> </w:t>
            </w:r>
          </w:p>
        </w:tc>
      </w:tr>
      <w:tr>
        <w:trPr/>
        <w:tc>
          <w:tcPr>
            <w:tcW w:w="9495" w:type="dxa"/>
            <w:tcBorders/>
            <w:shd w:fill="auto" w:val="clear"/>
            <w:vAlign w:val="center"/>
          </w:tcPr>
          <w:p>
            <w:pPr>
              <w:pStyle w:val="TableContents"/>
              <w:spacing w:before="0" w:after="283"/>
              <w:rPr>
                <w:sz w:val="4"/>
                <w:szCs w:val="4"/>
              </w:rPr>
            </w:pPr>
            <w:r>
              <w:rPr>
                <w:sz w:val="4"/>
                <w:szCs w:val="4"/>
              </w:rPr>
            </w:r>
          </w:p>
        </w:tc>
        <w:tc>
          <w:tcPr>
            <w:tcW w:w="710" w:type="dxa"/>
            <w:gridSpan w:val="4"/>
            <w:tcBorders/>
            <w:shd w:fill="auto" w:val="clear"/>
            <w:vAlign w:val="center"/>
          </w:tcPr>
          <w:p>
            <w:pPr>
              <w:pStyle w:val="TableContents"/>
              <w:spacing w:before="0" w:after="283"/>
              <w:rPr>
                <w:sz w:val="4"/>
                <w:szCs w:val="4"/>
              </w:rPr>
            </w:pPr>
            <w:r>
              <w:rPr>
                <w:sz w:val="4"/>
                <w:szCs w:val="4"/>
              </w:rPr>
            </w:r>
          </w:p>
        </w:tc>
      </w:tr>
      <w:tr>
        <w:trPr/>
        <w:tc>
          <w:tcPr>
            <w:tcW w:w="9495" w:type="dxa"/>
            <w:tcBorders/>
            <w:shd w:fill="auto" w:val="clear"/>
            <w:vAlign w:val="center"/>
          </w:tcPr>
          <w:p>
            <w:pPr>
              <w:pStyle w:val="TableContents"/>
              <w:spacing w:before="0" w:after="0"/>
              <w:rPr/>
            </w:pPr>
            <w:hyperlink w:anchor="toc360141_8">
              <w:r>
                <w:rPr>
                  <w:rStyle w:val="InternetLink"/>
                  <w:rFonts w:ascii="ARIAL" w:hAnsi="ARIAL"/>
                  <w:sz w:val="19"/>
                </w:rPr>
                <w:t>Compensation Committee Interlocks and Insider Participation</w:t>
              </w:r>
            </w:hyperlink>
          </w:p>
        </w:tc>
        <w:tc>
          <w:tcPr>
            <w:tcW w:w="120" w:type="dxa"/>
            <w:tcBorders/>
            <w:shd w:fill="auto" w:val="clear"/>
            <w:vAlign w:val="center"/>
          </w:tcPr>
          <w:p>
            <w:pPr>
              <w:pStyle w:val="TableContents"/>
              <w:spacing w:before="0" w:after="283"/>
              <w:rPr/>
            </w:pPr>
            <w:r>
              <w:rPr/>
              <w:t>  </w:t>
            </w:r>
          </w:p>
        </w:tc>
        <w:tc>
          <w:tcPr>
            <w:tcW w:w="92" w:type="dxa"/>
            <w:tcBorders/>
            <w:shd w:fill="auto" w:val="clear"/>
            <w:vAlign w:val="center"/>
          </w:tcPr>
          <w:p>
            <w:pPr>
              <w:pStyle w:val="TableContents"/>
              <w:spacing w:before="0" w:after="283"/>
              <w:rPr/>
            </w:pPr>
            <w:r>
              <w:rPr/>
              <w:t> </w:t>
            </w:r>
          </w:p>
        </w:tc>
        <w:tc>
          <w:tcPr>
            <w:tcW w:w="423" w:type="dxa"/>
            <w:tcBorders/>
            <w:shd w:fill="auto" w:val="clear"/>
            <w:vAlign w:val="center"/>
          </w:tcPr>
          <w:p>
            <w:pPr>
              <w:pStyle w:val="TableContents"/>
              <w:spacing w:before="0" w:after="283"/>
              <w:jc w:val="right"/>
              <w:rPr/>
            </w:pPr>
            <w:r>
              <w:rPr/>
              <w:t>33</w:t>
            </w:r>
          </w:p>
        </w:tc>
        <w:tc>
          <w:tcPr>
            <w:tcW w:w="75" w:type="dxa"/>
            <w:tcBorders/>
            <w:shd w:fill="auto" w:val="clear"/>
            <w:vAlign w:val="center"/>
          </w:tcPr>
          <w:p>
            <w:pPr>
              <w:pStyle w:val="TableContents"/>
              <w:spacing w:before="0" w:after="283"/>
              <w:rPr/>
            </w:pPr>
            <w:r>
              <w:rPr/>
              <w:t> </w:t>
            </w:r>
          </w:p>
        </w:tc>
      </w:tr>
      <w:tr>
        <w:trPr/>
        <w:tc>
          <w:tcPr>
            <w:tcW w:w="9495" w:type="dxa"/>
            <w:tcBorders/>
            <w:shd w:fill="CEE8F6" w:val="clear"/>
            <w:vAlign w:val="center"/>
          </w:tcPr>
          <w:p>
            <w:pPr>
              <w:pStyle w:val="TableContents"/>
              <w:spacing w:before="0" w:after="283"/>
              <w:rPr>
                <w:sz w:val="4"/>
                <w:szCs w:val="4"/>
              </w:rPr>
            </w:pPr>
            <w:r>
              <w:rPr>
                <w:sz w:val="4"/>
                <w:szCs w:val="4"/>
              </w:rPr>
            </w:r>
          </w:p>
        </w:tc>
        <w:tc>
          <w:tcPr>
            <w:tcW w:w="710" w:type="dxa"/>
            <w:gridSpan w:val="4"/>
            <w:tcBorders/>
            <w:shd w:fill="CEE8F6" w:val="clear"/>
            <w:vAlign w:val="center"/>
          </w:tcPr>
          <w:p>
            <w:pPr>
              <w:pStyle w:val="TableContents"/>
              <w:spacing w:before="0" w:after="283"/>
              <w:rPr>
                <w:sz w:val="4"/>
                <w:szCs w:val="4"/>
              </w:rPr>
            </w:pPr>
            <w:r>
              <w:rPr>
                <w:sz w:val="4"/>
                <w:szCs w:val="4"/>
              </w:rPr>
            </w:r>
          </w:p>
        </w:tc>
      </w:tr>
      <w:tr>
        <w:trPr/>
        <w:tc>
          <w:tcPr>
            <w:tcW w:w="9495" w:type="dxa"/>
            <w:tcBorders/>
            <w:shd w:fill="CEE8F6" w:val="clear"/>
            <w:vAlign w:val="center"/>
          </w:tcPr>
          <w:p>
            <w:pPr>
              <w:pStyle w:val="TableContents"/>
              <w:spacing w:before="0" w:after="0"/>
              <w:rPr/>
            </w:pPr>
            <w:hyperlink w:anchor="toc360141_9">
              <w:r>
                <w:rPr>
                  <w:rStyle w:val="InternetLink"/>
                  <w:rFonts w:ascii="ARIAL" w:hAnsi="ARIAL"/>
                  <w:sz w:val="19"/>
                </w:rPr>
                <w:t>Information About Our Executive Officers</w:t>
              </w:r>
            </w:hyperlink>
          </w:p>
        </w:tc>
        <w:tc>
          <w:tcPr>
            <w:tcW w:w="120" w:type="dxa"/>
            <w:tcBorders/>
            <w:shd w:fill="CEE8F6" w:val="clear"/>
            <w:vAlign w:val="center"/>
          </w:tcPr>
          <w:p>
            <w:pPr>
              <w:pStyle w:val="TableContents"/>
              <w:spacing w:before="0" w:after="283"/>
              <w:rPr/>
            </w:pPr>
            <w:r>
              <w:rPr/>
              <w:t>  </w:t>
            </w:r>
          </w:p>
        </w:tc>
        <w:tc>
          <w:tcPr>
            <w:tcW w:w="92" w:type="dxa"/>
            <w:tcBorders/>
            <w:shd w:fill="CEE8F6" w:val="clear"/>
            <w:vAlign w:val="center"/>
          </w:tcPr>
          <w:p>
            <w:pPr>
              <w:pStyle w:val="TableContents"/>
              <w:spacing w:before="0" w:after="283"/>
              <w:rPr/>
            </w:pPr>
            <w:r>
              <w:rPr/>
              <w:t> </w:t>
            </w:r>
          </w:p>
        </w:tc>
        <w:tc>
          <w:tcPr>
            <w:tcW w:w="423" w:type="dxa"/>
            <w:tcBorders/>
            <w:shd w:fill="CEE8F6" w:val="clear"/>
            <w:vAlign w:val="center"/>
          </w:tcPr>
          <w:p>
            <w:pPr>
              <w:pStyle w:val="TableContents"/>
              <w:spacing w:before="0" w:after="283"/>
              <w:jc w:val="right"/>
              <w:rPr/>
            </w:pPr>
            <w:r>
              <w:rPr/>
              <w:t>34</w:t>
            </w:r>
          </w:p>
        </w:tc>
        <w:tc>
          <w:tcPr>
            <w:tcW w:w="75" w:type="dxa"/>
            <w:tcBorders/>
            <w:shd w:fill="CEE8F6" w:val="clear"/>
            <w:vAlign w:val="center"/>
          </w:tcPr>
          <w:p>
            <w:pPr>
              <w:pStyle w:val="TableContents"/>
              <w:spacing w:before="0" w:after="283"/>
              <w:rPr/>
            </w:pPr>
            <w:r>
              <w:rPr/>
              <w:t> </w:t>
            </w:r>
          </w:p>
        </w:tc>
      </w:tr>
      <w:tr>
        <w:trPr/>
        <w:tc>
          <w:tcPr>
            <w:tcW w:w="9495" w:type="dxa"/>
            <w:tcBorders/>
            <w:shd w:fill="auto" w:val="clear"/>
            <w:vAlign w:val="center"/>
          </w:tcPr>
          <w:p>
            <w:pPr>
              <w:pStyle w:val="TableContents"/>
              <w:spacing w:before="0" w:after="283"/>
              <w:rPr>
                <w:sz w:val="4"/>
                <w:szCs w:val="4"/>
              </w:rPr>
            </w:pPr>
            <w:r>
              <w:rPr>
                <w:sz w:val="4"/>
                <w:szCs w:val="4"/>
              </w:rPr>
            </w:r>
          </w:p>
        </w:tc>
        <w:tc>
          <w:tcPr>
            <w:tcW w:w="710" w:type="dxa"/>
            <w:gridSpan w:val="4"/>
            <w:tcBorders/>
            <w:shd w:fill="auto" w:val="clear"/>
            <w:vAlign w:val="center"/>
          </w:tcPr>
          <w:p>
            <w:pPr>
              <w:pStyle w:val="TableContents"/>
              <w:spacing w:before="0" w:after="283"/>
              <w:rPr>
                <w:sz w:val="4"/>
                <w:szCs w:val="4"/>
              </w:rPr>
            </w:pPr>
            <w:r>
              <w:rPr>
                <w:sz w:val="4"/>
                <w:szCs w:val="4"/>
              </w:rPr>
            </w:r>
          </w:p>
        </w:tc>
      </w:tr>
      <w:tr>
        <w:trPr/>
        <w:tc>
          <w:tcPr>
            <w:tcW w:w="9495" w:type="dxa"/>
            <w:tcBorders/>
            <w:shd w:fill="auto" w:val="clear"/>
            <w:vAlign w:val="center"/>
          </w:tcPr>
          <w:p>
            <w:pPr>
              <w:pStyle w:val="TableContents"/>
              <w:spacing w:before="0" w:after="0"/>
              <w:rPr/>
            </w:pPr>
            <w:hyperlink w:anchor="toc360141_10">
              <w:r>
                <w:rPr>
                  <w:rStyle w:val="InternetLink"/>
                  <w:rFonts w:ascii="ARIAL" w:hAnsi="ARIAL"/>
                  <w:sz w:val="19"/>
                </w:rPr>
                <w:t>Proposal 1 — Election of Directors</w:t>
              </w:r>
            </w:hyperlink>
          </w:p>
        </w:tc>
        <w:tc>
          <w:tcPr>
            <w:tcW w:w="120" w:type="dxa"/>
            <w:tcBorders/>
            <w:shd w:fill="auto" w:val="clear"/>
            <w:vAlign w:val="center"/>
          </w:tcPr>
          <w:p>
            <w:pPr>
              <w:pStyle w:val="TableContents"/>
              <w:spacing w:before="0" w:after="283"/>
              <w:rPr/>
            </w:pPr>
            <w:r>
              <w:rPr/>
              <w:t>  </w:t>
            </w:r>
          </w:p>
        </w:tc>
        <w:tc>
          <w:tcPr>
            <w:tcW w:w="92" w:type="dxa"/>
            <w:tcBorders/>
            <w:shd w:fill="auto" w:val="clear"/>
            <w:vAlign w:val="center"/>
          </w:tcPr>
          <w:p>
            <w:pPr>
              <w:pStyle w:val="TableContents"/>
              <w:spacing w:before="0" w:after="283"/>
              <w:rPr/>
            </w:pPr>
            <w:r>
              <w:rPr/>
              <w:t> </w:t>
            </w:r>
          </w:p>
        </w:tc>
        <w:tc>
          <w:tcPr>
            <w:tcW w:w="423" w:type="dxa"/>
            <w:tcBorders/>
            <w:shd w:fill="auto" w:val="clear"/>
            <w:vAlign w:val="center"/>
          </w:tcPr>
          <w:p>
            <w:pPr>
              <w:pStyle w:val="TableContents"/>
              <w:spacing w:before="0" w:after="283"/>
              <w:jc w:val="right"/>
              <w:rPr/>
            </w:pPr>
            <w:r>
              <w:rPr/>
              <w:t>36</w:t>
            </w:r>
          </w:p>
        </w:tc>
        <w:tc>
          <w:tcPr>
            <w:tcW w:w="75" w:type="dxa"/>
            <w:tcBorders/>
            <w:shd w:fill="auto" w:val="clear"/>
            <w:vAlign w:val="center"/>
          </w:tcPr>
          <w:p>
            <w:pPr>
              <w:pStyle w:val="TableContents"/>
              <w:spacing w:before="0" w:after="283"/>
              <w:rPr/>
            </w:pPr>
            <w:r>
              <w:rPr/>
              <w:t> </w:t>
            </w:r>
          </w:p>
        </w:tc>
      </w:tr>
      <w:tr>
        <w:trPr/>
        <w:tc>
          <w:tcPr>
            <w:tcW w:w="9495" w:type="dxa"/>
            <w:tcBorders/>
            <w:shd w:fill="CEE8F6" w:val="clear"/>
            <w:vAlign w:val="center"/>
          </w:tcPr>
          <w:p>
            <w:pPr>
              <w:pStyle w:val="TableContents"/>
              <w:spacing w:before="0" w:after="283"/>
              <w:rPr>
                <w:sz w:val="4"/>
                <w:szCs w:val="4"/>
              </w:rPr>
            </w:pPr>
            <w:r>
              <w:rPr>
                <w:sz w:val="4"/>
                <w:szCs w:val="4"/>
              </w:rPr>
            </w:r>
          </w:p>
        </w:tc>
        <w:tc>
          <w:tcPr>
            <w:tcW w:w="710" w:type="dxa"/>
            <w:gridSpan w:val="4"/>
            <w:tcBorders/>
            <w:shd w:fill="CEE8F6" w:val="clear"/>
            <w:vAlign w:val="center"/>
          </w:tcPr>
          <w:p>
            <w:pPr>
              <w:pStyle w:val="TableContents"/>
              <w:spacing w:before="0" w:after="283"/>
              <w:rPr>
                <w:sz w:val="4"/>
                <w:szCs w:val="4"/>
              </w:rPr>
            </w:pPr>
            <w:r>
              <w:rPr>
                <w:sz w:val="4"/>
                <w:szCs w:val="4"/>
              </w:rPr>
            </w:r>
          </w:p>
        </w:tc>
      </w:tr>
      <w:tr>
        <w:trPr/>
        <w:tc>
          <w:tcPr>
            <w:tcW w:w="9495" w:type="dxa"/>
            <w:tcBorders/>
            <w:shd w:fill="CEE8F6" w:val="clear"/>
            <w:vAlign w:val="center"/>
          </w:tcPr>
          <w:p>
            <w:pPr>
              <w:pStyle w:val="TableContents"/>
              <w:spacing w:before="0" w:after="0"/>
              <w:rPr/>
            </w:pPr>
            <w:hyperlink w:anchor="toc360141_11">
              <w:r>
                <w:rPr>
                  <w:rStyle w:val="InternetLink"/>
                  <w:rFonts w:ascii="ARIAL" w:hAnsi="ARIAL"/>
                  <w:sz w:val="19"/>
                </w:rPr>
                <w:t>Proposal 2 — Advisory Vote on Executive Compensation</w:t>
              </w:r>
            </w:hyperlink>
          </w:p>
        </w:tc>
        <w:tc>
          <w:tcPr>
            <w:tcW w:w="120" w:type="dxa"/>
            <w:tcBorders/>
            <w:shd w:fill="CEE8F6" w:val="clear"/>
            <w:vAlign w:val="center"/>
          </w:tcPr>
          <w:p>
            <w:pPr>
              <w:pStyle w:val="TableContents"/>
              <w:spacing w:before="0" w:after="283"/>
              <w:rPr/>
            </w:pPr>
            <w:r>
              <w:rPr/>
              <w:t>  </w:t>
            </w:r>
          </w:p>
        </w:tc>
        <w:tc>
          <w:tcPr>
            <w:tcW w:w="92" w:type="dxa"/>
            <w:tcBorders/>
            <w:shd w:fill="CEE8F6" w:val="clear"/>
            <w:vAlign w:val="center"/>
          </w:tcPr>
          <w:p>
            <w:pPr>
              <w:pStyle w:val="TableContents"/>
              <w:spacing w:before="0" w:after="283"/>
              <w:rPr/>
            </w:pPr>
            <w:r>
              <w:rPr/>
              <w:t> </w:t>
            </w:r>
          </w:p>
        </w:tc>
        <w:tc>
          <w:tcPr>
            <w:tcW w:w="423" w:type="dxa"/>
            <w:tcBorders/>
            <w:shd w:fill="CEE8F6" w:val="clear"/>
            <w:vAlign w:val="center"/>
          </w:tcPr>
          <w:p>
            <w:pPr>
              <w:pStyle w:val="TableContents"/>
              <w:spacing w:before="0" w:after="283"/>
              <w:jc w:val="right"/>
              <w:rPr/>
            </w:pPr>
            <w:r>
              <w:rPr/>
              <w:t>37</w:t>
            </w:r>
          </w:p>
        </w:tc>
        <w:tc>
          <w:tcPr>
            <w:tcW w:w="75" w:type="dxa"/>
            <w:tcBorders/>
            <w:shd w:fill="CEE8F6" w:val="clear"/>
            <w:vAlign w:val="center"/>
          </w:tcPr>
          <w:p>
            <w:pPr>
              <w:pStyle w:val="TableContents"/>
              <w:spacing w:before="0" w:after="283"/>
              <w:rPr/>
            </w:pPr>
            <w:r>
              <w:rPr/>
              <w:t> </w:t>
            </w:r>
          </w:p>
        </w:tc>
      </w:tr>
      <w:tr>
        <w:trPr/>
        <w:tc>
          <w:tcPr>
            <w:tcW w:w="9495" w:type="dxa"/>
            <w:tcBorders/>
            <w:shd w:fill="auto" w:val="clear"/>
            <w:vAlign w:val="center"/>
          </w:tcPr>
          <w:p>
            <w:pPr>
              <w:pStyle w:val="TableContents"/>
              <w:spacing w:before="0" w:after="283"/>
              <w:rPr>
                <w:sz w:val="4"/>
                <w:szCs w:val="4"/>
              </w:rPr>
            </w:pPr>
            <w:r>
              <w:rPr>
                <w:sz w:val="4"/>
                <w:szCs w:val="4"/>
              </w:rPr>
            </w:r>
          </w:p>
        </w:tc>
        <w:tc>
          <w:tcPr>
            <w:tcW w:w="710" w:type="dxa"/>
            <w:gridSpan w:val="4"/>
            <w:tcBorders/>
            <w:shd w:fill="auto" w:val="clear"/>
            <w:vAlign w:val="center"/>
          </w:tcPr>
          <w:p>
            <w:pPr>
              <w:pStyle w:val="TableContents"/>
              <w:spacing w:before="0" w:after="283"/>
              <w:rPr>
                <w:sz w:val="4"/>
                <w:szCs w:val="4"/>
              </w:rPr>
            </w:pPr>
            <w:r>
              <w:rPr>
                <w:sz w:val="4"/>
                <w:szCs w:val="4"/>
              </w:rPr>
            </w:r>
          </w:p>
        </w:tc>
      </w:tr>
      <w:tr>
        <w:trPr/>
        <w:tc>
          <w:tcPr>
            <w:tcW w:w="9495" w:type="dxa"/>
            <w:tcBorders/>
            <w:shd w:fill="auto" w:val="clear"/>
            <w:vAlign w:val="center"/>
          </w:tcPr>
          <w:p>
            <w:pPr>
              <w:pStyle w:val="TableContents"/>
              <w:spacing w:before="0" w:after="20"/>
              <w:rPr/>
            </w:pPr>
            <w:hyperlink w:anchor="toc360141_12">
              <w:r>
                <w:rPr>
                  <w:rStyle w:val="InternetLink"/>
                  <w:rFonts w:ascii="ARIAL" w:hAnsi="ARIAL"/>
                  <w:sz w:val="19"/>
                </w:rPr>
                <w:t>Proposal 3 — Advisory Vote on the Frequency of Future Advisory Votes on Executive Compensation</w:t>
              </w:r>
            </w:hyperlink>
          </w:p>
        </w:tc>
        <w:tc>
          <w:tcPr>
            <w:tcW w:w="120" w:type="dxa"/>
            <w:tcBorders/>
            <w:shd w:fill="auto" w:val="clear"/>
            <w:vAlign w:val="center"/>
          </w:tcPr>
          <w:p>
            <w:pPr>
              <w:pStyle w:val="TableContents"/>
              <w:spacing w:before="0" w:after="283"/>
              <w:rPr/>
            </w:pPr>
            <w:r>
              <w:rPr/>
              <w:t>  </w:t>
            </w:r>
          </w:p>
        </w:tc>
        <w:tc>
          <w:tcPr>
            <w:tcW w:w="92" w:type="dxa"/>
            <w:tcBorders/>
            <w:shd w:fill="auto" w:val="clear"/>
            <w:vAlign w:val="center"/>
          </w:tcPr>
          <w:p>
            <w:pPr>
              <w:pStyle w:val="TableContents"/>
              <w:spacing w:before="0" w:after="283"/>
              <w:rPr/>
            </w:pPr>
            <w:r>
              <w:rPr/>
              <w:t> </w:t>
            </w:r>
          </w:p>
        </w:tc>
        <w:tc>
          <w:tcPr>
            <w:tcW w:w="423" w:type="dxa"/>
            <w:tcBorders/>
            <w:shd w:fill="auto" w:val="clear"/>
            <w:vAlign w:val="center"/>
          </w:tcPr>
          <w:p>
            <w:pPr>
              <w:pStyle w:val="TableContents"/>
              <w:spacing w:before="0" w:after="283"/>
              <w:jc w:val="right"/>
              <w:rPr/>
            </w:pPr>
            <w:r>
              <w:rPr/>
              <w:t>38</w:t>
            </w:r>
          </w:p>
        </w:tc>
        <w:tc>
          <w:tcPr>
            <w:tcW w:w="75" w:type="dxa"/>
            <w:tcBorders/>
            <w:shd w:fill="auto" w:val="clear"/>
            <w:vAlign w:val="center"/>
          </w:tcPr>
          <w:p>
            <w:pPr>
              <w:pStyle w:val="TableContents"/>
              <w:spacing w:before="0" w:after="283"/>
              <w:rPr/>
            </w:pPr>
            <w:r>
              <w:rPr/>
              <w:t> </w:t>
            </w:r>
          </w:p>
        </w:tc>
      </w:tr>
      <w:tr>
        <w:trPr/>
        <w:tc>
          <w:tcPr>
            <w:tcW w:w="9495" w:type="dxa"/>
            <w:tcBorders/>
            <w:shd w:fill="CEE8F6" w:val="clear"/>
            <w:vAlign w:val="center"/>
          </w:tcPr>
          <w:p>
            <w:pPr>
              <w:pStyle w:val="TableContents"/>
              <w:spacing w:before="0" w:after="283"/>
              <w:rPr>
                <w:sz w:val="4"/>
                <w:szCs w:val="4"/>
              </w:rPr>
            </w:pPr>
            <w:r>
              <w:rPr>
                <w:sz w:val="4"/>
                <w:szCs w:val="4"/>
              </w:rPr>
            </w:r>
          </w:p>
        </w:tc>
        <w:tc>
          <w:tcPr>
            <w:tcW w:w="710" w:type="dxa"/>
            <w:gridSpan w:val="4"/>
            <w:tcBorders/>
            <w:shd w:fill="CEE8F6" w:val="clear"/>
            <w:vAlign w:val="center"/>
          </w:tcPr>
          <w:p>
            <w:pPr>
              <w:pStyle w:val="TableContents"/>
              <w:spacing w:before="0" w:after="283"/>
              <w:rPr>
                <w:sz w:val="4"/>
                <w:szCs w:val="4"/>
              </w:rPr>
            </w:pPr>
            <w:r>
              <w:rPr>
                <w:sz w:val="4"/>
                <w:szCs w:val="4"/>
              </w:rPr>
            </w:r>
          </w:p>
        </w:tc>
      </w:tr>
      <w:tr>
        <w:trPr/>
        <w:tc>
          <w:tcPr>
            <w:tcW w:w="9495" w:type="dxa"/>
            <w:tcBorders/>
            <w:shd w:fill="CEE8F6" w:val="clear"/>
            <w:vAlign w:val="center"/>
          </w:tcPr>
          <w:p>
            <w:pPr>
              <w:pStyle w:val="TableContents"/>
              <w:spacing w:before="0" w:after="0"/>
              <w:rPr/>
            </w:pPr>
            <w:hyperlink w:anchor="toc360141_13">
              <w:r>
                <w:rPr>
                  <w:rStyle w:val="InternetLink"/>
                  <w:rFonts w:ascii="ARIAL" w:hAnsi="ARIAL"/>
                  <w:sz w:val="19"/>
                </w:rPr>
                <w:t>Executive Compensation</w:t>
              </w:r>
            </w:hyperlink>
          </w:p>
        </w:tc>
        <w:tc>
          <w:tcPr>
            <w:tcW w:w="120" w:type="dxa"/>
            <w:tcBorders/>
            <w:shd w:fill="CEE8F6" w:val="clear"/>
            <w:vAlign w:val="center"/>
          </w:tcPr>
          <w:p>
            <w:pPr>
              <w:pStyle w:val="TableContents"/>
              <w:spacing w:before="0" w:after="283"/>
              <w:rPr/>
            </w:pPr>
            <w:r>
              <w:rPr/>
              <w:t>  </w:t>
            </w:r>
          </w:p>
        </w:tc>
        <w:tc>
          <w:tcPr>
            <w:tcW w:w="92" w:type="dxa"/>
            <w:tcBorders/>
            <w:shd w:fill="CEE8F6" w:val="clear"/>
            <w:vAlign w:val="center"/>
          </w:tcPr>
          <w:p>
            <w:pPr>
              <w:pStyle w:val="TableContents"/>
              <w:spacing w:before="0" w:after="283"/>
              <w:rPr/>
            </w:pPr>
            <w:r>
              <w:rPr/>
              <w:t> </w:t>
            </w:r>
          </w:p>
        </w:tc>
        <w:tc>
          <w:tcPr>
            <w:tcW w:w="423" w:type="dxa"/>
            <w:tcBorders/>
            <w:shd w:fill="CEE8F6" w:val="clear"/>
            <w:vAlign w:val="center"/>
          </w:tcPr>
          <w:p>
            <w:pPr>
              <w:pStyle w:val="TableContents"/>
              <w:spacing w:before="0" w:after="283"/>
              <w:jc w:val="right"/>
              <w:rPr/>
            </w:pPr>
            <w:r>
              <w:rPr/>
              <w:t>40</w:t>
            </w:r>
          </w:p>
        </w:tc>
        <w:tc>
          <w:tcPr>
            <w:tcW w:w="75" w:type="dxa"/>
            <w:tcBorders/>
            <w:shd w:fill="CEE8F6" w:val="clear"/>
            <w:vAlign w:val="center"/>
          </w:tcPr>
          <w:p>
            <w:pPr>
              <w:pStyle w:val="TableContents"/>
              <w:spacing w:before="0" w:after="283"/>
              <w:rPr/>
            </w:pPr>
            <w:r>
              <w:rPr/>
              <w:t> </w:t>
            </w:r>
          </w:p>
        </w:tc>
      </w:tr>
      <w:tr>
        <w:trPr/>
        <w:tc>
          <w:tcPr>
            <w:tcW w:w="9495" w:type="dxa"/>
            <w:tcBorders/>
            <w:shd w:fill="auto" w:val="clear"/>
            <w:vAlign w:val="center"/>
          </w:tcPr>
          <w:p>
            <w:pPr>
              <w:pStyle w:val="TableContents"/>
              <w:spacing w:before="0" w:after="283"/>
              <w:rPr>
                <w:sz w:val="4"/>
                <w:szCs w:val="4"/>
              </w:rPr>
            </w:pPr>
            <w:r>
              <w:rPr>
                <w:sz w:val="4"/>
                <w:szCs w:val="4"/>
              </w:rPr>
            </w:r>
          </w:p>
        </w:tc>
        <w:tc>
          <w:tcPr>
            <w:tcW w:w="710" w:type="dxa"/>
            <w:gridSpan w:val="4"/>
            <w:tcBorders/>
            <w:shd w:fill="auto" w:val="clear"/>
            <w:vAlign w:val="center"/>
          </w:tcPr>
          <w:p>
            <w:pPr>
              <w:pStyle w:val="TableContents"/>
              <w:spacing w:before="0" w:after="283"/>
              <w:rPr>
                <w:sz w:val="4"/>
                <w:szCs w:val="4"/>
              </w:rPr>
            </w:pPr>
            <w:r>
              <w:rPr>
                <w:sz w:val="4"/>
                <w:szCs w:val="4"/>
              </w:rPr>
            </w:r>
          </w:p>
        </w:tc>
      </w:tr>
      <w:tr>
        <w:trPr/>
        <w:tc>
          <w:tcPr>
            <w:tcW w:w="9495" w:type="dxa"/>
            <w:tcBorders/>
            <w:shd w:fill="auto" w:val="clear"/>
            <w:vAlign w:val="center"/>
          </w:tcPr>
          <w:p>
            <w:pPr>
              <w:pStyle w:val="TableContents"/>
              <w:spacing w:before="0" w:after="0"/>
              <w:rPr/>
            </w:pPr>
            <w:hyperlink w:anchor="toc360141_14">
              <w:r>
                <w:rPr>
                  <w:rStyle w:val="InternetLink"/>
                  <w:rFonts w:ascii="ARIAL" w:hAnsi="ARIAL"/>
                  <w:sz w:val="19"/>
                </w:rPr>
                <w:t>Compensation Discussion and Analysis</w:t>
              </w:r>
            </w:hyperlink>
          </w:p>
        </w:tc>
        <w:tc>
          <w:tcPr>
            <w:tcW w:w="120" w:type="dxa"/>
            <w:tcBorders/>
            <w:shd w:fill="auto" w:val="clear"/>
            <w:vAlign w:val="center"/>
          </w:tcPr>
          <w:p>
            <w:pPr>
              <w:pStyle w:val="TableContents"/>
              <w:spacing w:before="0" w:after="283"/>
              <w:rPr/>
            </w:pPr>
            <w:r>
              <w:rPr/>
              <w:t>  </w:t>
            </w:r>
          </w:p>
        </w:tc>
        <w:tc>
          <w:tcPr>
            <w:tcW w:w="92" w:type="dxa"/>
            <w:tcBorders/>
            <w:shd w:fill="auto" w:val="clear"/>
            <w:vAlign w:val="center"/>
          </w:tcPr>
          <w:p>
            <w:pPr>
              <w:pStyle w:val="TableContents"/>
              <w:spacing w:before="0" w:after="283"/>
              <w:rPr/>
            </w:pPr>
            <w:r>
              <w:rPr/>
              <w:t> </w:t>
            </w:r>
          </w:p>
        </w:tc>
        <w:tc>
          <w:tcPr>
            <w:tcW w:w="423" w:type="dxa"/>
            <w:tcBorders/>
            <w:shd w:fill="auto" w:val="clear"/>
            <w:vAlign w:val="center"/>
          </w:tcPr>
          <w:p>
            <w:pPr>
              <w:pStyle w:val="TableContents"/>
              <w:spacing w:before="0" w:after="283"/>
              <w:jc w:val="right"/>
              <w:rPr/>
            </w:pPr>
            <w:r>
              <w:rPr/>
              <w:t>40</w:t>
            </w:r>
          </w:p>
        </w:tc>
        <w:tc>
          <w:tcPr>
            <w:tcW w:w="75" w:type="dxa"/>
            <w:tcBorders/>
            <w:shd w:fill="auto" w:val="clear"/>
            <w:vAlign w:val="center"/>
          </w:tcPr>
          <w:p>
            <w:pPr>
              <w:pStyle w:val="TableContents"/>
              <w:spacing w:before="0" w:after="283"/>
              <w:rPr/>
            </w:pPr>
            <w:r>
              <w:rPr/>
              <w:t> </w:t>
            </w:r>
          </w:p>
        </w:tc>
      </w:tr>
      <w:tr>
        <w:trPr/>
        <w:tc>
          <w:tcPr>
            <w:tcW w:w="9495" w:type="dxa"/>
            <w:tcBorders/>
            <w:shd w:fill="CEE8F6" w:val="clear"/>
            <w:vAlign w:val="center"/>
          </w:tcPr>
          <w:p>
            <w:pPr>
              <w:pStyle w:val="TableContents"/>
              <w:spacing w:before="0" w:after="283"/>
              <w:rPr>
                <w:sz w:val="4"/>
                <w:szCs w:val="4"/>
              </w:rPr>
            </w:pPr>
            <w:r>
              <w:rPr>
                <w:sz w:val="4"/>
                <w:szCs w:val="4"/>
              </w:rPr>
            </w:r>
          </w:p>
        </w:tc>
        <w:tc>
          <w:tcPr>
            <w:tcW w:w="710" w:type="dxa"/>
            <w:gridSpan w:val="4"/>
            <w:tcBorders/>
            <w:shd w:fill="CEE8F6" w:val="clear"/>
            <w:vAlign w:val="center"/>
          </w:tcPr>
          <w:p>
            <w:pPr>
              <w:pStyle w:val="TableContents"/>
              <w:spacing w:before="0" w:after="283"/>
              <w:rPr>
                <w:sz w:val="4"/>
                <w:szCs w:val="4"/>
              </w:rPr>
            </w:pPr>
            <w:r>
              <w:rPr>
                <w:sz w:val="4"/>
                <w:szCs w:val="4"/>
              </w:rPr>
            </w:r>
          </w:p>
        </w:tc>
      </w:tr>
      <w:tr>
        <w:trPr/>
        <w:tc>
          <w:tcPr>
            <w:tcW w:w="9495" w:type="dxa"/>
            <w:tcBorders/>
            <w:shd w:fill="CEE8F6" w:val="clear"/>
            <w:vAlign w:val="center"/>
          </w:tcPr>
          <w:p>
            <w:pPr>
              <w:pStyle w:val="TableContents"/>
              <w:spacing w:before="0" w:after="0"/>
              <w:rPr/>
            </w:pPr>
            <w:hyperlink w:anchor="toc360141_15">
              <w:r>
                <w:rPr>
                  <w:rStyle w:val="InternetLink"/>
                  <w:rFonts w:ascii="ARIAL" w:hAnsi="ARIAL"/>
                  <w:sz w:val="19"/>
                </w:rPr>
                <w:t>Compensation Committee Report</w:t>
              </w:r>
            </w:hyperlink>
          </w:p>
        </w:tc>
        <w:tc>
          <w:tcPr>
            <w:tcW w:w="120" w:type="dxa"/>
            <w:tcBorders/>
            <w:shd w:fill="CEE8F6" w:val="clear"/>
            <w:vAlign w:val="center"/>
          </w:tcPr>
          <w:p>
            <w:pPr>
              <w:pStyle w:val="TableContents"/>
              <w:spacing w:before="0" w:after="283"/>
              <w:rPr/>
            </w:pPr>
            <w:r>
              <w:rPr/>
              <w:t>  </w:t>
            </w:r>
          </w:p>
        </w:tc>
        <w:tc>
          <w:tcPr>
            <w:tcW w:w="92" w:type="dxa"/>
            <w:tcBorders/>
            <w:shd w:fill="CEE8F6" w:val="clear"/>
            <w:vAlign w:val="center"/>
          </w:tcPr>
          <w:p>
            <w:pPr>
              <w:pStyle w:val="TableContents"/>
              <w:spacing w:before="0" w:after="283"/>
              <w:rPr/>
            </w:pPr>
            <w:r>
              <w:rPr/>
              <w:t> </w:t>
            </w:r>
          </w:p>
        </w:tc>
        <w:tc>
          <w:tcPr>
            <w:tcW w:w="423" w:type="dxa"/>
            <w:tcBorders/>
            <w:shd w:fill="CEE8F6" w:val="clear"/>
            <w:vAlign w:val="center"/>
          </w:tcPr>
          <w:p>
            <w:pPr>
              <w:pStyle w:val="TableContents"/>
              <w:spacing w:before="0" w:after="283"/>
              <w:jc w:val="right"/>
              <w:rPr/>
            </w:pPr>
            <w:r>
              <w:rPr/>
              <w:t>63</w:t>
            </w:r>
          </w:p>
        </w:tc>
        <w:tc>
          <w:tcPr>
            <w:tcW w:w="75" w:type="dxa"/>
            <w:tcBorders/>
            <w:shd w:fill="CEE8F6" w:val="clear"/>
            <w:vAlign w:val="center"/>
          </w:tcPr>
          <w:p>
            <w:pPr>
              <w:pStyle w:val="TableContents"/>
              <w:spacing w:before="0" w:after="283"/>
              <w:rPr/>
            </w:pPr>
            <w:r>
              <w:rPr/>
              <w:t> </w:t>
            </w:r>
          </w:p>
        </w:tc>
      </w:tr>
      <w:tr>
        <w:trPr/>
        <w:tc>
          <w:tcPr>
            <w:tcW w:w="9495" w:type="dxa"/>
            <w:tcBorders/>
            <w:shd w:fill="auto" w:val="clear"/>
            <w:vAlign w:val="center"/>
          </w:tcPr>
          <w:p>
            <w:pPr>
              <w:pStyle w:val="TableContents"/>
              <w:spacing w:before="0" w:after="283"/>
              <w:rPr>
                <w:sz w:val="4"/>
                <w:szCs w:val="4"/>
              </w:rPr>
            </w:pPr>
            <w:r>
              <w:rPr>
                <w:sz w:val="4"/>
                <w:szCs w:val="4"/>
              </w:rPr>
            </w:r>
          </w:p>
        </w:tc>
        <w:tc>
          <w:tcPr>
            <w:tcW w:w="710" w:type="dxa"/>
            <w:gridSpan w:val="4"/>
            <w:tcBorders/>
            <w:shd w:fill="auto" w:val="clear"/>
            <w:vAlign w:val="center"/>
          </w:tcPr>
          <w:p>
            <w:pPr>
              <w:pStyle w:val="TableContents"/>
              <w:spacing w:before="0" w:after="283"/>
              <w:rPr>
                <w:sz w:val="4"/>
                <w:szCs w:val="4"/>
              </w:rPr>
            </w:pPr>
            <w:r>
              <w:rPr>
                <w:sz w:val="4"/>
                <w:szCs w:val="4"/>
              </w:rPr>
            </w:r>
          </w:p>
        </w:tc>
      </w:tr>
      <w:tr>
        <w:trPr/>
        <w:tc>
          <w:tcPr>
            <w:tcW w:w="9495" w:type="dxa"/>
            <w:tcBorders/>
            <w:shd w:fill="auto" w:val="clear"/>
            <w:vAlign w:val="center"/>
          </w:tcPr>
          <w:p>
            <w:pPr>
              <w:pStyle w:val="TableContents"/>
              <w:spacing w:before="0" w:after="0"/>
              <w:rPr/>
            </w:pPr>
            <w:hyperlink w:anchor="toc360141_16">
              <w:r>
                <w:rPr>
                  <w:rStyle w:val="InternetLink"/>
                  <w:rFonts w:ascii="ARIAL" w:hAnsi="ARIAL"/>
                  <w:sz w:val="19"/>
                </w:rPr>
                <w:t>Summary Compensation Table</w:t>
              </w:r>
            </w:hyperlink>
          </w:p>
        </w:tc>
        <w:tc>
          <w:tcPr>
            <w:tcW w:w="120" w:type="dxa"/>
            <w:tcBorders/>
            <w:shd w:fill="auto" w:val="clear"/>
            <w:vAlign w:val="center"/>
          </w:tcPr>
          <w:p>
            <w:pPr>
              <w:pStyle w:val="TableContents"/>
              <w:spacing w:before="0" w:after="283"/>
              <w:rPr/>
            </w:pPr>
            <w:r>
              <w:rPr/>
              <w:t>  </w:t>
            </w:r>
          </w:p>
        </w:tc>
        <w:tc>
          <w:tcPr>
            <w:tcW w:w="92" w:type="dxa"/>
            <w:tcBorders/>
            <w:shd w:fill="auto" w:val="clear"/>
            <w:vAlign w:val="center"/>
          </w:tcPr>
          <w:p>
            <w:pPr>
              <w:pStyle w:val="TableContents"/>
              <w:spacing w:before="0" w:after="283"/>
              <w:rPr/>
            </w:pPr>
            <w:r>
              <w:rPr/>
              <w:t> </w:t>
            </w:r>
          </w:p>
        </w:tc>
        <w:tc>
          <w:tcPr>
            <w:tcW w:w="423" w:type="dxa"/>
            <w:tcBorders/>
            <w:shd w:fill="auto" w:val="clear"/>
            <w:vAlign w:val="center"/>
          </w:tcPr>
          <w:p>
            <w:pPr>
              <w:pStyle w:val="TableContents"/>
              <w:spacing w:before="0" w:after="283"/>
              <w:jc w:val="right"/>
              <w:rPr/>
            </w:pPr>
            <w:r>
              <w:rPr/>
              <w:t>64</w:t>
            </w:r>
          </w:p>
        </w:tc>
        <w:tc>
          <w:tcPr>
            <w:tcW w:w="75" w:type="dxa"/>
            <w:tcBorders/>
            <w:shd w:fill="auto" w:val="clear"/>
            <w:vAlign w:val="center"/>
          </w:tcPr>
          <w:p>
            <w:pPr>
              <w:pStyle w:val="TableContents"/>
              <w:spacing w:before="0" w:after="283"/>
              <w:rPr/>
            </w:pPr>
            <w:r>
              <w:rPr/>
              <w:t> </w:t>
            </w:r>
          </w:p>
        </w:tc>
      </w:tr>
      <w:tr>
        <w:trPr/>
        <w:tc>
          <w:tcPr>
            <w:tcW w:w="9495" w:type="dxa"/>
            <w:tcBorders/>
            <w:shd w:fill="CEE8F6" w:val="clear"/>
            <w:vAlign w:val="center"/>
          </w:tcPr>
          <w:p>
            <w:pPr>
              <w:pStyle w:val="TableContents"/>
              <w:spacing w:before="0" w:after="283"/>
              <w:rPr>
                <w:sz w:val="4"/>
                <w:szCs w:val="4"/>
              </w:rPr>
            </w:pPr>
            <w:r>
              <w:rPr>
                <w:sz w:val="4"/>
                <w:szCs w:val="4"/>
              </w:rPr>
            </w:r>
          </w:p>
        </w:tc>
        <w:tc>
          <w:tcPr>
            <w:tcW w:w="710" w:type="dxa"/>
            <w:gridSpan w:val="4"/>
            <w:tcBorders/>
            <w:shd w:fill="CEE8F6" w:val="clear"/>
            <w:vAlign w:val="center"/>
          </w:tcPr>
          <w:p>
            <w:pPr>
              <w:pStyle w:val="TableContents"/>
              <w:spacing w:before="0" w:after="283"/>
              <w:rPr>
                <w:sz w:val="4"/>
                <w:szCs w:val="4"/>
              </w:rPr>
            </w:pPr>
            <w:r>
              <w:rPr>
                <w:sz w:val="4"/>
                <w:szCs w:val="4"/>
              </w:rPr>
            </w:r>
          </w:p>
        </w:tc>
      </w:tr>
      <w:tr>
        <w:trPr/>
        <w:tc>
          <w:tcPr>
            <w:tcW w:w="9495" w:type="dxa"/>
            <w:tcBorders/>
            <w:shd w:fill="CEE8F6" w:val="clear"/>
            <w:vAlign w:val="center"/>
          </w:tcPr>
          <w:p>
            <w:pPr>
              <w:pStyle w:val="TableContents"/>
              <w:spacing w:before="0" w:after="0"/>
              <w:rPr/>
            </w:pPr>
            <w:hyperlink w:anchor="toc360141_17">
              <w:r>
                <w:rPr>
                  <w:rStyle w:val="InternetLink"/>
                  <w:rFonts w:ascii="ARIAL" w:hAnsi="ARIAL"/>
                  <w:sz w:val="19"/>
                </w:rPr>
                <w:t>Grants of Plan-Based Awards</w:t>
              </w:r>
            </w:hyperlink>
          </w:p>
        </w:tc>
        <w:tc>
          <w:tcPr>
            <w:tcW w:w="120" w:type="dxa"/>
            <w:tcBorders/>
            <w:shd w:fill="CEE8F6" w:val="clear"/>
            <w:vAlign w:val="center"/>
          </w:tcPr>
          <w:p>
            <w:pPr>
              <w:pStyle w:val="TableContents"/>
              <w:spacing w:before="0" w:after="283"/>
              <w:rPr/>
            </w:pPr>
            <w:r>
              <w:rPr/>
              <w:t>  </w:t>
            </w:r>
          </w:p>
        </w:tc>
        <w:tc>
          <w:tcPr>
            <w:tcW w:w="92" w:type="dxa"/>
            <w:tcBorders/>
            <w:shd w:fill="CEE8F6" w:val="clear"/>
            <w:vAlign w:val="center"/>
          </w:tcPr>
          <w:p>
            <w:pPr>
              <w:pStyle w:val="TableContents"/>
              <w:spacing w:before="0" w:after="283"/>
              <w:rPr/>
            </w:pPr>
            <w:r>
              <w:rPr/>
              <w:t> </w:t>
            </w:r>
          </w:p>
        </w:tc>
        <w:tc>
          <w:tcPr>
            <w:tcW w:w="423" w:type="dxa"/>
            <w:tcBorders/>
            <w:shd w:fill="CEE8F6" w:val="clear"/>
            <w:vAlign w:val="center"/>
          </w:tcPr>
          <w:p>
            <w:pPr>
              <w:pStyle w:val="TableContents"/>
              <w:spacing w:before="0" w:after="283"/>
              <w:jc w:val="right"/>
              <w:rPr/>
            </w:pPr>
            <w:r>
              <w:rPr/>
              <w:t>66</w:t>
            </w:r>
          </w:p>
        </w:tc>
        <w:tc>
          <w:tcPr>
            <w:tcW w:w="75" w:type="dxa"/>
            <w:tcBorders/>
            <w:shd w:fill="CEE8F6" w:val="clear"/>
            <w:vAlign w:val="center"/>
          </w:tcPr>
          <w:p>
            <w:pPr>
              <w:pStyle w:val="TableContents"/>
              <w:spacing w:before="0" w:after="283"/>
              <w:rPr/>
            </w:pPr>
            <w:r>
              <w:rPr/>
              <w:t> </w:t>
            </w:r>
          </w:p>
        </w:tc>
      </w:tr>
      <w:tr>
        <w:trPr/>
        <w:tc>
          <w:tcPr>
            <w:tcW w:w="9495" w:type="dxa"/>
            <w:tcBorders/>
            <w:shd w:fill="auto" w:val="clear"/>
            <w:vAlign w:val="center"/>
          </w:tcPr>
          <w:p>
            <w:pPr>
              <w:pStyle w:val="TableContents"/>
              <w:spacing w:before="0" w:after="283"/>
              <w:rPr>
                <w:sz w:val="4"/>
                <w:szCs w:val="4"/>
              </w:rPr>
            </w:pPr>
            <w:r>
              <w:rPr>
                <w:sz w:val="4"/>
                <w:szCs w:val="4"/>
              </w:rPr>
            </w:r>
          </w:p>
        </w:tc>
        <w:tc>
          <w:tcPr>
            <w:tcW w:w="710" w:type="dxa"/>
            <w:gridSpan w:val="4"/>
            <w:tcBorders/>
            <w:shd w:fill="auto" w:val="clear"/>
            <w:vAlign w:val="center"/>
          </w:tcPr>
          <w:p>
            <w:pPr>
              <w:pStyle w:val="TableContents"/>
              <w:spacing w:before="0" w:after="283"/>
              <w:rPr>
                <w:sz w:val="4"/>
                <w:szCs w:val="4"/>
              </w:rPr>
            </w:pPr>
            <w:r>
              <w:rPr>
                <w:sz w:val="4"/>
                <w:szCs w:val="4"/>
              </w:rPr>
            </w:r>
          </w:p>
        </w:tc>
      </w:tr>
      <w:tr>
        <w:trPr/>
        <w:tc>
          <w:tcPr>
            <w:tcW w:w="9495" w:type="dxa"/>
            <w:tcBorders/>
            <w:shd w:fill="auto" w:val="clear"/>
            <w:vAlign w:val="center"/>
          </w:tcPr>
          <w:p>
            <w:pPr>
              <w:pStyle w:val="TableContents"/>
              <w:spacing w:before="0" w:after="0"/>
              <w:rPr/>
            </w:pPr>
            <w:hyperlink w:anchor="toc360141_18">
              <w:r>
                <w:rPr>
                  <w:rStyle w:val="InternetLink"/>
                  <w:rFonts w:ascii="ARIAL" w:hAnsi="ARIAL"/>
                  <w:sz w:val="19"/>
                </w:rPr>
                <w:t>Outstanding Equity Awards at Fiscal Year End</w:t>
              </w:r>
            </w:hyperlink>
          </w:p>
        </w:tc>
        <w:tc>
          <w:tcPr>
            <w:tcW w:w="120" w:type="dxa"/>
            <w:tcBorders/>
            <w:shd w:fill="auto" w:val="clear"/>
            <w:vAlign w:val="center"/>
          </w:tcPr>
          <w:p>
            <w:pPr>
              <w:pStyle w:val="TableContents"/>
              <w:spacing w:before="0" w:after="283"/>
              <w:rPr/>
            </w:pPr>
            <w:r>
              <w:rPr/>
              <w:t>  </w:t>
            </w:r>
          </w:p>
        </w:tc>
        <w:tc>
          <w:tcPr>
            <w:tcW w:w="92" w:type="dxa"/>
            <w:tcBorders/>
            <w:shd w:fill="auto" w:val="clear"/>
            <w:vAlign w:val="center"/>
          </w:tcPr>
          <w:p>
            <w:pPr>
              <w:pStyle w:val="TableContents"/>
              <w:spacing w:before="0" w:after="283"/>
              <w:rPr/>
            </w:pPr>
            <w:r>
              <w:rPr/>
              <w:t> </w:t>
            </w:r>
          </w:p>
        </w:tc>
        <w:tc>
          <w:tcPr>
            <w:tcW w:w="423" w:type="dxa"/>
            <w:tcBorders/>
            <w:shd w:fill="auto" w:val="clear"/>
            <w:vAlign w:val="center"/>
          </w:tcPr>
          <w:p>
            <w:pPr>
              <w:pStyle w:val="TableContents"/>
              <w:spacing w:before="0" w:after="283"/>
              <w:jc w:val="right"/>
              <w:rPr/>
            </w:pPr>
            <w:r>
              <w:rPr/>
              <w:t>68</w:t>
            </w:r>
          </w:p>
        </w:tc>
        <w:tc>
          <w:tcPr>
            <w:tcW w:w="75" w:type="dxa"/>
            <w:tcBorders/>
            <w:shd w:fill="auto" w:val="clear"/>
            <w:vAlign w:val="center"/>
          </w:tcPr>
          <w:p>
            <w:pPr>
              <w:pStyle w:val="TableContents"/>
              <w:spacing w:before="0" w:after="283"/>
              <w:rPr/>
            </w:pPr>
            <w:r>
              <w:rPr/>
              <w:t> </w:t>
            </w:r>
          </w:p>
        </w:tc>
      </w:tr>
      <w:tr>
        <w:trPr/>
        <w:tc>
          <w:tcPr>
            <w:tcW w:w="9495" w:type="dxa"/>
            <w:tcBorders/>
            <w:shd w:fill="CEE8F6" w:val="clear"/>
            <w:vAlign w:val="center"/>
          </w:tcPr>
          <w:p>
            <w:pPr>
              <w:pStyle w:val="TableContents"/>
              <w:spacing w:before="0" w:after="283"/>
              <w:rPr>
                <w:sz w:val="4"/>
                <w:szCs w:val="4"/>
              </w:rPr>
            </w:pPr>
            <w:r>
              <w:rPr>
                <w:sz w:val="4"/>
                <w:szCs w:val="4"/>
              </w:rPr>
            </w:r>
          </w:p>
        </w:tc>
        <w:tc>
          <w:tcPr>
            <w:tcW w:w="710" w:type="dxa"/>
            <w:gridSpan w:val="4"/>
            <w:tcBorders/>
            <w:shd w:fill="CEE8F6" w:val="clear"/>
            <w:vAlign w:val="center"/>
          </w:tcPr>
          <w:p>
            <w:pPr>
              <w:pStyle w:val="TableContents"/>
              <w:spacing w:before="0" w:after="283"/>
              <w:rPr>
                <w:sz w:val="4"/>
                <w:szCs w:val="4"/>
              </w:rPr>
            </w:pPr>
            <w:r>
              <w:rPr>
                <w:sz w:val="4"/>
                <w:szCs w:val="4"/>
              </w:rPr>
            </w:r>
          </w:p>
        </w:tc>
      </w:tr>
      <w:tr>
        <w:trPr/>
        <w:tc>
          <w:tcPr>
            <w:tcW w:w="9495" w:type="dxa"/>
            <w:tcBorders/>
            <w:shd w:fill="CEE8F6" w:val="clear"/>
            <w:vAlign w:val="center"/>
          </w:tcPr>
          <w:p>
            <w:pPr>
              <w:pStyle w:val="TableContents"/>
              <w:spacing w:before="0" w:after="0"/>
              <w:rPr/>
            </w:pPr>
            <w:hyperlink w:anchor="toc360141_19">
              <w:r>
                <w:rPr>
                  <w:rStyle w:val="InternetLink"/>
                  <w:rFonts w:ascii="ARIAL" w:hAnsi="ARIAL"/>
                  <w:sz w:val="19"/>
                </w:rPr>
                <w:t>Option Exercises and Stock Vested</w:t>
              </w:r>
            </w:hyperlink>
          </w:p>
        </w:tc>
        <w:tc>
          <w:tcPr>
            <w:tcW w:w="120" w:type="dxa"/>
            <w:tcBorders/>
            <w:shd w:fill="CEE8F6" w:val="clear"/>
            <w:vAlign w:val="center"/>
          </w:tcPr>
          <w:p>
            <w:pPr>
              <w:pStyle w:val="TableContents"/>
              <w:spacing w:before="0" w:after="283"/>
              <w:rPr/>
            </w:pPr>
            <w:r>
              <w:rPr/>
              <w:t>  </w:t>
            </w:r>
          </w:p>
        </w:tc>
        <w:tc>
          <w:tcPr>
            <w:tcW w:w="92" w:type="dxa"/>
            <w:tcBorders/>
            <w:shd w:fill="CEE8F6" w:val="clear"/>
            <w:vAlign w:val="center"/>
          </w:tcPr>
          <w:p>
            <w:pPr>
              <w:pStyle w:val="TableContents"/>
              <w:spacing w:before="0" w:after="283"/>
              <w:rPr/>
            </w:pPr>
            <w:r>
              <w:rPr/>
              <w:t> </w:t>
            </w:r>
          </w:p>
        </w:tc>
        <w:tc>
          <w:tcPr>
            <w:tcW w:w="423" w:type="dxa"/>
            <w:tcBorders/>
            <w:shd w:fill="CEE8F6" w:val="clear"/>
            <w:vAlign w:val="center"/>
          </w:tcPr>
          <w:p>
            <w:pPr>
              <w:pStyle w:val="TableContents"/>
              <w:spacing w:before="0" w:after="283"/>
              <w:jc w:val="right"/>
              <w:rPr/>
            </w:pPr>
            <w:r>
              <w:rPr/>
              <w:t>69</w:t>
            </w:r>
          </w:p>
        </w:tc>
        <w:tc>
          <w:tcPr>
            <w:tcW w:w="75" w:type="dxa"/>
            <w:tcBorders/>
            <w:shd w:fill="CEE8F6" w:val="clear"/>
            <w:vAlign w:val="center"/>
          </w:tcPr>
          <w:p>
            <w:pPr>
              <w:pStyle w:val="TableContents"/>
              <w:spacing w:before="0" w:after="283"/>
              <w:rPr/>
            </w:pPr>
            <w:r>
              <w:rPr/>
              <w:t> </w:t>
            </w:r>
          </w:p>
        </w:tc>
      </w:tr>
      <w:tr>
        <w:trPr/>
        <w:tc>
          <w:tcPr>
            <w:tcW w:w="9495" w:type="dxa"/>
            <w:tcBorders/>
            <w:shd w:fill="auto" w:val="clear"/>
            <w:vAlign w:val="center"/>
          </w:tcPr>
          <w:p>
            <w:pPr>
              <w:pStyle w:val="TableContents"/>
              <w:spacing w:before="0" w:after="283"/>
              <w:rPr>
                <w:sz w:val="4"/>
                <w:szCs w:val="4"/>
              </w:rPr>
            </w:pPr>
            <w:r>
              <w:rPr>
                <w:sz w:val="4"/>
                <w:szCs w:val="4"/>
              </w:rPr>
            </w:r>
          </w:p>
        </w:tc>
        <w:tc>
          <w:tcPr>
            <w:tcW w:w="710" w:type="dxa"/>
            <w:gridSpan w:val="4"/>
            <w:tcBorders/>
            <w:shd w:fill="auto" w:val="clear"/>
            <w:vAlign w:val="center"/>
          </w:tcPr>
          <w:p>
            <w:pPr>
              <w:pStyle w:val="TableContents"/>
              <w:spacing w:before="0" w:after="283"/>
              <w:rPr>
                <w:sz w:val="4"/>
                <w:szCs w:val="4"/>
              </w:rPr>
            </w:pPr>
            <w:r>
              <w:rPr>
                <w:sz w:val="4"/>
                <w:szCs w:val="4"/>
              </w:rPr>
            </w:r>
          </w:p>
        </w:tc>
      </w:tr>
      <w:tr>
        <w:trPr/>
        <w:tc>
          <w:tcPr>
            <w:tcW w:w="9495" w:type="dxa"/>
            <w:tcBorders/>
            <w:shd w:fill="auto" w:val="clear"/>
            <w:vAlign w:val="center"/>
          </w:tcPr>
          <w:p>
            <w:pPr>
              <w:pStyle w:val="TableContents"/>
              <w:spacing w:before="0" w:after="0"/>
              <w:rPr/>
            </w:pPr>
            <w:hyperlink w:anchor="toc360141_20">
              <w:r>
                <w:rPr>
                  <w:rStyle w:val="InternetLink"/>
                  <w:rFonts w:ascii="ARIAL" w:hAnsi="ARIAL"/>
                  <w:sz w:val="19"/>
                </w:rPr>
                <w:t>Pension Benefits</w:t>
              </w:r>
            </w:hyperlink>
          </w:p>
        </w:tc>
        <w:tc>
          <w:tcPr>
            <w:tcW w:w="120" w:type="dxa"/>
            <w:tcBorders/>
            <w:shd w:fill="auto" w:val="clear"/>
            <w:vAlign w:val="center"/>
          </w:tcPr>
          <w:p>
            <w:pPr>
              <w:pStyle w:val="TableContents"/>
              <w:spacing w:before="0" w:after="283"/>
              <w:rPr/>
            </w:pPr>
            <w:r>
              <w:rPr/>
              <w:t>  </w:t>
            </w:r>
          </w:p>
        </w:tc>
        <w:tc>
          <w:tcPr>
            <w:tcW w:w="92" w:type="dxa"/>
            <w:tcBorders/>
            <w:shd w:fill="auto" w:val="clear"/>
            <w:vAlign w:val="center"/>
          </w:tcPr>
          <w:p>
            <w:pPr>
              <w:pStyle w:val="TableContents"/>
              <w:spacing w:before="0" w:after="283"/>
              <w:rPr/>
            </w:pPr>
            <w:r>
              <w:rPr/>
              <w:t> </w:t>
            </w:r>
          </w:p>
        </w:tc>
        <w:tc>
          <w:tcPr>
            <w:tcW w:w="423" w:type="dxa"/>
            <w:tcBorders/>
            <w:shd w:fill="auto" w:val="clear"/>
            <w:vAlign w:val="center"/>
          </w:tcPr>
          <w:p>
            <w:pPr>
              <w:pStyle w:val="TableContents"/>
              <w:spacing w:before="0" w:after="283"/>
              <w:jc w:val="right"/>
              <w:rPr/>
            </w:pPr>
            <w:r>
              <w:rPr/>
              <w:t>70</w:t>
            </w:r>
          </w:p>
        </w:tc>
        <w:tc>
          <w:tcPr>
            <w:tcW w:w="75" w:type="dxa"/>
            <w:tcBorders/>
            <w:shd w:fill="auto" w:val="clear"/>
            <w:vAlign w:val="center"/>
          </w:tcPr>
          <w:p>
            <w:pPr>
              <w:pStyle w:val="TableContents"/>
              <w:spacing w:before="0" w:after="283"/>
              <w:rPr/>
            </w:pPr>
            <w:r>
              <w:rPr/>
              <w:t> </w:t>
            </w:r>
          </w:p>
        </w:tc>
      </w:tr>
      <w:tr>
        <w:trPr/>
        <w:tc>
          <w:tcPr>
            <w:tcW w:w="9495" w:type="dxa"/>
            <w:tcBorders/>
            <w:shd w:fill="CEE8F6" w:val="clear"/>
            <w:vAlign w:val="center"/>
          </w:tcPr>
          <w:p>
            <w:pPr>
              <w:pStyle w:val="TableContents"/>
              <w:spacing w:before="0" w:after="283"/>
              <w:rPr>
                <w:sz w:val="4"/>
                <w:szCs w:val="4"/>
              </w:rPr>
            </w:pPr>
            <w:r>
              <w:rPr>
                <w:sz w:val="4"/>
                <w:szCs w:val="4"/>
              </w:rPr>
            </w:r>
          </w:p>
        </w:tc>
        <w:tc>
          <w:tcPr>
            <w:tcW w:w="710" w:type="dxa"/>
            <w:gridSpan w:val="4"/>
            <w:tcBorders/>
            <w:shd w:fill="CEE8F6" w:val="clear"/>
            <w:vAlign w:val="center"/>
          </w:tcPr>
          <w:p>
            <w:pPr>
              <w:pStyle w:val="TableContents"/>
              <w:spacing w:before="0" w:after="283"/>
              <w:rPr>
                <w:sz w:val="4"/>
                <w:szCs w:val="4"/>
              </w:rPr>
            </w:pPr>
            <w:r>
              <w:rPr>
                <w:sz w:val="4"/>
                <w:szCs w:val="4"/>
              </w:rPr>
            </w:r>
          </w:p>
        </w:tc>
      </w:tr>
      <w:tr>
        <w:trPr/>
        <w:tc>
          <w:tcPr>
            <w:tcW w:w="9495" w:type="dxa"/>
            <w:tcBorders/>
            <w:shd w:fill="CEE8F6" w:val="clear"/>
            <w:vAlign w:val="center"/>
          </w:tcPr>
          <w:p>
            <w:pPr>
              <w:pStyle w:val="TableContents"/>
              <w:spacing w:before="0" w:after="0"/>
              <w:rPr/>
            </w:pPr>
            <w:hyperlink w:anchor="toc360141_21">
              <w:r>
                <w:rPr>
                  <w:rStyle w:val="InternetLink"/>
                  <w:rFonts w:ascii="ARIAL" w:hAnsi="ARIAL"/>
                  <w:sz w:val="19"/>
                </w:rPr>
                <w:t>Non-Qualified Deferred Compensation</w:t>
              </w:r>
            </w:hyperlink>
          </w:p>
        </w:tc>
        <w:tc>
          <w:tcPr>
            <w:tcW w:w="120" w:type="dxa"/>
            <w:tcBorders/>
            <w:shd w:fill="CEE8F6" w:val="clear"/>
            <w:vAlign w:val="center"/>
          </w:tcPr>
          <w:p>
            <w:pPr>
              <w:pStyle w:val="TableContents"/>
              <w:spacing w:before="0" w:after="283"/>
              <w:rPr/>
            </w:pPr>
            <w:r>
              <w:rPr/>
              <w:t>  </w:t>
            </w:r>
          </w:p>
        </w:tc>
        <w:tc>
          <w:tcPr>
            <w:tcW w:w="92" w:type="dxa"/>
            <w:tcBorders/>
            <w:shd w:fill="CEE8F6" w:val="clear"/>
            <w:vAlign w:val="center"/>
          </w:tcPr>
          <w:p>
            <w:pPr>
              <w:pStyle w:val="TableContents"/>
              <w:spacing w:before="0" w:after="283"/>
              <w:rPr/>
            </w:pPr>
            <w:r>
              <w:rPr/>
              <w:t> </w:t>
            </w:r>
          </w:p>
        </w:tc>
        <w:tc>
          <w:tcPr>
            <w:tcW w:w="423" w:type="dxa"/>
            <w:tcBorders/>
            <w:shd w:fill="CEE8F6" w:val="clear"/>
            <w:vAlign w:val="center"/>
          </w:tcPr>
          <w:p>
            <w:pPr>
              <w:pStyle w:val="TableContents"/>
              <w:spacing w:before="0" w:after="283"/>
              <w:jc w:val="right"/>
              <w:rPr/>
            </w:pPr>
            <w:r>
              <w:rPr/>
              <w:t>71</w:t>
            </w:r>
          </w:p>
        </w:tc>
        <w:tc>
          <w:tcPr>
            <w:tcW w:w="75" w:type="dxa"/>
            <w:tcBorders/>
            <w:shd w:fill="CEE8F6" w:val="clear"/>
            <w:vAlign w:val="center"/>
          </w:tcPr>
          <w:p>
            <w:pPr>
              <w:pStyle w:val="TableContents"/>
              <w:spacing w:before="0" w:after="283"/>
              <w:rPr/>
            </w:pPr>
            <w:r>
              <w:rPr/>
              <w:t> </w:t>
            </w:r>
          </w:p>
        </w:tc>
      </w:tr>
      <w:tr>
        <w:trPr/>
        <w:tc>
          <w:tcPr>
            <w:tcW w:w="9495" w:type="dxa"/>
            <w:tcBorders/>
            <w:shd w:fill="auto" w:val="clear"/>
            <w:vAlign w:val="center"/>
          </w:tcPr>
          <w:p>
            <w:pPr>
              <w:pStyle w:val="TableContents"/>
              <w:spacing w:before="0" w:after="283"/>
              <w:rPr>
                <w:sz w:val="4"/>
                <w:szCs w:val="4"/>
              </w:rPr>
            </w:pPr>
            <w:r>
              <w:rPr>
                <w:sz w:val="4"/>
                <w:szCs w:val="4"/>
              </w:rPr>
            </w:r>
          </w:p>
        </w:tc>
        <w:tc>
          <w:tcPr>
            <w:tcW w:w="710" w:type="dxa"/>
            <w:gridSpan w:val="4"/>
            <w:tcBorders/>
            <w:shd w:fill="auto" w:val="clear"/>
            <w:vAlign w:val="center"/>
          </w:tcPr>
          <w:p>
            <w:pPr>
              <w:pStyle w:val="TableContents"/>
              <w:spacing w:before="0" w:after="283"/>
              <w:rPr>
                <w:sz w:val="4"/>
                <w:szCs w:val="4"/>
              </w:rPr>
            </w:pPr>
            <w:r>
              <w:rPr>
                <w:sz w:val="4"/>
                <w:szCs w:val="4"/>
              </w:rPr>
            </w:r>
          </w:p>
        </w:tc>
      </w:tr>
      <w:tr>
        <w:trPr/>
        <w:tc>
          <w:tcPr>
            <w:tcW w:w="9495" w:type="dxa"/>
            <w:tcBorders/>
            <w:shd w:fill="auto" w:val="clear"/>
            <w:vAlign w:val="center"/>
          </w:tcPr>
          <w:p>
            <w:pPr>
              <w:pStyle w:val="TableContents"/>
              <w:spacing w:before="0" w:after="0"/>
              <w:rPr/>
            </w:pPr>
            <w:hyperlink w:anchor="toc360141_22">
              <w:r>
                <w:rPr>
                  <w:rStyle w:val="InternetLink"/>
                  <w:rFonts w:ascii="ARIAL" w:hAnsi="ARIAL"/>
                  <w:sz w:val="19"/>
                </w:rPr>
                <w:t>Potential Payments upon Termination or Change in Control</w:t>
              </w:r>
            </w:hyperlink>
          </w:p>
        </w:tc>
        <w:tc>
          <w:tcPr>
            <w:tcW w:w="120" w:type="dxa"/>
            <w:tcBorders/>
            <w:shd w:fill="auto" w:val="clear"/>
            <w:vAlign w:val="center"/>
          </w:tcPr>
          <w:p>
            <w:pPr>
              <w:pStyle w:val="TableContents"/>
              <w:spacing w:before="0" w:after="283"/>
              <w:rPr/>
            </w:pPr>
            <w:r>
              <w:rPr/>
              <w:t>  </w:t>
            </w:r>
          </w:p>
        </w:tc>
        <w:tc>
          <w:tcPr>
            <w:tcW w:w="92" w:type="dxa"/>
            <w:tcBorders/>
            <w:shd w:fill="auto" w:val="clear"/>
            <w:vAlign w:val="center"/>
          </w:tcPr>
          <w:p>
            <w:pPr>
              <w:pStyle w:val="TableContents"/>
              <w:spacing w:before="0" w:after="283"/>
              <w:rPr/>
            </w:pPr>
            <w:r>
              <w:rPr/>
              <w:t> </w:t>
            </w:r>
          </w:p>
        </w:tc>
        <w:tc>
          <w:tcPr>
            <w:tcW w:w="423" w:type="dxa"/>
            <w:tcBorders/>
            <w:shd w:fill="auto" w:val="clear"/>
            <w:vAlign w:val="center"/>
          </w:tcPr>
          <w:p>
            <w:pPr>
              <w:pStyle w:val="TableContents"/>
              <w:spacing w:before="0" w:after="283"/>
              <w:jc w:val="right"/>
              <w:rPr/>
            </w:pPr>
            <w:r>
              <w:rPr/>
              <w:t>72</w:t>
            </w:r>
          </w:p>
        </w:tc>
        <w:tc>
          <w:tcPr>
            <w:tcW w:w="75" w:type="dxa"/>
            <w:tcBorders/>
            <w:shd w:fill="auto" w:val="clear"/>
            <w:vAlign w:val="center"/>
          </w:tcPr>
          <w:p>
            <w:pPr>
              <w:pStyle w:val="TableContents"/>
              <w:spacing w:before="0" w:after="283"/>
              <w:rPr/>
            </w:pPr>
            <w:r>
              <w:rPr/>
              <w:t> </w:t>
            </w:r>
          </w:p>
        </w:tc>
      </w:tr>
      <w:tr>
        <w:trPr/>
        <w:tc>
          <w:tcPr>
            <w:tcW w:w="9495" w:type="dxa"/>
            <w:tcBorders/>
            <w:shd w:fill="CEE8F6" w:val="clear"/>
            <w:vAlign w:val="center"/>
          </w:tcPr>
          <w:p>
            <w:pPr>
              <w:pStyle w:val="TableContents"/>
              <w:spacing w:before="0" w:after="283"/>
              <w:rPr>
                <w:sz w:val="4"/>
                <w:szCs w:val="4"/>
              </w:rPr>
            </w:pPr>
            <w:r>
              <w:rPr>
                <w:sz w:val="4"/>
                <w:szCs w:val="4"/>
              </w:rPr>
            </w:r>
          </w:p>
        </w:tc>
        <w:tc>
          <w:tcPr>
            <w:tcW w:w="710" w:type="dxa"/>
            <w:gridSpan w:val="4"/>
            <w:tcBorders/>
            <w:shd w:fill="CEE8F6" w:val="clear"/>
            <w:vAlign w:val="center"/>
          </w:tcPr>
          <w:p>
            <w:pPr>
              <w:pStyle w:val="TableContents"/>
              <w:spacing w:before="0" w:after="283"/>
              <w:rPr>
                <w:sz w:val="4"/>
                <w:szCs w:val="4"/>
              </w:rPr>
            </w:pPr>
            <w:r>
              <w:rPr>
                <w:sz w:val="4"/>
                <w:szCs w:val="4"/>
              </w:rPr>
            </w:r>
          </w:p>
        </w:tc>
      </w:tr>
      <w:tr>
        <w:trPr/>
        <w:tc>
          <w:tcPr>
            <w:tcW w:w="9495" w:type="dxa"/>
            <w:tcBorders/>
            <w:shd w:fill="CEE8F6" w:val="clear"/>
            <w:vAlign w:val="center"/>
          </w:tcPr>
          <w:p>
            <w:pPr>
              <w:pStyle w:val="TableContents"/>
              <w:spacing w:before="0" w:after="0"/>
              <w:rPr/>
            </w:pPr>
            <w:hyperlink w:anchor="toc360141_22a">
              <w:r>
                <w:rPr>
                  <w:rStyle w:val="InternetLink"/>
                  <w:rFonts w:ascii="ARIAL" w:hAnsi="ARIAL"/>
                  <w:sz w:val="19"/>
                </w:rPr>
                <w:t>CEO Pay Ratio</w:t>
              </w:r>
            </w:hyperlink>
          </w:p>
        </w:tc>
        <w:tc>
          <w:tcPr>
            <w:tcW w:w="120" w:type="dxa"/>
            <w:tcBorders/>
            <w:shd w:fill="CEE8F6" w:val="clear"/>
            <w:vAlign w:val="center"/>
          </w:tcPr>
          <w:p>
            <w:pPr>
              <w:pStyle w:val="TableContents"/>
              <w:spacing w:before="0" w:after="283"/>
              <w:rPr/>
            </w:pPr>
            <w:r>
              <w:rPr/>
              <w:t>  </w:t>
            </w:r>
          </w:p>
        </w:tc>
        <w:tc>
          <w:tcPr>
            <w:tcW w:w="92" w:type="dxa"/>
            <w:tcBorders/>
            <w:shd w:fill="CEE8F6" w:val="clear"/>
            <w:vAlign w:val="center"/>
          </w:tcPr>
          <w:p>
            <w:pPr>
              <w:pStyle w:val="TableContents"/>
              <w:spacing w:before="0" w:after="283"/>
              <w:rPr/>
            </w:pPr>
            <w:r>
              <w:rPr/>
              <w:t> </w:t>
            </w:r>
          </w:p>
        </w:tc>
        <w:tc>
          <w:tcPr>
            <w:tcW w:w="423" w:type="dxa"/>
            <w:tcBorders/>
            <w:shd w:fill="CEE8F6" w:val="clear"/>
            <w:vAlign w:val="center"/>
          </w:tcPr>
          <w:p>
            <w:pPr>
              <w:pStyle w:val="TableContents"/>
              <w:spacing w:before="0" w:after="283"/>
              <w:jc w:val="right"/>
              <w:rPr/>
            </w:pPr>
            <w:r>
              <w:rPr/>
              <w:t>75</w:t>
            </w:r>
          </w:p>
        </w:tc>
        <w:tc>
          <w:tcPr>
            <w:tcW w:w="75" w:type="dxa"/>
            <w:tcBorders/>
            <w:shd w:fill="CEE8F6" w:val="clear"/>
            <w:vAlign w:val="center"/>
          </w:tcPr>
          <w:p>
            <w:pPr>
              <w:pStyle w:val="TableContents"/>
              <w:spacing w:before="0" w:after="283"/>
              <w:rPr/>
            </w:pPr>
            <w:r>
              <w:rPr/>
              <w:t> </w:t>
            </w:r>
          </w:p>
        </w:tc>
      </w:tr>
      <w:tr>
        <w:trPr/>
        <w:tc>
          <w:tcPr>
            <w:tcW w:w="9495" w:type="dxa"/>
            <w:tcBorders/>
            <w:shd w:fill="auto" w:val="clear"/>
            <w:vAlign w:val="center"/>
          </w:tcPr>
          <w:p>
            <w:pPr>
              <w:pStyle w:val="TableContents"/>
              <w:spacing w:before="0" w:after="283"/>
              <w:rPr>
                <w:sz w:val="4"/>
                <w:szCs w:val="4"/>
              </w:rPr>
            </w:pPr>
            <w:r>
              <w:rPr>
                <w:sz w:val="4"/>
                <w:szCs w:val="4"/>
              </w:rPr>
            </w:r>
          </w:p>
        </w:tc>
        <w:tc>
          <w:tcPr>
            <w:tcW w:w="710" w:type="dxa"/>
            <w:gridSpan w:val="4"/>
            <w:tcBorders/>
            <w:shd w:fill="auto" w:val="clear"/>
            <w:vAlign w:val="center"/>
          </w:tcPr>
          <w:p>
            <w:pPr>
              <w:pStyle w:val="TableContents"/>
              <w:spacing w:before="0" w:after="283"/>
              <w:rPr>
                <w:sz w:val="4"/>
                <w:szCs w:val="4"/>
              </w:rPr>
            </w:pPr>
            <w:r>
              <w:rPr>
                <w:sz w:val="4"/>
                <w:szCs w:val="4"/>
              </w:rPr>
            </w:r>
          </w:p>
        </w:tc>
      </w:tr>
      <w:tr>
        <w:trPr/>
        <w:tc>
          <w:tcPr>
            <w:tcW w:w="9495" w:type="dxa"/>
            <w:tcBorders/>
            <w:shd w:fill="auto" w:val="clear"/>
            <w:vAlign w:val="center"/>
          </w:tcPr>
          <w:p>
            <w:pPr>
              <w:pStyle w:val="TableContents"/>
              <w:spacing w:before="0" w:after="0"/>
              <w:rPr/>
            </w:pPr>
            <w:hyperlink w:anchor="toc360141_22b">
              <w:r>
                <w:rPr>
                  <w:rStyle w:val="InternetLink"/>
                  <w:rFonts w:ascii="ARIAL" w:hAnsi="ARIAL"/>
                  <w:sz w:val="19"/>
                </w:rPr>
                <w:t>Pay Versus Performance</w:t>
              </w:r>
            </w:hyperlink>
          </w:p>
        </w:tc>
        <w:tc>
          <w:tcPr>
            <w:tcW w:w="120" w:type="dxa"/>
            <w:tcBorders/>
            <w:shd w:fill="auto" w:val="clear"/>
            <w:vAlign w:val="center"/>
          </w:tcPr>
          <w:p>
            <w:pPr>
              <w:pStyle w:val="TableContents"/>
              <w:spacing w:before="0" w:after="283"/>
              <w:rPr/>
            </w:pPr>
            <w:r>
              <w:rPr/>
              <w:t>  </w:t>
            </w:r>
          </w:p>
        </w:tc>
        <w:tc>
          <w:tcPr>
            <w:tcW w:w="92" w:type="dxa"/>
            <w:tcBorders/>
            <w:shd w:fill="auto" w:val="clear"/>
            <w:vAlign w:val="center"/>
          </w:tcPr>
          <w:p>
            <w:pPr>
              <w:pStyle w:val="TableContents"/>
              <w:spacing w:before="0" w:after="283"/>
              <w:rPr/>
            </w:pPr>
            <w:r>
              <w:rPr/>
              <w:t> </w:t>
            </w:r>
          </w:p>
        </w:tc>
        <w:tc>
          <w:tcPr>
            <w:tcW w:w="423" w:type="dxa"/>
            <w:tcBorders/>
            <w:shd w:fill="auto" w:val="clear"/>
            <w:vAlign w:val="center"/>
          </w:tcPr>
          <w:p>
            <w:pPr>
              <w:pStyle w:val="TableContents"/>
              <w:spacing w:before="0" w:after="283"/>
              <w:jc w:val="right"/>
              <w:rPr/>
            </w:pPr>
            <w:r>
              <w:rPr/>
              <w:t>77</w:t>
            </w:r>
          </w:p>
        </w:tc>
        <w:tc>
          <w:tcPr>
            <w:tcW w:w="75" w:type="dxa"/>
            <w:tcBorders/>
            <w:shd w:fill="auto" w:val="clear"/>
            <w:vAlign w:val="center"/>
          </w:tcPr>
          <w:p>
            <w:pPr>
              <w:pStyle w:val="TableContents"/>
              <w:spacing w:before="0" w:after="283"/>
              <w:rPr/>
            </w:pPr>
            <w:r>
              <w:rPr/>
              <w:t> </w:t>
            </w:r>
          </w:p>
        </w:tc>
      </w:tr>
      <w:tr>
        <w:trPr/>
        <w:tc>
          <w:tcPr>
            <w:tcW w:w="9495" w:type="dxa"/>
            <w:tcBorders/>
            <w:shd w:fill="CEE8F6" w:val="clear"/>
            <w:vAlign w:val="center"/>
          </w:tcPr>
          <w:p>
            <w:pPr>
              <w:pStyle w:val="TableContents"/>
              <w:spacing w:before="0" w:after="283"/>
              <w:rPr>
                <w:sz w:val="4"/>
                <w:szCs w:val="4"/>
              </w:rPr>
            </w:pPr>
            <w:r>
              <w:rPr>
                <w:sz w:val="4"/>
                <w:szCs w:val="4"/>
              </w:rPr>
            </w:r>
          </w:p>
        </w:tc>
        <w:tc>
          <w:tcPr>
            <w:tcW w:w="710" w:type="dxa"/>
            <w:gridSpan w:val="4"/>
            <w:tcBorders/>
            <w:shd w:fill="CEE8F6" w:val="clear"/>
            <w:vAlign w:val="center"/>
          </w:tcPr>
          <w:p>
            <w:pPr>
              <w:pStyle w:val="TableContents"/>
              <w:spacing w:before="0" w:after="283"/>
              <w:rPr>
                <w:sz w:val="4"/>
                <w:szCs w:val="4"/>
              </w:rPr>
            </w:pPr>
            <w:r>
              <w:rPr>
                <w:sz w:val="4"/>
                <w:szCs w:val="4"/>
              </w:rPr>
            </w:r>
          </w:p>
        </w:tc>
      </w:tr>
      <w:tr>
        <w:trPr/>
        <w:tc>
          <w:tcPr>
            <w:tcW w:w="9495" w:type="dxa"/>
            <w:tcBorders/>
            <w:shd w:fill="CEE8F6" w:val="clear"/>
            <w:vAlign w:val="center"/>
          </w:tcPr>
          <w:p>
            <w:pPr>
              <w:pStyle w:val="TableContents"/>
              <w:spacing w:before="0" w:after="0"/>
              <w:rPr/>
            </w:pPr>
            <w:hyperlink w:anchor="toc360141_23">
              <w:r>
                <w:rPr>
                  <w:rStyle w:val="InternetLink"/>
                  <w:rFonts w:ascii="ARIAL" w:hAnsi="ARIAL"/>
                  <w:sz w:val="19"/>
                </w:rPr>
                <w:t xml:space="preserve">Proposal 4 — Approval of the Amendment and Restatement of the Community Health Systems, Inc. 2009 Stock Option and Award Plan (as previously amended and restated), which was approved by the board on March 22, 2023 (subject to Stockholder Approval) </w:t>
              </w:r>
            </w:hyperlink>
          </w:p>
        </w:tc>
        <w:tc>
          <w:tcPr>
            <w:tcW w:w="120" w:type="dxa"/>
            <w:tcBorders/>
            <w:shd w:fill="CEE8F6" w:val="clear"/>
            <w:vAlign w:val="center"/>
          </w:tcPr>
          <w:p>
            <w:pPr>
              <w:pStyle w:val="TableContents"/>
              <w:spacing w:before="0" w:after="283"/>
              <w:rPr/>
            </w:pPr>
            <w:r>
              <w:rPr/>
              <w:t>  </w:t>
            </w:r>
          </w:p>
        </w:tc>
        <w:tc>
          <w:tcPr>
            <w:tcW w:w="92" w:type="dxa"/>
            <w:tcBorders/>
            <w:shd w:fill="CEE8F6" w:val="clear"/>
            <w:vAlign w:val="center"/>
          </w:tcPr>
          <w:p>
            <w:pPr>
              <w:pStyle w:val="TableContents"/>
              <w:spacing w:before="0" w:after="283"/>
              <w:rPr/>
            </w:pPr>
            <w:r>
              <w:rPr/>
              <w:t> </w:t>
            </w:r>
          </w:p>
        </w:tc>
        <w:tc>
          <w:tcPr>
            <w:tcW w:w="423" w:type="dxa"/>
            <w:tcBorders/>
            <w:shd w:fill="CEE8F6" w:val="clear"/>
            <w:vAlign w:val="center"/>
          </w:tcPr>
          <w:p>
            <w:pPr>
              <w:pStyle w:val="TableContents"/>
              <w:spacing w:before="0" w:after="283"/>
              <w:jc w:val="right"/>
              <w:rPr/>
            </w:pPr>
            <w:r>
              <w:rPr/>
              <w:t>81</w:t>
            </w:r>
          </w:p>
        </w:tc>
        <w:tc>
          <w:tcPr>
            <w:tcW w:w="75" w:type="dxa"/>
            <w:tcBorders/>
            <w:shd w:fill="CEE8F6" w:val="clear"/>
            <w:vAlign w:val="center"/>
          </w:tcPr>
          <w:p>
            <w:pPr>
              <w:pStyle w:val="TableContents"/>
              <w:spacing w:before="0" w:after="283"/>
              <w:rPr/>
            </w:pPr>
            <w:r>
              <w:rPr/>
              <w:t> </w:t>
            </w:r>
          </w:p>
        </w:tc>
      </w:tr>
      <w:tr>
        <w:trPr/>
        <w:tc>
          <w:tcPr>
            <w:tcW w:w="9495" w:type="dxa"/>
            <w:tcBorders/>
            <w:shd w:fill="auto" w:val="clear"/>
            <w:vAlign w:val="center"/>
          </w:tcPr>
          <w:p>
            <w:pPr>
              <w:pStyle w:val="TableContents"/>
              <w:spacing w:before="0" w:after="283"/>
              <w:rPr>
                <w:sz w:val="4"/>
                <w:szCs w:val="4"/>
              </w:rPr>
            </w:pPr>
            <w:r>
              <w:rPr>
                <w:sz w:val="4"/>
                <w:szCs w:val="4"/>
              </w:rPr>
            </w:r>
          </w:p>
        </w:tc>
        <w:tc>
          <w:tcPr>
            <w:tcW w:w="710" w:type="dxa"/>
            <w:gridSpan w:val="4"/>
            <w:tcBorders/>
            <w:shd w:fill="auto" w:val="clear"/>
            <w:vAlign w:val="center"/>
          </w:tcPr>
          <w:p>
            <w:pPr>
              <w:pStyle w:val="TableContents"/>
              <w:spacing w:before="0" w:after="283"/>
              <w:rPr>
                <w:sz w:val="4"/>
                <w:szCs w:val="4"/>
              </w:rPr>
            </w:pPr>
            <w:r>
              <w:rPr>
                <w:sz w:val="4"/>
                <w:szCs w:val="4"/>
              </w:rPr>
            </w:r>
          </w:p>
        </w:tc>
      </w:tr>
      <w:tr>
        <w:trPr/>
        <w:tc>
          <w:tcPr>
            <w:tcW w:w="9495" w:type="dxa"/>
            <w:tcBorders/>
            <w:shd w:fill="auto" w:val="clear"/>
            <w:vAlign w:val="center"/>
          </w:tcPr>
          <w:p>
            <w:pPr>
              <w:pStyle w:val="TableContents"/>
              <w:spacing w:before="0" w:after="0"/>
              <w:rPr/>
            </w:pPr>
            <w:hyperlink w:anchor="toc360141_24">
              <w:r>
                <w:rPr>
                  <w:rStyle w:val="InternetLink"/>
                  <w:rFonts w:ascii="ARIAL" w:hAnsi="ARIAL"/>
                  <w:sz w:val="19"/>
                </w:rPr>
                <w:t>Proposal 5 — Ratification of the Appointment of Independent Registered Public Accounting Firm</w:t>
              </w:r>
            </w:hyperlink>
          </w:p>
        </w:tc>
        <w:tc>
          <w:tcPr>
            <w:tcW w:w="120" w:type="dxa"/>
            <w:tcBorders/>
            <w:shd w:fill="auto" w:val="clear"/>
            <w:vAlign w:val="center"/>
          </w:tcPr>
          <w:p>
            <w:pPr>
              <w:pStyle w:val="TableContents"/>
              <w:spacing w:before="0" w:after="283"/>
              <w:rPr/>
            </w:pPr>
            <w:r>
              <w:rPr/>
              <w:t>  </w:t>
            </w:r>
          </w:p>
        </w:tc>
        <w:tc>
          <w:tcPr>
            <w:tcW w:w="92" w:type="dxa"/>
            <w:tcBorders/>
            <w:shd w:fill="auto" w:val="clear"/>
            <w:vAlign w:val="center"/>
          </w:tcPr>
          <w:p>
            <w:pPr>
              <w:pStyle w:val="TableContents"/>
              <w:spacing w:before="0" w:after="283"/>
              <w:rPr/>
            </w:pPr>
            <w:r>
              <w:rPr/>
              <w:t> </w:t>
            </w:r>
          </w:p>
        </w:tc>
        <w:tc>
          <w:tcPr>
            <w:tcW w:w="423" w:type="dxa"/>
            <w:tcBorders/>
            <w:shd w:fill="auto" w:val="clear"/>
            <w:vAlign w:val="center"/>
          </w:tcPr>
          <w:p>
            <w:pPr>
              <w:pStyle w:val="TableContents"/>
              <w:spacing w:before="0" w:after="283"/>
              <w:jc w:val="right"/>
              <w:rPr/>
            </w:pPr>
            <w:r>
              <w:rPr/>
              <w:t>97</w:t>
            </w:r>
          </w:p>
        </w:tc>
        <w:tc>
          <w:tcPr>
            <w:tcW w:w="75" w:type="dxa"/>
            <w:tcBorders/>
            <w:shd w:fill="auto" w:val="clear"/>
            <w:vAlign w:val="center"/>
          </w:tcPr>
          <w:p>
            <w:pPr>
              <w:pStyle w:val="TableContents"/>
              <w:spacing w:before="0" w:after="283"/>
              <w:rPr/>
            </w:pPr>
            <w:r>
              <w:rPr/>
              <w:t> </w:t>
            </w:r>
          </w:p>
        </w:tc>
      </w:tr>
      <w:tr>
        <w:trPr/>
        <w:tc>
          <w:tcPr>
            <w:tcW w:w="9495" w:type="dxa"/>
            <w:tcBorders/>
            <w:shd w:fill="CEE8F6" w:val="clear"/>
            <w:vAlign w:val="center"/>
          </w:tcPr>
          <w:p>
            <w:pPr>
              <w:pStyle w:val="TableContents"/>
              <w:spacing w:before="0" w:after="283"/>
              <w:rPr>
                <w:sz w:val="4"/>
                <w:szCs w:val="4"/>
              </w:rPr>
            </w:pPr>
            <w:r>
              <w:rPr>
                <w:sz w:val="4"/>
                <w:szCs w:val="4"/>
              </w:rPr>
            </w:r>
          </w:p>
        </w:tc>
        <w:tc>
          <w:tcPr>
            <w:tcW w:w="710" w:type="dxa"/>
            <w:gridSpan w:val="4"/>
            <w:tcBorders/>
            <w:shd w:fill="CEE8F6" w:val="clear"/>
            <w:vAlign w:val="center"/>
          </w:tcPr>
          <w:p>
            <w:pPr>
              <w:pStyle w:val="TableContents"/>
              <w:spacing w:before="0" w:after="283"/>
              <w:rPr>
                <w:sz w:val="4"/>
                <w:szCs w:val="4"/>
              </w:rPr>
            </w:pPr>
            <w:r>
              <w:rPr>
                <w:sz w:val="4"/>
                <w:szCs w:val="4"/>
              </w:rPr>
            </w:r>
          </w:p>
        </w:tc>
      </w:tr>
      <w:tr>
        <w:trPr/>
        <w:tc>
          <w:tcPr>
            <w:tcW w:w="9495" w:type="dxa"/>
            <w:tcBorders/>
            <w:shd w:fill="CEE8F6" w:val="clear"/>
            <w:vAlign w:val="center"/>
          </w:tcPr>
          <w:p>
            <w:pPr>
              <w:pStyle w:val="TableContents"/>
              <w:spacing w:before="0" w:after="0"/>
              <w:rPr/>
            </w:pPr>
            <w:hyperlink w:anchor="toc360141_25">
              <w:r>
                <w:rPr>
                  <w:rStyle w:val="InternetLink"/>
                  <w:rFonts w:ascii="ARIAL" w:hAnsi="ARIAL"/>
                  <w:sz w:val="19"/>
                </w:rPr>
                <w:t>Miscellaneous</w:t>
              </w:r>
            </w:hyperlink>
          </w:p>
        </w:tc>
        <w:tc>
          <w:tcPr>
            <w:tcW w:w="120" w:type="dxa"/>
            <w:tcBorders/>
            <w:shd w:fill="CEE8F6" w:val="clear"/>
            <w:vAlign w:val="center"/>
          </w:tcPr>
          <w:p>
            <w:pPr>
              <w:pStyle w:val="TableContents"/>
              <w:spacing w:before="0" w:after="283"/>
              <w:rPr/>
            </w:pPr>
            <w:r>
              <w:rPr/>
              <w:t>  </w:t>
            </w:r>
          </w:p>
        </w:tc>
        <w:tc>
          <w:tcPr>
            <w:tcW w:w="92" w:type="dxa"/>
            <w:tcBorders/>
            <w:shd w:fill="CEE8F6" w:val="clear"/>
            <w:vAlign w:val="center"/>
          </w:tcPr>
          <w:p>
            <w:pPr>
              <w:pStyle w:val="TableContents"/>
              <w:spacing w:before="0" w:after="283"/>
              <w:rPr/>
            </w:pPr>
            <w:r>
              <w:rPr/>
              <w:t> </w:t>
            </w:r>
          </w:p>
        </w:tc>
        <w:tc>
          <w:tcPr>
            <w:tcW w:w="423" w:type="dxa"/>
            <w:tcBorders/>
            <w:shd w:fill="CEE8F6" w:val="clear"/>
            <w:vAlign w:val="center"/>
          </w:tcPr>
          <w:p>
            <w:pPr>
              <w:pStyle w:val="TableContents"/>
              <w:spacing w:before="0" w:after="283"/>
              <w:jc w:val="right"/>
              <w:rPr/>
            </w:pPr>
            <w:r>
              <w:rPr/>
              <w:t>99</w:t>
            </w:r>
          </w:p>
        </w:tc>
        <w:tc>
          <w:tcPr>
            <w:tcW w:w="75" w:type="dxa"/>
            <w:tcBorders/>
            <w:shd w:fill="CEE8F6" w:val="clear"/>
            <w:vAlign w:val="center"/>
          </w:tcPr>
          <w:p>
            <w:pPr>
              <w:pStyle w:val="TableContents"/>
              <w:spacing w:before="0" w:after="283"/>
              <w:rPr/>
            </w:pPr>
            <w:r>
              <w:rPr/>
              <w:t> </w:t>
            </w:r>
          </w:p>
        </w:tc>
      </w:tr>
      <w:tr>
        <w:trPr/>
        <w:tc>
          <w:tcPr>
            <w:tcW w:w="9495" w:type="dxa"/>
            <w:tcBorders/>
            <w:shd w:fill="auto" w:val="clear"/>
            <w:vAlign w:val="center"/>
          </w:tcPr>
          <w:p>
            <w:pPr>
              <w:pStyle w:val="TableContents"/>
              <w:spacing w:before="0" w:after="283"/>
              <w:rPr>
                <w:sz w:val="4"/>
                <w:szCs w:val="4"/>
              </w:rPr>
            </w:pPr>
            <w:r>
              <w:rPr>
                <w:sz w:val="4"/>
                <w:szCs w:val="4"/>
              </w:rPr>
            </w:r>
          </w:p>
        </w:tc>
        <w:tc>
          <w:tcPr>
            <w:tcW w:w="710" w:type="dxa"/>
            <w:gridSpan w:val="4"/>
            <w:tcBorders/>
            <w:shd w:fill="auto" w:val="clear"/>
            <w:vAlign w:val="center"/>
          </w:tcPr>
          <w:p>
            <w:pPr>
              <w:pStyle w:val="TableContents"/>
              <w:spacing w:before="0" w:after="283"/>
              <w:rPr>
                <w:sz w:val="4"/>
                <w:szCs w:val="4"/>
              </w:rPr>
            </w:pPr>
            <w:r>
              <w:rPr>
                <w:sz w:val="4"/>
                <w:szCs w:val="4"/>
              </w:rPr>
            </w:r>
          </w:p>
        </w:tc>
      </w:tr>
      <w:tr>
        <w:trPr/>
        <w:tc>
          <w:tcPr>
            <w:tcW w:w="9495" w:type="dxa"/>
            <w:tcBorders/>
            <w:shd w:fill="auto" w:val="clear"/>
            <w:vAlign w:val="center"/>
          </w:tcPr>
          <w:p>
            <w:pPr>
              <w:pStyle w:val="TableContents"/>
              <w:spacing w:before="0" w:after="0"/>
              <w:rPr/>
            </w:pPr>
            <w:hyperlink w:anchor="toc360141_26">
              <w:r>
                <w:rPr>
                  <w:rStyle w:val="InternetLink"/>
                  <w:rFonts w:ascii="ARIAL" w:hAnsi="ARIAL"/>
                  <w:sz w:val="19"/>
                </w:rPr>
                <w:t>Annex A — Non-GAAP Financial Measures</w:t>
              </w:r>
            </w:hyperlink>
          </w:p>
        </w:tc>
        <w:tc>
          <w:tcPr>
            <w:tcW w:w="120" w:type="dxa"/>
            <w:tcBorders/>
            <w:shd w:fill="auto" w:val="clear"/>
            <w:vAlign w:val="center"/>
          </w:tcPr>
          <w:p>
            <w:pPr>
              <w:pStyle w:val="TableContents"/>
              <w:spacing w:before="0" w:after="283"/>
              <w:rPr/>
            </w:pPr>
            <w:r>
              <w:rPr/>
              <w:t>  </w:t>
            </w:r>
          </w:p>
        </w:tc>
        <w:tc>
          <w:tcPr>
            <w:tcW w:w="92" w:type="dxa"/>
            <w:tcBorders/>
            <w:shd w:fill="auto" w:val="clear"/>
            <w:vAlign w:val="center"/>
          </w:tcPr>
          <w:p>
            <w:pPr>
              <w:pStyle w:val="TableContents"/>
              <w:spacing w:before="0" w:after="283"/>
              <w:rPr/>
            </w:pPr>
            <w:r>
              <w:rPr/>
              <w:t> </w:t>
            </w:r>
          </w:p>
        </w:tc>
        <w:tc>
          <w:tcPr>
            <w:tcW w:w="423" w:type="dxa"/>
            <w:tcBorders/>
            <w:shd w:fill="auto" w:val="clear"/>
            <w:vAlign w:val="center"/>
          </w:tcPr>
          <w:p>
            <w:pPr>
              <w:pStyle w:val="TableContents"/>
              <w:spacing w:before="0" w:after="283"/>
              <w:jc w:val="right"/>
              <w:rPr/>
            </w:pPr>
            <w:r>
              <w:rPr/>
              <w:t>A-1</w:t>
            </w:r>
          </w:p>
        </w:tc>
        <w:tc>
          <w:tcPr>
            <w:tcW w:w="75" w:type="dxa"/>
            <w:tcBorders/>
            <w:shd w:fill="auto" w:val="clear"/>
            <w:vAlign w:val="center"/>
          </w:tcPr>
          <w:p>
            <w:pPr>
              <w:pStyle w:val="TableContents"/>
              <w:spacing w:before="0" w:after="283"/>
              <w:rPr/>
            </w:pPr>
            <w:r>
              <w:rPr/>
              <w:t> </w:t>
            </w:r>
          </w:p>
        </w:tc>
      </w:tr>
      <w:tr>
        <w:trPr/>
        <w:tc>
          <w:tcPr>
            <w:tcW w:w="9495" w:type="dxa"/>
            <w:tcBorders/>
            <w:shd w:fill="CEE8F6" w:val="clear"/>
            <w:vAlign w:val="center"/>
          </w:tcPr>
          <w:p>
            <w:pPr>
              <w:pStyle w:val="TableContents"/>
              <w:spacing w:before="0" w:after="283"/>
              <w:rPr>
                <w:sz w:val="4"/>
                <w:szCs w:val="4"/>
              </w:rPr>
            </w:pPr>
            <w:r>
              <w:rPr>
                <w:sz w:val="4"/>
                <w:szCs w:val="4"/>
              </w:rPr>
            </w:r>
          </w:p>
        </w:tc>
        <w:tc>
          <w:tcPr>
            <w:tcW w:w="710" w:type="dxa"/>
            <w:gridSpan w:val="4"/>
            <w:tcBorders/>
            <w:shd w:fill="CEE8F6" w:val="clear"/>
            <w:vAlign w:val="center"/>
          </w:tcPr>
          <w:p>
            <w:pPr>
              <w:pStyle w:val="TableContents"/>
              <w:spacing w:before="0" w:after="283"/>
              <w:rPr>
                <w:sz w:val="4"/>
                <w:szCs w:val="4"/>
              </w:rPr>
            </w:pPr>
            <w:r>
              <w:rPr>
                <w:sz w:val="4"/>
                <w:szCs w:val="4"/>
              </w:rPr>
            </w:r>
          </w:p>
        </w:tc>
      </w:tr>
      <w:tr>
        <w:trPr/>
        <w:tc>
          <w:tcPr>
            <w:tcW w:w="9495" w:type="dxa"/>
            <w:tcBorders/>
            <w:shd w:fill="CEE8F6" w:val="clear"/>
            <w:vAlign w:val="center"/>
          </w:tcPr>
          <w:p>
            <w:pPr>
              <w:pStyle w:val="TableContents"/>
              <w:spacing w:before="0" w:after="0"/>
              <w:rPr/>
            </w:pPr>
            <w:hyperlink w:anchor="toc360141_27">
              <w:r>
                <w:rPr>
                  <w:rStyle w:val="InternetLink"/>
                  <w:rFonts w:ascii="ARIAL" w:hAnsi="ARIAL"/>
                  <w:sz w:val="19"/>
                </w:rPr>
                <w:t>Annex B — Amended and Restated Community Health Systems, Inc. 2009 Stock Option and Award Plan</w:t>
              </w:r>
            </w:hyperlink>
          </w:p>
        </w:tc>
        <w:tc>
          <w:tcPr>
            <w:tcW w:w="120" w:type="dxa"/>
            <w:tcBorders/>
            <w:shd w:fill="CEE8F6" w:val="clear"/>
            <w:vAlign w:val="center"/>
          </w:tcPr>
          <w:p>
            <w:pPr>
              <w:pStyle w:val="TableContents"/>
              <w:spacing w:before="0" w:after="283"/>
              <w:rPr/>
            </w:pPr>
            <w:r>
              <w:rPr/>
              <w:t>  </w:t>
            </w:r>
          </w:p>
        </w:tc>
        <w:tc>
          <w:tcPr>
            <w:tcW w:w="92" w:type="dxa"/>
            <w:tcBorders/>
            <w:shd w:fill="CEE8F6" w:val="clear"/>
            <w:vAlign w:val="center"/>
          </w:tcPr>
          <w:p>
            <w:pPr>
              <w:pStyle w:val="TableContents"/>
              <w:spacing w:before="0" w:after="283"/>
              <w:rPr/>
            </w:pPr>
            <w:r>
              <w:rPr/>
              <w:t> </w:t>
            </w:r>
          </w:p>
        </w:tc>
        <w:tc>
          <w:tcPr>
            <w:tcW w:w="423" w:type="dxa"/>
            <w:tcBorders/>
            <w:shd w:fill="CEE8F6" w:val="clear"/>
            <w:vAlign w:val="center"/>
          </w:tcPr>
          <w:p>
            <w:pPr>
              <w:pStyle w:val="TableContents"/>
              <w:spacing w:before="0" w:after="283"/>
              <w:jc w:val="right"/>
              <w:rPr/>
            </w:pPr>
            <w:r>
              <w:rPr/>
              <w:t>B-1</w:t>
            </w:r>
          </w:p>
        </w:tc>
        <w:tc>
          <w:tcPr>
            <w:tcW w:w="75" w:type="dxa"/>
            <w:tcBorders/>
            <w:shd w:fill="CEE8F6" w:val="clear"/>
            <w:vAlign w:val="center"/>
          </w:tcPr>
          <w:p>
            <w:pPr>
              <w:pStyle w:val="TableContents"/>
              <w:spacing w:before="0" w:after="283"/>
              <w:rPr/>
            </w:pPr>
            <w:r>
              <w:rPr/>
              <w:t> </w:t>
            </w:r>
          </w:p>
        </w:tc>
      </w:tr>
    </w:tbl>
    <w:p>
      <w:pPr>
        <w:pStyle w:val="TextBody"/>
        <w:spacing w:before="120" w:after="0"/>
        <w:jc w:val="left"/>
        <w:rPr>
          <w:rFonts w:ascii="ARIAL" w:hAnsi="ARIAL"/>
          <w:b/>
          <w:sz w:val="19"/>
        </w:rPr>
      </w:pPr>
      <w:r>
        <w:rPr>
          <w:rFonts w:ascii="ARIAL" w:hAnsi="ARIAL"/>
          <w:b/>
          <w:sz w:val="19"/>
        </w:rPr>
        <w:t xml:space="preserve">FORWARD-LOOKING STATEMENTS </w:t>
      </w:r>
    </w:p>
    <w:p>
      <w:pPr>
        <w:pStyle w:val="TextBody"/>
        <w:spacing w:before="120" w:after="0"/>
        <w:jc w:val="left"/>
        <w:rPr>
          <w:rFonts w:ascii="ARIAL" w:hAnsi="ARIAL"/>
          <w:sz w:val="19"/>
        </w:rPr>
      </w:pPr>
      <w:r>
        <w:rPr>
          <w:rFonts w:ascii="ARIAL" w:hAnsi="ARIAL"/>
          <w:sz w:val="19"/>
        </w:rPr>
        <w:t xml:space="preserve">This Proxy Statement contains forward-looking statements within the meaning of Section 27A of the Securities Act of 1933, as amended, Section 21E of the Securities Exchange Act of 1934, as amended, and the Private Securities Litigation Reform Act of 1995 that involve risk and uncertainties. All statements in this Proxy Statement other than statements of historical fact, including statements regarding projections, expected operating results, and other events that depend upon or refer to future events or conditions or that include words such as “expects,” “anticipates,” “intends,” “plans,” “believes,” “estimates,” “thinks,” and similar expressions, are forward-looking statements. Although the Company believes that these forward-looking statements are based on reasonable assumptions, these assumptions are inherently subject to significant economic and competitive uncertainties and contingencies, which are difficult or impossible to predict accurately and may be beyond the control of the Company. Accordingly, the Company cannot give any assurance that its expectations will in fact occur and cautions that actual results may differ materially from those in the forward-looking statements. A number of factors could affect the future results of the Company or the healthcare industry generally and could cause the Company’s expected results to differ materially from those expressed in this Proxy Statement. These factors including, without limitation, the risks and uncertainties disclosed in our public filings with the Securities and Exchange Commission, including in our Annual Report on Form 10-K for the year ended December 31, 2022, filed with the SEC on February 17, 2023. We undertake no obligation to update or revise publicly any forward-looking statements, whether because of new information, future events, or otherwise. </w:t>
      </w:r>
      <w:r>
        <w:br w:type="page"/>
      </w:r>
    </w:p>
    <w:p>
      <w:pPr>
        <w:pStyle w:val="HorizontalLine"/>
        <w:rPr/>
      </w:pPr>
      <w:r>
        <w:rPr/>
      </w:r>
    </w:p>
    <w:tbl>
      <w:tblPr>
        <w:tblW w:w="1049" w:type="dxa"/>
        <w:jc w:val="left"/>
        <w:tblInd w:w="0" w:type="dxa"/>
        <w:tblCellMar>
          <w:top w:w="0" w:type="dxa"/>
          <w:left w:w="0" w:type="dxa"/>
          <w:bottom w:w="0" w:type="dxa"/>
          <w:right w:w="0" w:type="dxa"/>
        </w:tblCellMar>
      </w:tblPr>
      <w:tblGrid>
        <w:gridCol w:w="38"/>
        <w:gridCol w:w="60"/>
        <w:gridCol w:w="23"/>
        <w:gridCol w:w="60"/>
        <w:gridCol w:w="23"/>
        <w:gridCol w:w="60"/>
        <w:gridCol w:w="23"/>
        <w:gridCol w:w="60"/>
        <w:gridCol w:w="23"/>
        <w:gridCol w:w="60"/>
        <w:gridCol w:w="23"/>
        <w:gridCol w:w="60"/>
        <w:gridCol w:w="23"/>
        <w:gridCol w:w="60"/>
        <w:gridCol w:w="23"/>
        <w:gridCol w:w="60"/>
        <w:gridCol w:w="23"/>
        <w:gridCol w:w="60"/>
        <w:gridCol w:w="23"/>
        <w:gridCol w:w="60"/>
        <w:gridCol w:w="23"/>
        <w:gridCol w:w="60"/>
        <w:gridCol w:w="23"/>
        <w:gridCol w:w="60"/>
        <w:gridCol w:w="38"/>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E0DDCC" w:val="clear"/>
            <w:vAlign w:val="center"/>
          </w:tcPr>
          <w:p>
            <w:pPr>
              <w:pStyle w:val="TableContents"/>
              <w:spacing w:before="0" w:after="283"/>
              <w:rPr/>
            </w:pPr>
            <w:r>
              <w:rPr/>
              <w:t> </w:t>
            </w:r>
          </w:p>
        </w:tc>
        <w:tc>
          <w:tcPr>
            <w:tcW w:w="23" w:type="dxa"/>
            <w:tcBorders/>
            <w:shd w:fill="E0DDCC"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E0DDCC" w:val="clear"/>
            <w:vAlign w:val="center"/>
          </w:tcPr>
          <w:p>
            <w:pPr>
              <w:pStyle w:val="TableContents"/>
              <w:spacing w:before="0" w:after="283"/>
              <w:rPr/>
            </w:pPr>
            <w:r>
              <w:rPr/>
              <w:t> </w:t>
            </w:r>
          </w:p>
        </w:tc>
        <w:tc>
          <w:tcPr>
            <w:tcW w:w="23" w:type="dxa"/>
            <w:tcBorders/>
            <w:shd w:fill="E0DDCC"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E0DDCC" w:val="clear"/>
            <w:vAlign w:val="center"/>
          </w:tcPr>
          <w:p>
            <w:pPr>
              <w:pStyle w:val="TableContents"/>
              <w:spacing w:before="0" w:after="283"/>
              <w:rPr/>
            </w:pPr>
            <w:r>
              <w:rPr/>
              <w:t> </w:t>
            </w:r>
          </w:p>
        </w:tc>
        <w:tc>
          <w:tcPr>
            <w:tcW w:w="23" w:type="dxa"/>
            <w:tcBorders/>
            <w:shd w:fill="E0DDCC"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E0DDCC" w:val="clear"/>
            <w:vAlign w:val="center"/>
          </w:tcPr>
          <w:p>
            <w:pPr>
              <w:pStyle w:val="TableContents"/>
              <w:spacing w:before="0" w:after="283"/>
              <w:rPr/>
            </w:pPr>
            <w:r>
              <w:rPr/>
              <w:t> </w:t>
            </w:r>
          </w:p>
        </w:tc>
        <w:tc>
          <w:tcPr>
            <w:tcW w:w="23" w:type="dxa"/>
            <w:tcBorders/>
            <w:shd w:fill="E0DDCC"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E0DDCC" w:val="clear"/>
            <w:vAlign w:val="center"/>
          </w:tcPr>
          <w:p>
            <w:pPr>
              <w:pStyle w:val="TableContents"/>
              <w:spacing w:before="0" w:after="283"/>
              <w:rPr/>
            </w:pPr>
            <w:r>
              <w:rPr/>
              <w:t> </w:t>
            </w:r>
          </w:p>
        </w:tc>
        <w:tc>
          <w:tcPr>
            <w:tcW w:w="23" w:type="dxa"/>
            <w:tcBorders/>
            <w:shd w:fill="E0DDCC"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E0DDCC" w:val="clear"/>
            <w:vAlign w:val="center"/>
          </w:tcPr>
          <w:p>
            <w:pPr>
              <w:pStyle w:val="TableContents"/>
              <w:spacing w:before="0" w:after="283"/>
              <w:rPr/>
            </w:pPr>
            <w:r>
              <w:rPr/>
              <w:t> </w:t>
            </w:r>
          </w:p>
        </w:tc>
        <w:tc>
          <w:tcPr>
            <w:tcW w:w="23" w:type="dxa"/>
            <w:tcBorders/>
            <w:shd w:fill="E0DDCC"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left"/>
        <w:rPr/>
      </w:pPr>
      <w:r>
        <w:rPr/>
        <w:t> </w:t>
      </w:r>
    </w:p>
    <w:p>
      <w:pPr>
        <w:pStyle w:val="TextBody"/>
        <w:pBdr>
          <w:bottom w:val="single" w:sz="8" w:space="1" w:color="000000"/>
        </w:pBdr>
        <w:spacing w:lineRule="atLeast" w:line="141" w:before="0" w:after="40"/>
        <w:jc w:val="left"/>
        <w:rPr/>
      </w:pPr>
      <w:r>
        <w:rPr/>
        <w:t> </w:t>
      </w:r>
    </w:p>
    <w:p>
      <w:pPr>
        <w:pStyle w:val="TextBody"/>
        <w:spacing w:before="0" w:after="0"/>
        <w:jc w:val="left"/>
        <w:rPr/>
      </w:pPr>
      <w:r>
        <w:rPr/>
        <w:t> </w:t>
      </w:r>
    </w:p>
    <w:p>
      <w:pPr>
        <w:pStyle w:val="TextBody"/>
        <w:spacing w:before="0" w:after="0"/>
        <w:jc w:val="left"/>
        <w:rPr>
          <w:rFonts w:ascii="ARIAL" w:hAnsi="ARIAL"/>
          <w:color w:val="02197A"/>
          <w:sz w:val="30"/>
        </w:rPr>
      </w:pPr>
      <w:bookmarkStart w:id="3" w:name="toc360141_1"/>
      <w:bookmarkEnd w:id="3"/>
      <w:r>
        <w:rPr>
          <w:rFonts w:ascii="ARIAL" w:hAnsi="ARIAL"/>
          <w:color w:val="02197A"/>
          <w:sz w:val="30"/>
        </w:rPr>
        <w:t xml:space="preserve">SUMMARY </w:t>
      </w:r>
    </w:p>
    <w:p>
      <w:pPr>
        <w:pStyle w:val="TextBody"/>
        <w:spacing w:before="120" w:after="0"/>
        <w:jc w:val="left"/>
        <w:rPr>
          <w:rFonts w:ascii="Times New Roman" w:hAnsi="Times New Roman"/>
          <w:sz w:val="18"/>
        </w:rPr>
      </w:pPr>
      <w:r>
        <w:rPr>
          <w:rFonts w:ascii="Times New Roman" w:hAnsi="Times New Roman"/>
          <w:sz w:val="18"/>
        </w:rPr>
        <w:t xml:space="preserve">This summary highlights information about Community Health Systems, Inc. (the “Company”, “we”, “our”, or “us”) and certain information contained elsewhere in this Proxy Statement. Our stockholders will be asked to consider and vote on the matters listed below at our 2023 Annual Meeting of Stockholders. This summary does not contain all of the information that you should consider, and you should read the entire Proxy Statement before voting. In addition, for more complete information about the Company’s business and details about the Company’s 2022 performance highlights and the financial measures mentioned in this Proxy Statement, please review the Company’s Annual Report on Form 10-K filed with the Securities and Exchange Commission on February 17, 2023. </w:t>
      </w:r>
    </w:p>
    <w:p>
      <w:pPr>
        <w:pStyle w:val="TextBody"/>
        <w:spacing w:before="240" w:after="0"/>
        <w:jc w:val="left"/>
        <w:rPr>
          <w:rFonts w:ascii="ARIAL" w:hAnsi="ARIAL"/>
          <w:color w:val="02197A"/>
          <w:sz w:val="30"/>
        </w:rPr>
      </w:pPr>
      <w:r>
        <w:rPr>
          <w:rFonts w:ascii="ARIAL" w:hAnsi="ARIAL"/>
          <w:color w:val="02197A"/>
          <w:sz w:val="30"/>
        </w:rPr>
        <w:t xml:space="preserve">2022 FINANCIAL PERFORMANCE HIGHLIGHTS </w:t>
      </w:r>
    </w:p>
    <w:p>
      <w:pPr>
        <w:pStyle w:val="TextBody"/>
        <w:spacing w:before="120" w:after="0"/>
        <w:jc w:val="left"/>
        <w:rPr>
          <w:rFonts w:ascii="Times New Roman" w:hAnsi="Times New Roman"/>
          <w:sz w:val="18"/>
        </w:rPr>
      </w:pPr>
      <w:r>
        <w:rPr>
          <w:rFonts w:ascii="Times New Roman" w:hAnsi="Times New Roman"/>
          <w:sz w:val="18"/>
        </w:rPr>
        <w:t xml:space="preserve">Overall, during 2022, healthcare providers experienced a challenging macroeconomic environment as they endeavored to rebuild volumes as the pandemic subsided, stabilize the workforce in the face of challenging labor market conditions, and manage ongoing inflationary pressures. Despite the challenges presented, the Company made considerable progress in each of these areas, and also continued to make progress on many of its other key strategic priorities. </w:t>
      </w:r>
    </w:p>
    <w:p>
      <w:pPr>
        <w:pStyle w:val="TextBody"/>
        <w:spacing w:before="240" w:after="0"/>
        <w:jc w:val="left"/>
        <w:rPr>
          <w:rFonts w:ascii="Times New Roman" w:hAnsi="Times New Roman"/>
          <w:sz w:val="18"/>
        </w:rPr>
      </w:pPr>
      <w:r>
        <w:rPr>
          <w:rFonts w:ascii="Times New Roman" w:hAnsi="Times New Roman"/>
          <w:sz w:val="18"/>
        </w:rPr>
        <w:t xml:space="preserve">During 2022, net operating revenues of $12.2 billion represented a 1.3% decrease compared to the prior year. While the Company’s net revenue was lower versus 2021, patient volumes improved during 2022 as impacts from the pandemic lessened and we saw benefits from previous investments to achieve growth, increase capacity, and expand the scale of offerings in our healthcare systems. While the pandemic and inflationary pressures continued to adversely impact operating expenses and margins, the Company made meaningful progress in relation to managing its labor expense as the year progressed. Additionally, the Company managed non-labor expenses below inflation due to further execution of its margin improvement program. </w:t>
      </w:r>
    </w:p>
    <w:p>
      <w:pPr>
        <w:pStyle w:val="TextBody"/>
        <w:spacing w:before="240" w:after="0"/>
        <w:jc w:val="left"/>
        <w:rPr>
          <w:rFonts w:ascii="Times New Roman" w:hAnsi="Times New Roman"/>
          <w:sz w:val="18"/>
        </w:rPr>
      </w:pPr>
      <w:r>
        <w:rPr>
          <w:rFonts w:ascii="Times New Roman" w:hAnsi="Times New Roman"/>
          <w:sz w:val="18"/>
        </w:rPr>
        <w:t xml:space="preserve">In 2022, the Company continued to pursue opportunities to lower overall debt and leverage to improve the capital structure and reduce annual cash interest. In February 2022, the Company refinanced a portion of its debt, both extending the maturity and lowering the interest rate of the refinanced debt. Also, during 2022, the Company repurchased and retired $645 million of outstanding notes at a discount through open market and privately negotiated repurchases. </w:t>
      </w:r>
    </w:p>
    <w:p>
      <w:pPr>
        <w:pStyle w:val="TextBody"/>
        <w:spacing w:before="240" w:after="0"/>
        <w:jc w:val="left"/>
        <w:rPr>
          <w:rFonts w:ascii="Times New Roman" w:hAnsi="Times New Roman"/>
          <w:sz w:val="18"/>
        </w:rPr>
      </w:pPr>
      <w:r>
        <w:rPr>
          <w:rFonts w:ascii="Times New Roman" w:hAnsi="Times New Roman"/>
          <w:sz w:val="18"/>
        </w:rPr>
        <w:t xml:space="preserve">To position the Company for long-term success, we designed four organizational priorities. During 2022, we saw results from each of these areas. The first is Accelerated Growth, which includes strategic capital investments to enable volume gains and increase our potential for long-term growth. This focus helped us achieve improvement in all of our key volume metrics in 2022. Our second area includes actions to Strengthen Our Workforce. We made significant progress reducing contract labor during the year and ended 2022 with strong gains in employee recruitment and retention. Third, our work to Control Expenses includes our margin improvement program, supply chain initiatives, and productivity enhancements. This focus facilitated our management of non-labor expenses below the rate of inflation as well as creating greater efficiencies in our healthcare systems. Fourth is our commitment to Advance Safety and Quality, which is at the heart of everything we do. Among the many measures that demonstrate results in this area is our Serious Safety Event Rate. Through 2022, we have achieved a significant decline in serious safety events since 2013. This equates to thousands of patients who experienced better outcomes as a result. </w:t>
      </w:r>
    </w:p>
    <w:p>
      <w:pPr>
        <w:pStyle w:val="TextBody"/>
        <w:spacing w:before="240" w:after="0"/>
        <w:jc w:val="left"/>
        <w:rPr>
          <w:rFonts w:ascii="Times New Roman" w:hAnsi="Times New Roman"/>
          <w:sz w:val="18"/>
        </w:rPr>
      </w:pPr>
      <w:r>
        <w:rPr>
          <w:rFonts w:ascii="Times New Roman" w:hAnsi="Times New Roman"/>
          <w:sz w:val="18"/>
        </w:rPr>
        <w:t xml:space="preserve">Looking ahead, we remain focused on these four priority areas which we believe remain essential to driving results and delivering value for all of the Company’s stakeholders.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rPr/>
      </w:pPr>
      <w:r>
        <w:rPr/>
      </w:r>
    </w:p>
    <w:tbl>
      <w:tblPr>
        <w:tblW w:w="1049" w:type="dxa"/>
        <w:jc w:val="left"/>
        <w:tblInd w:w="0" w:type="dxa"/>
        <w:tblCellMar>
          <w:top w:w="0" w:type="dxa"/>
          <w:left w:w="0" w:type="dxa"/>
          <w:bottom w:w="0" w:type="dxa"/>
          <w:right w:w="0" w:type="dxa"/>
        </w:tblCellMar>
      </w:tblPr>
      <w:tblGrid>
        <w:gridCol w:w="38"/>
        <w:gridCol w:w="60"/>
        <w:gridCol w:w="23"/>
        <w:gridCol w:w="60"/>
        <w:gridCol w:w="23"/>
        <w:gridCol w:w="60"/>
        <w:gridCol w:w="23"/>
        <w:gridCol w:w="60"/>
        <w:gridCol w:w="23"/>
        <w:gridCol w:w="60"/>
        <w:gridCol w:w="23"/>
        <w:gridCol w:w="60"/>
        <w:gridCol w:w="23"/>
        <w:gridCol w:w="60"/>
        <w:gridCol w:w="23"/>
        <w:gridCol w:w="60"/>
        <w:gridCol w:w="23"/>
        <w:gridCol w:w="60"/>
        <w:gridCol w:w="23"/>
        <w:gridCol w:w="60"/>
        <w:gridCol w:w="23"/>
        <w:gridCol w:w="60"/>
        <w:gridCol w:w="23"/>
        <w:gridCol w:w="60"/>
        <w:gridCol w:w="38"/>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E0DDCC" w:val="clear"/>
            <w:vAlign w:val="center"/>
          </w:tcPr>
          <w:p>
            <w:pPr>
              <w:pStyle w:val="TableContents"/>
              <w:spacing w:before="0" w:after="283"/>
              <w:rPr/>
            </w:pPr>
            <w:r>
              <w:rPr/>
              <w:t> </w:t>
            </w:r>
          </w:p>
        </w:tc>
        <w:tc>
          <w:tcPr>
            <w:tcW w:w="23" w:type="dxa"/>
            <w:tcBorders/>
            <w:shd w:fill="E0DDCC"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E0DDCC" w:val="clear"/>
            <w:vAlign w:val="center"/>
          </w:tcPr>
          <w:p>
            <w:pPr>
              <w:pStyle w:val="TableContents"/>
              <w:spacing w:before="0" w:after="283"/>
              <w:rPr/>
            </w:pPr>
            <w:r>
              <w:rPr/>
              <w:t> </w:t>
            </w:r>
          </w:p>
        </w:tc>
        <w:tc>
          <w:tcPr>
            <w:tcW w:w="23" w:type="dxa"/>
            <w:tcBorders/>
            <w:shd w:fill="E0DDCC"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E0DDCC" w:val="clear"/>
            <w:vAlign w:val="center"/>
          </w:tcPr>
          <w:p>
            <w:pPr>
              <w:pStyle w:val="TableContents"/>
              <w:spacing w:before="0" w:after="283"/>
              <w:rPr/>
            </w:pPr>
            <w:r>
              <w:rPr/>
              <w:t> </w:t>
            </w:r>
          </w:p>
        </w:tc>
        <w:tc>
          <w:tcPr>
            <w:tcW w:w="23" w:type="dxa"/>
            <w:tcBorders/>
            <w:shd w:fill="E0DDCC"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E0DDCC" w:val="clear"/>
            <w:vAlign w:val="center"/>
          </w:tcPr>
          <w:p>
            <w:pPr>
              <w:pStyle w:val="TableContents"/>
              <w:spacing w:before="0" w:after="283"/>
              <w:rPr/>
            </w:pPr>
            <w:r>
              <w:rPr/>
              <w:t> </w:t>
            </w:r>
          </w:p>
        </w:tc>
        <w:tc>
          <w:tcPr>
            <w:tcW w:w="23" w:type="dxa"/>
            <w:tcBorders/>
            <w:shd w:fill="E0DDCC"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E0DDCC" w:val="clear"/>
            <w:vAlign w:val="center"/>
          </w:tcPr>
          <w:p>
            <w:pPr>
              <w:pStyle w:val="TableContents"/>
              <w:spacing w:before="0" w:after="283"/>
              <w:rPr/>
            </w:pPr>
            <w:r>
              <w:rPr/>
              <w:t> </w:t>
            </w:r>
          </w:p>
        </w:tc>
        <w:tc>
          <w:tcPr>
            <w:tcW w:w="23" w:type="dxa"/>
            <w:tcBorders/>
            <w:shd w:fill="E0DDCC"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E0DDCC" w:val="clear"/>
            <w:vAlign w:val="center"/>
          </w:tcPr>
          <w:p>
            <w:pPr>
              <w:pStyle w:val="TableContents"/>
              <w:spacing w:before="0" w:after="283"/>
              <w:rPr/>
            </w:pPr>
            <w:r>
              <w:rPr/>
              <w:t> </w:t>
            </w:r>
          </w:p>
        </w:tc>
        <w:tc>
          <w:tcPr>
            <w:tcW w:w="23" w:type="dxa"/>
            <w:tcBorders/>
            <w:shd w:fill="E0DDCC"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left"/>
        <w:rPr/>
      </w:pPr>
      <w:r>
        <w:rPr/>
        <w:t> </w:t>
      </w:r>
    </w:p>
    <w:p>
      <w:pPr>
        <w:pStyle w:val="TextBody"/>
        <w:pBdr>
          <w:bottom w:val="single" w:sz="8" w:space="1" w:color="000000"/>
        </w:pBdr>
        <w:spacing w:lineRule="atLeast" w:line="141" w:before="0" w:after="40"/>
        <w:jc w:val="left"/>
        <w:rPr/>
      </w:pPr>
      <w:r>
        <w:rPr/>
        <w:t> </w:t>
      </w:r>
    </w:p>
    <w:p>
      <w:pPr>
        <w:pStyle w:val="TextBody"/>
        <w:spacing w:before="0" w:after="0"/>
        <w:jc w:val="left"/>
        <w:rPr/>
      </w:pPr>
      <w:r>
        <w:rPr/>
        <w:t> </w:t>
      </w:r>
    </w:p>
    <w:p>
      <w:pPr>
        <w:pStyle w:val="TextBody"/>
        <w:spacing w:before="0" w:after="0"/>
        <w:jc w:val="left"/>
        <w:rPr>
          <w:rFonts w:ascii="Times New Roman" w:hAnsi="Times New Roman"/>
          <w:sz w:val="18"/>
        </w:rPr>
      </w:pPr>
      <w:r>
        <w:rPr>
          <w:rFonts w:ascii="Times New Roman" w:hAnsi="Times New Roman"/>
          <w:sz w:val="18"/>
        </w:rPr>
        <w:t xml:space="preserve">Our consolidated results during 2022 and 2021 are reflected in the chart below.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6362"/>
        <w:gridCol w:w="87"/>
        <w:gridCol w:w="1167"/>
        <w:gridCol w:w="87"/>
        <w:gridCol w:w="1167"/>
        <w:gridCol w:w="87"/>
        <w:gridCol w:w="1248"/>
      </w:tblGrid>
      <w:tr>
        <w:trPr/>
        <w:tc>
          <w:tcPr>
            <w:tcW w:w="6362" w:type="dxa"/>
            <w:tcBorders/>
            <w:shd w:fill="auto" w:val="clear"/>
            <w:vAlign w:val="center"/>
          </w:tcPr>
          <w:p>
            <w:pPr>
              <w:pStyle w:val="TableContents"/>
              <w:spacing w:before="0" w:after="283"/>
              <w:rPr>
                <w:sz w:val="4"/>
                <w:szCs w:val="4"/>
              </w:rPr>
            </w:pPr>
            <w:r>
              <w:rPr>
                <w:sz w:val="4"/>
                <w:szCs w:val="4"/>
              </w:rPr>
            </w:r>
          </w:p>
        </w:tc>
        <w:tc>
          <w:tcPr>
            <w:tcW w:w="87" w:type="dxa"/>
            <w:tcBorders/>
            <w:shd w:fill="auto" w:val="clear"/>
            <w:vAlign w:val="center"/>
          </w:tcPr>
          <w:p>
            <w:pPr>
              <w:pStyle w:val="TableContents"/>
              <w:spacing w:before="0" w:after="283"/>
              <w:rPr>
                <w:sz w:val="4"/>
                <w:szCs w:val="4"/>
              </w:rPr>
            </w:pPr>
            <w:r>
              <w:rPr>
                <w:sz w:val="4"/>
                <w:szCs w:val="4"/>
              </w:rPr>
            </w:r>
          </w:p>
        </w:tc>
        <w:tc>
          <w:tcPr>
            <w:tcW w:w="1167" w:type="dxa"/>
            <w:tcBorders/>
            <w:shd w:fill="auto" w:val="clear"/>
            <w:vAlign w:val="center"/>
          </w:tcPr>
          <w:p>
            <w:pPr>
              <w:pStyle w:val="TableContents"/>
              <w:spacing w:before="0" w:after="283"/>
              <w:rPr>
                <w:sz w:val="4"/>
                <w:szCs w:val="4"/>
              </w:rPr>
            </w:pPr>
            <w:r>
              <w:rPr>
                <w:sz w:val="4"/>
                <w:szCs w:val="4"/>
              </w:rPr>
            </w:r>
          </w:p>
        </w:tc>
        <w:tc>
          <w:tcPr>
            <w:tcW w:w="87" w:type="dxa"/>
            <w:tcBorders/>
            <w:shd w:fill="auto" w:val="clear"/>
            <w:vAlign w:val="center"/>
          </w:tcPr>
          <w:p>
            <w:pPr>
              <w:pStyle w:val="TableContents"/>
              <w:spacing w:before="0" w:after="283"/>
              <w:rPr>
                <w:sz w:val="4"/>
                <w:szCs w:val="4"/>
              </w:rPr>
            </w:pPr>
            <w:r>
              <w:rPr>
                <w:sz w:val="4"/>
                <w:szCs w:val="4"/>
              </w:rPr>
            </w:r>
          </w:p>
        </w:tc>
        <w:tc>
          <w:tcPr>
            <w:tcW w:w="1167" w:type="dxa"/>
            <w:tcBorders/>
            <w:shd w:fill="auto" w:val="clear"/>
            <w:vAlign w:val="center"/>
          </w:tcPr>
          <w:p>
            <w:pPr>
              <w:pStyle w:val="TableContents"/>
              <w:spacing w:before="0" w:after="283"/>
              <w:rPr>
                <w:sz w:val="4"/>
                <w:szCs w:val="4"/>
              </w:rPr>
            </w:pPr>
            <w:r>
              <w:rPr>
                <w:sz w:val="4"/>
                <w:szCs w:val="4"/>
              </w:rPr>
            </w:r>
          </w:p>
        </w:tc>
        <w:tc>
          <w:tcPr>
            <w:tcW w:w="87" w:type="dxa"/>
            <w:tcBorders/>
            <w:shd w:fill="auto" w:val="clear"/>
            <w:vAlign w:val="center"/>
          </w:tcPr>
          <w:p>
            <w:pPr>
              <w:pStyle w:val="TableContents"/>
              <w:spacing w:before="0" w:after="283"/>
              <w:rPr>
                <w:sz w:val="4"/>
                <w:szCs w:val="4"/>
              </w:rPr>
            </w:pPr>
            <w:r>
              <w:rPr>
                <w:sz w:val="4"/>
                <w:szCs w:val="4"/>
              </w:rPr>
            </w:r>
          </w:p>
        </w:tc>
        <w:tc>
          <w:tcPr>
            <w:tcW w:w="1248" w:type="dxa"/>
            <w:tcBorders/>
            <w:shd w:fill="auto" w:val="clear"/>
            <w:vAlign w:val="center"/>
          </w:tcPr>
          <w:p>
            <w:pPr>
              <w:pStyle w:val="TableContents"/>
              <w:spacing w:before="0" w:after="283"/>
              <w:rPr>
                <w:sz w:val="4"/>
                <w:szCs w:val="4"/>
              </w:rPr>
            </w:pPr>
            <w:r>
              <w:rPr>
                <w:sz w:val="4"/>
                <w:szCs w:val="4"/>
              </w:rPr>
            </w:r>
          </w:p>
        </w:tc>
      </w:tr>
      <w:tr>
        <w:trPr/>
        <w:tc>
          <w:tcPr>
            <w:tcW w:w="10205" w:type="dxa"/>
            <w:gridSpan w:val="7"/>
            <w:tcBorders>
              <w:top w:val="single" w:sz="8" w:space="0" w:color="000000"/>
              <w:left w:val="single" w:sz="8" w:space="0" w:color="000000"/>
              <w:right w:val="single" w:sz="8" w:space="0" w:color="000000"/>
            </w:tcBorders>
            <w:shd w:fill="02197A" w:val="clear"/>
            <w:tcMar>
              <w:top w:w="28" w:type="dxa"/>
              <w:left w:w="160" w:type="dxa"/>
              <w:right w:w="28" w:type="dxa"/>
            </w:tcMar>
            <w:vAlign w:val="center"/>
          </w:tcPr>
          <w:p>
            <w:pPr>
              <w:pStyle w:val="TableContents"/>
              <w:spacing w:before="0" w:after="283"/>
              <w:rPr/>
            </w:pPr>
            <w:r>
              <w:rPr/>
              <w:t> </w:t>
            </w:r>
          </w:p>
        </w:tc>
      </w:tr>
      <w:tr>
        <w:trPr/>
        <w:tc>
          <w:tcPr>
            <w:tcW w:w="10205" w:type="dxa"/>
            <w:gridSpan w:val="7"/>
            <w:tcBorders>
              <w:left w:val="single" w:sz="8" w:space="0" w:color="000000"/>
              <w:right w:val="single" w:sz="8" w:space="0" w:color="000000"/>
            </w:tcBorders>
            <w:shd w:fill="02197A" w:val="clear"/>
            <w:tcMar>
              <w:left w:w="160" w:type="dxa"/>
              <w:right w:w="40" w:type="dxa"/>
            </w:tcMar>
            <w:vAlign w:val="center"/>
          </w:tcPr>
          <w:p>
            <w:pPr>
              <w:pStyle w:val="TableContents"/>
              <w:spacing w:before="0" w:after="0"/>
              <w:rPr>
                <w:color w:val="FFFFFF"/>
              </w:rPr>
            </w:pPr>
            <w:r>
              <w:rPr>
                <w:color w:val="FFFFFF"/>
              </w:rPr>
              <w:t> </w:t>
            </w:r>
            <w:r>
              <w:rPr>
                <w:rFonts w:ascii="ARIAL" w:hAnsi="ARIAL"/>
                <w:b/>
                <w:color w:val="FFFFFF"/>
                <w:sz w:val="22"/>
              </w:rPr>
              <w:t>Performance Results</w:t>
            </w:r>
          </w:p>
          <w:p>
            <w:pPr>
              <w:pStyle w:val="TableContents"/>
              <w:spacing w:before="0" w:after="0"/>
              <w:rPr>
                <w:color w:val="FFFFFF"/>
              </w:rPr>
            </w:pPr>
            <w:r>
              <w:rPr>
                <w:color w:val="FFFFFF"/>
              </w:rPr>
              <w:t> </w:t>
            </w:r>
            <w:r>
              <w:rPr>
                <w:rFonts w:ascii="Times New Roman" w:hAnsi="Times New Roman"/>
                <w:color w:val="FFFFFF"/>
                <w:sz w:val="18"/>
              </w:rPr>
              <w:t>For the Years Ended December 31, 2022 and 2021</w:t>
            </w:r>
          </w:p>
          <w:p>
            <w:pPr>
              <w:pStyle w:val="TableContents"/>
              <w:spacing w:before="0" w:after="0"/>
              <w:rPr>
                <w:color w:val="FFFFFF"/>
              </w:rPr>
            </w:pPr>
            <w:r>
              <w:rPr>
                <w:color w:val="FFFFFF"/>
              </w:rPr>
              <w:t> </w:t>
            </w:r>
            <w:r>
              <w:rPr>
                <w:rFonts w:ascii="Times New Roman" w:hAnsi="Times New Roman"/>
                <w:color w:val="FFFFFF"/>
                <w:sz w:val="16"/>
              </w:rPr>
              <w:t>(dollars in millions, except per share and stock price amounts)</w:t>
            </w:r>
          </w:p>
          <w:p>
            <w:pPr>
              <w:pStyle w:val="TableContents"/>
              <w:spacing w:before="0" w:after="20"/>
              <w:rPr/>
            </w:pPr>
            <w:r>
              <w:rPr/>
              <w:t> </w:t>
            </w:r>
          </w:p>
        </w:tc>
      </w:tr>
      <w:tr>
        <w:trPr/>
        <w:tc>
          <w:tcPr>
            <w:tcW w:w="6362" w:type="dxa"/>
            <w:tcBorders>
              <w:left w:val="single" w:sz="8" w:space="0" w:color="000000"/>
              <w:bottom w:val="single" w:sz="8" w:space="0" w:color="000000"/>
            </w:tcBorders>
            <w:shd w:fill="auto" w:val="clear"/>
            <w:tcMar>
              <w:left w:w="160" w:type="dxa"/>
              <w:bottom w:w="28" w:type="dxa"/>
            </w:tcMar>
            <w:vAlign w:val="center"/>
          </w:tcPr>
          <w:p>
            <w:pPr>
              <w:pStyle w:val="TableContents"/>
              <w:spacing w:before="0" w:after="283"/>
              <w:rPr/>
            </w:pPr>
            <w:r>
              <w:rPr/>
              <w:t> </w:t>
            </w:r>
            <w:r>
              <w:rPr/>
              <w:t>Key Metrics</w:t>
            </w:r>
          </w:p>
        </w:tc>
        <w:tc>
          <w:tcPr>
            <w:tcW w:w="87" w:type="dxa"/>
            <w:tcBorders>
              <w:bottom w:val="single" w:sz="8" w:space="0" w:color="000000"/>
            </w:tcBorders>
            <w:shd w:fill="auto" w:val="clear"/>
            <w:tcMar>
              <w:bottom w:w="28" w:type="dxa"/>
            </w:tcMar>
            <w:vAlign w:val="center"/>
          </w:tcPr>
          <w:p>
            <w:pPr>
              <w:pStyle w:val="TableContents"/>
              <w:spacing w:before="0" w:after="283"/>
              <w:rPr/>
            </w:pPr>
            <w:r>
              <w:rPr/>
              <w:t> </w:t>
            </w:r>
          </w:p>
        </w:tc>
        <w:tc>
          <w:tcPr>
            <w:tcW w:w="1167" w:type="dxa"/>
            <w:tcBorders>
              <w:bottom w:val="single" w:sz="8" w:space="0" w:color="000000"/>
            </w:tcBorders>
            <w:shd w:fill="auto" w:val="clear"/>
            <w:tcMar>
              <w:bottom w:w="28" w:type="dxa"/>
            </w:tcMar>
            <w:vAlign w:val="center"/>
          </w:tcPr>
          <w:p>
            <w:pPr>
              <w:pStyle w:val="TableContents"/>
              <w:spacing w:before="0" w:after="0"/>
              <w:jc w:val="center"/>
              <w:rPr>
                <w:rFonts w:ascii="Times New Roman" w:hAnsi="Times New Roman"/>
                <w:sz w:val="16"/>
              </w:rPr>
            </w:pPr>
            <w:r>
              <w:rPr>
                <w:rFonts w:ascii="Times New Roman" w:hAnsi="Times New Roman"/>
                <w:sz w:val="16"/>
              </w:rPr>
              <w:t>2022</w:t>
            </w:r>
          </w:p>
          <w:p>
            <w:pPr>
              <w:pStyle w:val="TableContents"/>
              <w:spacing w:before="0" w:after="20"/>
              <w:jc w:val="center"/>
              <w:rPr>
                <w:rFonts w:ascii="Times New Roman" w:hAnsi="Times New Roman"/>
                <w:sz w:val="16"/>
              </w:rPr>
            </w:pPr>
            <w:r>
              <w:rPr>
                <w:rFonts w:ascii="Times New Roman" w:hAnsi="Times New Roman"/>
                <w:sz w:val="16"/>
              </w:rPr>
              <w:t>Results</w:t>
            </w:r>
          </w:p>
        </w:tc>
        <w:tc>
          <w:tcPr>
            <w:tcW w:w="87" w:type="dxa"/>
            <w:tcBorders>
              <w:bottom w:val="single" w:sz="8" w:space="0" w:color="000000"/>
            </w:tcBorders>
            <w:shd w:fill="auto" w:val="clear"/>
            <w:tcMar>
              <w:bottom w:w="28" w:type="dxa"/>
            </w:tcMar>
            <w:vAlign w:val="center"/>
          </w:tcPr>
          <w:p>
            <w:pPr>
              <w:pStyle w:val="TableContents"/>
              <w:spacing w:before="0" w:after="283"/>
              <w:rPr/>
            </w:pPr>
            <w:r>
              <w:rPr/>
              <w:t> </w:t>
            </w:r>
          </w:p>
        </w:tc>
        <w:tc>
          <w:tcPr>
            <w:tcW w:w="1167" w:type="dxa"/>
            <w:tcBorders>
              <w:bottom w:val="single" w:sz="8" w:space="0" w:color="000000"/>
            </w:tcBorders>
            <w:shd w:fill="auto" w:val="clear"/>
            <w:tcMar>
              <w:bottom w:w="28" w:type="dxa"/>
            </w:tcMar>
            <w:vAlign w:val="center"/>
          </w:tcPr>
          <w:p>
            <w:pPr>
              <w:pStyle w:val="TableContents"/>
              <w:spacing w:before="0" w:after="0"/>
              <w:jc w:val="center"/>
              <w:rPr>
                <w:rFonts w:ascii="Times New Roman" w:hAnsi="Times New Roman"/>
                <w:sz w:val="16"/>
              </w:rPr>
            </w:pPr>
            <w:r>
              <w:rPr>
                <w:rFonts w:ascii="Times New Roman" w:hAnsi="Times New Roman"/>
                <w:sz w:val="16"/>
              </w:rPr>
              <w:t>2021</w:t>
            </w:r>
          </w:p>
          <w:p>
            <w:pPr>
              <w:pStyle w:val="TableContents"/>
              <w:spacing w:before="0" w:after="20"/>
              <w:jc w:val="center"/>
              <w:rPr>
                <w:rFonts w:ascii="Times New Roman" w:hAnsi="Times New Roman"/>
                <w:sz w:val="16"/>
              </w:rPr>
            </w:pPr>
            <w:r>
              <w:rPr>
                <w:rFonts w:ascii="Times New Roman" w:hAnsi="Times New Roman"/>
                <w:sz w:val="16"/>
              </w:rPr>
              <w:t>Results</w:t>
            </w:r>
          </w:p>
        </w:tc>
        <w:tc>
          <w:tcPr>
            <w:tcW w:w="87" w:type="dxa"/>
            <w:tcBorders>
              <w:bottom w:val="single" w:sz="8" w:space="0" w:color="000000"/>
            </w:tcBorders>
            <w:shd w:fill="auto" w:val="clear"/>
            <w:tcMar>
              <w:bottom w:w="28" w:type="dxa"/>
            </w:tcMar>
            <w:vAlign w:val="center"/>
          </w:tcPr>
          <w:p>
            <w:pPr>
              <w:pStyle w:val="TableContents"/>
              <w:spacing w:before="0" w:after="283"/>
              <w:rPr/>
            </w:pPr>
            <w:r>
              <w:rPr/>
              <w:t> </w:t>
            </w:r>
          </w:p>
        </w:tc>
        <w:tc>
          <w:tcPr>
            <w:tcW w:w="1248" w:type="dxa"/>
            <w:tcBorders>
              <w:bottom w:val="single" w:sz="8" w:space="0" w:color="000000"/>
              <w:right w:val="single" w:sz="8" w:space="0" w:color="000000"/>
            </w:tcBorders>
            <w:shd w:fill="auto" w:val="clear"/>
            <w:tcMar>
              <w:bottom w:w="28" w:type="dxa"/>
              <w:right w:w="40" w:type="dxa"/>
            </w:tcMar>
            <w:vAlign w:val="center"/>
          </w:tcPr>
          <w:p>
            <w:pPr>
              <w:pStyle w:val="TableContents"/>
              <w:spacing w:before="0" w:after="0"/>
              <w:jc w:val="center"/>
              <w:rPr>
                <w:rFonts w:ascii="Times New Roman" w:hAnsi="Times New Roman"/>
                <w:sz w:val="16"/>
              </w:rPr>
            </w:pPr>
            <w:r>
              <w:rPr>
                <w:rFonts w:ascii="Times New Roman" w:hAnsi="Times New Roman"/>
                <w:sz w:val="16"/>
              </w:rPr>
              <w:t>% Increase/</w:t>
            </w:r>
          </w:p>
          <w:p>
            <w:pPr>
              <w:pStyle w:val="TableContents"/>
              <w:spacing w:before="0" w:after="20"/>
              <w:jc w:val="center"/>
              <w:rPr>
                <w:rFonts w:ascii="Times New Roman" w:hAnsi="Times New Roman"/>
                <w:sz w:val="16"/>
              </w:rPr>
            </w:pPr>
            <w:r>
              <w:rPr>
                <w:rFonts w:ascii="Times New Roman" w:hAnsi="Times New Roman"/>
                <w:sz w:val="16"/>
              </w:rPr>
              <w:t>(Decrease)</w:t>
            </w:r>
          </w:p>
        </w:tc>
      </w:tr>
      <w:tr>
        <w:trPr/>
        <w:tc>
          <w:tcPr>
            <w:tcW w:w="6362" w:type="dxa"/>
            <w:tcBorders>
              <w:left w:val="single" w:sz="8" w:space="0" w:color="000000"/>
            </w:tcBorders>
            <w:shd w:fill="CEE8F6" w:val="clear"/>
            <w:tcMar>
              <w:left w:w="160" w:type="dxa"/>
            </w:tcMar>
            <w:vAlign w:val="center"/>
          </w:tcPr>
          <w:p>
            <w:pPr>
              <w:pStyle w:val="TableContents"/>
              <w:spacing w:before="0" w:after="283"/>
              <w:rPr/>
            </w:pPr>
            <w:r>
              <w:rPr/>
              <w:t> </w:t>
            </w:r>
          </w:p>
        </w:tc>
        <w:tc>
          <w:tcPr>
            <w:tcW w:w="1254" w:type="dxa"/>
            <w:gridSpan w:val="2"/>
            <w:tcBorders/>
            <w:shd w:fill="CEE8F6" w:val="clear"/>
            <w:vAlign w:val="center"/>
          </w:tcPr>
          <w:p>
            <w:pPr>
              <w:pStyle w:val="TableContents"/>
              <w:spacing w:before="0" w:after="283"/>
              <w:rPr>
                <w:sz w:val="4"/>
                <w:szCs w:val="4"/>
              </w:rPr>
            </w:pPr>
            <w:r>
              <w:rPr>
                <w:sz w:val="4"/>
                <w:szCs w:val="4"/>
              </w:rPr>
            </w:r>
          </w:p>
        </w:tc>
        <w:tc>
          <w:tcPr>
            <w:tcW w:w="1254" w:type="dxa"/>
            <w:gridSpan w:val="2"/>
            <w:tcBorders/>
            <w:shd w:fill="CEE8F6" w:val="clear"/>
            <w:vAlign w:val="center"/>
          </w:tcPr>
          <w:p>
            <w:pPr>
              <w:pStyle w:val="TableContents"/>
              <w:spacing w:before="0" w:after="283"/>
              <w:rPr>
                <w:sz w:val="4"/>
                <w:szCs w:val="4"/>
              </w:rPr>
            </w:pPr>
            <w:r>
              <w:rPr>
                <w:sz w:val="4"/>
                <w:szCs w:val="4"/>
              </w:rPr>
            </w:r>
          </w:p>
        </w:tc>
        <w:tc>
          <w:tcPr>
            <w:tcW w:w="1335" w:type="dxa"/>
            <w:gridSpan w:val="2"/>
            <w:tcBorders>
              <w:right w:val="single" w:sz="8" w:space="0" w:color="000000"/>
            </w:tcBorders>
            <w:shd w:fill="CEE8F6" w:val="clear"/>
            <w:tcMar>
              <w:right w:w="28" w:type="dxa"/>
            </w:tcMar>
            <w:vAlign w:val="center"/>
          </w:tcPr>
          <w:p>
            <w:pPr>
              <w:pStyle w:val="TableContents"/>
              <w:spacing w:before="0" w:after="283"/>
              <w:rPr/>
            </w:pPr>
            <w:r>
              <w:rPr/>
              <w:t> </w:t>
            </w:r>
          </w:p>
        </w:tc>
      </w:tr>
      <w:tr>
        <w:trPr/>
        <w:tc>
          <w:tcPr>
            <w:tcW w:w="6362" w:type="dxa"/>
            <w:tcBorders>
              <w:left w:val="single" w:sz="8" w:space="0" w:color="000000"/>
            </w:tcBorders>
            <w:shd w:fill="CEE8F6" w:val="clear"/>
            <w:tcMar>
              <w:left w:w="160" w:type="dxa"/>
            </w:tcMar>
            <w:vAlign w:val="center"/>
          </w:tcPr>
          <w:p>
            <w:pPr>
              <w:pStyle w:val="TableContents"/>
              <w:spacing w:before="0" w:after="0"/>
              <w:rPr/>
            </w:pPr>
            <w:r>
              <w:rPr/>
              <w:t> </w:t>
            </w:r>
            <w:r>
              <w:rPr>
                <w:rFonts w:ascii="Times New Roman" w:hAnsi="Times New Roman"/>
                <w:sz w:val="18"/>
              </w:rPr>
              <w:t>Net Operating Revenues</w:t>
            </w:r>
          </w:p>
        </w:tc>
        <w:tc>
          <w:tcPr>
            <w:tcW w:w="87" w:type="dxa"/>
            <w:tcBorders/>
            <w:shd w:fill="CEE8F6" w:val="clear"/>
            <w:vAlign w:val="center"/>
          </w:tcPr>
          <w:p>
            <w:pPr>
              <w:pStyle w:val="TableContents"/>
              <w:spacing w:before="0" w:after="283"/>
              <w:rPr/>
            </w:pPr>
            <w:r>
              <w:rPr/>
              <w:t> </w:t>
            </w:r>
          </w:p>
        </w:tc>
        <w:tc>
          <w:tcPr>
            <w:tcW w:w="1167" w:type="dxa"/>
            <w:tcBorders/>
            <w:shd w:fill="CEE8F6" w:val="clear"/>
            <w:vAlign w:val="center"/>
          </w:tcPr>
          <w:p>
            <w:pPr>
              <w:pStyle w:val="TableContents"/>
              <w:spacing w:before="0" w:after="283"/>
              <w:jc w:val="center"/>
              <w:rPr/>
            </w:pPr>
            <w:r>
              <w:rPr/>
              <w:t>$12,211</w:t>
            </w:r>
          </w:p>
        </w:tc>
        <w:tc>
          <w:tcPr>
            <w:tcW w:w="87" w:type="dxa"/>
            <w:tcBorders/>
            <w:shd w:fill="CEE8F6" w:val="clear"/>
            <w:vAlign w:val="center"/>
          </w:tcPr>
          <w:p>
            <w:pPr>
              <w:pStyle w:val="TableContents"/>
              <w:spacing w:before="0" w:after="283"/>
              <w:rPr/>
            </w:pPr>
            <w:r>
              <w:rPr/>
              <w:t> </w:t>
            </w:r>
          </w:p>
        </w:tc>
        <w:tc>
          <w:tcPr>
            <w:tcW w:w="1167" w:type="dxa"/>
            <w:tcBorders/>
            <w:shd w:fill="CEE8F6" w:val="clear"/>
            <w:vAlign w:val="center"/>
          </w:tcPr>
          <w:p>
            <w:pPr>
              <w:pStyle w:val="TableContents"/>
              <w:spacing w:before="0" w:after="283"/>
              <w:jc w:val="center"/>
              <w:rPr/>
            </w:pPr>
            <w:r>
              <w:rPr/>
              <w:t>$12,368</w:t>
            </w:r>
          </w:p>
        </w:tc>
        <w:tc>
          <w:tcPr>
            <w:tcW w:w="87" w:type="dxa"/>
            <w:tcBorders/>
            <w:shd w:fill="CEE8F6" w:val="clear"/>
            <w:vAlign w:val="center"/>
          </w:tcPr>
          <w:p>
            <w:pPr>
              <w:pStyle w:val="TableContents"/>
              <w:spacing w:before="0" w:after="283"/>
              <w:rPr/>
            </w:pPr>
            <w:r>
              <w:rPr/>
              <w:t> </w:t>
            </w:r>
          </w:p>
        </w:tc>
        <w:tc>
          <w:tcPr>
            <w:tcW w:w="1248" w:type="dxa"/>
            <w:tcBorders>
              <w:right w:val="single" w:sz="8" w:space="0" w:color="000000"/>
            </w:tcBorders>
            <w:shd w:fill="CEE8F6" w:val="clear"/>
            <w:tcMar>
              <w:right w:w="28" w:type="dxa"/>
            </w:tcMar>
            <w:vAlign w:val="center"/>
          </w:tcPr>
          <w:p>
            <w:pPr>
              <w:pStyle w:val="TableContents"/>
              <w:spacing w:before="0" w:after="283"/>
              <w:jc w:val="center"/>
              <w:rPr/>
            </w:pPr>
            <w:r>
              <w:rPr/>
              <w:t>(1.3)%</w:t>
            </w:r>
          </w:p>
        </w:tc>
      </w:tr>
      <w:tr>
        <w:trPr/>
        <w:tc>
          <w:tcPr>
            <w:tcW w:w="6362" w:type="dxa"/>
            <w:tcBorders>
              <w:left w:val="single" w:sz="8" w:space="0" w:color="000000"/>
            </w:tcBorders>
            <w:shd w:fill="auto" w:val="clear"/>
            <w:tcMar>
              <w:left w:w="160" w:type="dxa"/>
            </w:tcMar>
            <w:vAlign w:val="center"/>
          </w:tcPr>
          <w:p>
            <w:pPr>
              <w:pStyle w:val="TableContents"/>
              <w:spacing w:before="0" w:after="283"/>
              <w:rPr/>
            </w:pPr>
            <w:r>
              <w:rPr/>
              <w:t> </w:t>
            </w:r>
          </w:p>
        </w:tc>
        <w:tc>
          <w:tcPr>
            <w:tcW w:w="1254" w:type="dxa"/>
            <w:gridSpan w:val="2"/>
            <w:tcBorders/>
            <w:shd w:fill="auto" w:val="clear"/>
            <w:vAlign w:val="center"/>
          </w:tcPr>
          <w:p>
            <w:pPr>
              <w:pStyle w:val="TableContents"/>
              <w:spacing w:before="0" w:after="283"/>
              <w:rPr>
                <w:sz w:val="4"/>
                <w:szCs w:val="4"/>
              </w:rPr>
            </w:pPr>
            <w:r>
              <w:rPr>
                <w:sz w:val="4"/>
                <w:szCs w:val="4"/>
              </w:rPr>
            </w:r>
          </w:p>
        </w:tc>
        <w:tc>
          <w:tcPr>
            <w:tcW w:w="1254" w:type="dxa"/>
            <w:gridSpan w:val="2"/>
            <w:tcBorders/>
            <w:shd w:fill="auto" w:val="clear"/>
            <w:vAlign w:val="center"/>
          </w:tcPr>
          <w:p>
            <w:pPr>
              <w:pStyle w:val="TableContents"/>
              <w:spacing w:before="0" w:after="283"/>
              <w:rPr>
                <w:sz w:val="4"/>
                <w:szCs w:val="4"/>
              </w:rPr>
            </w:pPr>
            <w:r>
              <w:rPr>
                <w:sz w:val="4"/>
                <w:szCs w:val="4"/>
              </w:rPr>
            </w:r>
          </w:p>
        </w:tc>
        <w:tc>
          <w:tcPr>
            <w:tcW w:w="1335" w:type="dxa"/>
            <w:gridSpan w:val="2"/>
            <w:tcBorders>
              <w:right w:val="single" w:sz="8" w:space="0" w:color="000000"/>
            </w:tcBorders>
            <w:shd w:fill="auto" w:val="clear"/>
            <w:tcMar>
              <w:right w:w="28" w:type="dxa"/>
            </w:tcMar>
            <w:vAlign w:val="center"/>
          </w:tcPr>
          <w:p>
            <w:pPr>
              <w:pStyle w:val="TableContents"/>
              <w:spacing w:before="0" w:after="283"/>
              <w:rPr/>
            </w:pPr>
            <w:r>
              <w:rPr/>
              <w:t> </w:t>
            </w:r>
          </w:p>
        </w:tc>
      </w:tr>
      <w:tr>
        <w:trPr/>
        <w:tc>
          <w:tcPr>
            <w:tcW w:w="6362" w:type="dxa"/>
            <w:tcBorders>
              <w:left w:val="single" w:sz="8" w:space="0" w:color="000000"/>
            </w:tcBorders>
            <w:shd w:fill="auto" w:val="clear"/>
            <w:tcMar>
              <w:left w:w="160" w:type="dxa"/>
            </w:tcMar>
            <w:vAlign w:val="center"/>
          </w:tcPr>
          <w:p>
            <w:pPr>
              <w:pStyle w:val="TableContents"/>
              <w:spacing w:before="0" w:after="0"/>
              <w:rPr/>
            </w:pPr>
            <w:r>
              <w:rPr/>
              <w:t> </w:t>
            </w:r>
            <w:r>
              <w:rPr>
                <w:rFonts w:ascii="Times New Roman" w:hAnsi="Times New Roman"/>
                <w:sz w:val="18"/>
              </w:rPr>
              <w:t>Net income attributable to Community Health Systems, Inc. stockholders</w:t>
            </w:r>
          </w:p>
        </w:tc>
        <w:tc>
          <w:tcPr>
            <w:tcW w:w="87" w:type="dxa"/>
            <w:tcBorders/>
            <w:shd w:fill="auto" w:val="clear"/>
            <w:vAlign w:val="center"/>
          </w:tcPr>
          <w:p>
            <w:pPr>
              <w:pStyle w:val="TableContents"/>
              <w:spacing w:before="0" w:after="283"/>
              <w:rPr/>
            </w:pPr>
            <w:r>
              <w:rPr/>
              <w:t> </w:t>
            </w:r>
          </w:p>
        </w:tc>
        <w:tc>
          <w:tcPr>
            <w:tcW w:w="1167" w:type="dxa"/>
            <w:tcBorders/>
            <w:shd w:fill="auto" w:val="clear"/>
            <w:vAlign w:val="center"/>
          </w:tcPr>
          <w:p>
            <w:pPr>
              <w:pStyle w:val="TableContents"/>
              <w:spacing w:before="0" w:after="283"/>
              <w:jc w:val="center"/>
              <w:rPr/>
            </w:pPr>
            <w:r>
              <w:rPr/>
              <w:t>$46</w:t>
            </w:r>
          </w:p>
        </w:tc>
        <w:tc>
          <w:tcPr>
            <w:tcW w:w="87" w:type="dxa"/>
            <w:tcBorders/>
            <w:shd w:fill="auto" w:val="clear"/>
            <w:vAlign w:val="center"/>
          </w:tcPr>
          <w:p>
            <w:pPr>
              <w:pStyle w:val="TableContents"/>
              <w:spacing w:before="0" w:after="283"/>
              <w:rPr/>
            </w:pPr>
            <w:r>
              <w:rPr/>
              <w:t> </w:t>
            </w:r>
          </w:p>
        </w:tc>
        <w:tc>
          <w:tcPr>
            <w:tcW w:w="1167" w:type="dxa"/>
            <w:tcBorders/>
            <w:shd w:fill="auto" w:val="clear"/>
            <w:vAlign w:val="center"/>
          </w:tcPr>
          <w:p>
            <w:pPr>
              <w:pStyle w:val="TableContents"/>
              <w:spacing w:before="0" w:after="283"/>
              <w:jc w:val="center"/>
              <w:rPr/>
            </w:pPr>
            <w:r>
              <w:rPr/>
              <w:t>$230</w:t>
            </w:r>
          </w:p>
        </w:tc>
        <w:tc>
          <w:tcPr>
            <w:tcW w:w="87" w:type="dxa"/>
            <w:tcBorders/>
            <w:shd w:fill="auto" w:val="clear"/>
            <w:vAlign w:val="center"/>
          </w:tcPr>
          <w:p>
            <w:pPr>
              <w:pStyle w:val="TableContents"/>
              <w:spacing w:before="0" w:after="283"/>
              <w:rPr/>
            </w:pPr>
            <w:r>
              <w:rPr/>
              <w:t> </w:t>
            </w:r>
          </w:p>
        </w:tc>
        <w:tc>
          <w:tcPr>
            <w:tcW w:w="1248" w:type="dxa"/>
            <w:tcBorders>
              <w:right w:val="single" w:sz="8" w:space="0" w:color="000000"/>
            </w:tcBorders>
            <w:shd w:fill="auto" w:val="clear"/>
            <w:tcMar>
              <w:right w:w="28" w:type="dxa"/>
            </w:tcMar>
            <w:vAlign w:val="center"/>
          </w:tcPr>
          <w:p>
            <w:pPr>
              <w:pStyle w:val="TableContents"/>
              <w:spacing w:before="0" w:after="283"/>
              <w:jc w:val="center"/>
              <w:rPr/>
            </w:pPr>
            <w:r>
              <w:rPr/>
              <w:t>(80.0)%</w:t>
            </w:r>
          </w:p>
        </w:tc>
      </w:tr>
      <w:tr>
        <w:trPr/>
        <w:tc>
          <w:tcPr>
            <w:tcW w:w="6362" w:type="dxa"/>
            <w:tcBorders>
              <w:left w:val="single" w:sz="8" w:space="0" w:color="000000"/>
            </w:tcBorders>
            <w:shd w:fill="CEE8F6" w:val="clear"/>
            <w:tcMar>
              <w:left w:w="160" w:type="dxa"/>
            </w:tcMar>
            <w:vAlign w:val="center"/>
          </w:tcPr>
          <w:p>
            <w:pPr>
              <w:pStyle w:val="TableContents"/>
              <w:spacing w:before="0" w:after="283"/>
              <w:rPr/>
            </w:pPr>
            <w:r>
              <w:rPr/>
              <w:t> </w:t>
            </w:r>
          </w:p>
        </w:tc>
        <w:tc>
          <w:tcPr>
            <w:tcW w:w="1254" w:type="dxa"/>
            <w:gridSpan w:val="2"/>
            <w:tcBorders/>
            <w:shd w:fill="CEE8F6" w:val="clear"/>
            <w:vAlign w:val="center"/>
          </w:tcPr>
          <w:p>
            <w:pPr>
              <w:pStyle w:val="TableContents"/>
              <w:spacing w:before="0" w:after="283"/>
              <w:rPr>
                <w:sz w:val="4"/>
                <w:szCs w:val="4"/>
              </w:rPr>
            </w:pPr>
            <w:r>
              <w:rPr>
                <w:sz w:val="4"/>
                <w:szCs w:val="4"/>
              </w:rPr>
            </w:r>
          </w:p>
        </w:tc>
        <w:tc>
          <w:tcPr>
            <w:tcW w:w="1254" w:type="dxa"/>
            <w:gridSpan w:val="2"/>
            <w:tcBorders/>
            <w:shd w:fill="CEE8F6" w:val="clear"/>
            <w:vAlign w:val="center"/>
          </w:tcPr>
          <w:p>
            <w:pPr>
              <w:pStyle w:val="TableContents"/>
              <w:spacing w:before="0" w:after="283"/>
              <w:rPr>
                <w:sz w:val="4"/>
                <w:szCs w:val="4"/>
              </w:rPr>
            </w:pPr>
            <w:r>
              <w:rPr>
                <w:sz w:val="4"/>
                <w:szCs w:val="4"/>
              </w:rPr>
            </w:r>
          </w:p>
        </w:tc>
        <w:tc>
          <w:tcPr>
            <w:tcW w:w="1335" w:type="dxa"/>
            <w:gridSpan w:val="2"/>
            <w:tcBorders>
              <w:right w:val="single" w:sz="8" w:space="0" w:color="000000"/>
            </w:tcBorders>
            <w:shd w:fill="CEE8F6" w:val="clear"/>
            <w:tcMar>
              <w:right w:w="28" w:type="dxa"/>
            </w:tcMar>
            <w:vAlign w:val="center"/>
          </w:tcPr>
          <w:p>
            <w:pPr>
              <w:pStyle w:val="TableContents"/>
              <w:spacing w:before="0" w:after="283"/>
              <w:rPr/>
            </w:pPr>
            <w:r>
              <w:rPr/>
              <w:t> </w:t>
            </w:r>
          </w:p>
        </w:tc>
      </w:tr>
      <w:tr>
        <w:trPr/>
        <w:tc>
          <w:tcPr>
            <w:tcW w:w="6362" w:type="dxa"/>
            <w:tcBorders>
              <w:left w:val="single" w:sz="8" w:space="0" w:color="000000"/>
            </w:tcBorders>
            <w:shd w:fill="CEE8F6" w:val="clear"/>
            <w:tcMar>
              <w:left w:w="160" w:type="dxa"/>
            </w:tcMar>
            <w:vAlign w:val="center"/>
          </w:tcPr>
          <w:p>
            <w:pPr>
              <w:pStyle w:val="TableContents"/>
              <w:spacing w:before="0" w:after="0"/>
              <w:rPr/>
            </w:pPr>
            <w:r>
              <w:rPr/>
              <w:t> </w:t>
            </w:r>
            <w:r>
              <w:rPr>
                <w:rFonts w:ascii="Times New Roman" w:hAnsi="Times New Roman"/>
                <w:sz w:val="18"/>
              </w:rPr>
              <w:t>Net income attributable to Community Health Systems, Inc. stockholders as a % of net operating revenues</w:t>
            </w:r>
          </w:p>
        </w:tc>
        <w:tc>
          <w:tcPr>
            <w:tcW w:w="87" w:type="dxa"/>
            <w:tcBorders/>
            <w:shd w:fill="CEE8F6" w:val="clear"/>
            <w:vAlign w:val="center"/>
          </w:tcPr>
          <w:p>
            <w:pPr>
              <w:pStyle w:val="TableContents"/>
              <w:spacing w:before="0" w:after="283"/>
              <w:rPr/>
            </w:pPr>
            <w:r>
              <w:rPr/>
              <w:t> </w:t>
            </w:r>
          </w:p>
        </w:tc>
        <w:tc>
          <w:tcPr>
            <w:tcW w:w="1167" w:type="dxa"/>
            <w:tcBorders/>
            <w:shd w:fill="CEE8F6" w:val="clear"/>
            <w:vAlign w:val="center"/>
          </w:tcPr>
          <w:p>
            <w:pPr>
              <w:pStyle w:val="TableContents"/>
              <w:spacing w:before="0" w:after="283"/>
              <w:jc w:val="center"/>
              <w:rPr/>
            </w:pPr>
            <w:r>
              <w:rPr/>
              <w:t>0.4%</w:t>
            </w:r>
          </w:p>
        </w:tc>
        <w:tc>
          <w:tcPr>
            <w:tcW w:w="87" w:type="dxa"/>
            <w:tcBorders/>
            <w:shd w:fill="CEE8F6" w:val="clear"/>
            <w:vAlign w:val="center"/>
          </w:tcPr>
          <w:p>
            <w:pPr>
              <w:pStyle w:val="TableContents"/>
              <w:spacing w:before="0" w:after="283"/>
              <w:rPr/>
            </w:pPr>
            <w:r>
              <w:rPr/>
              <w:t> </w:t>
            </w:r>
          </w:p>
        </w:tc>
        <w:tc>
          <w:tcPr>
            <w:tcW w:w="1167" w:type="dxa"/>
            <w:tcBorders/>
            <w:shd w:fill="CEE8F6" w:val="clear"/>
            <w:vAlign w:val="center"/>
          </w:tcPr>
          <w:p>
            <w:pPr>
              <w:pStyle w:val="TableContents"/>
              <w:spacing w:before="0" w:after="283"/>
              <w:jc w:val="center"/>
              <w:rPr/>
            </w:pPr>
            <w:r>
              <w:rPr/>
              <w:t>1.9%</w:t>
            </w:r>
          </w:p>
        </w:tc>
        <w:tc>
          <w:tcPr>
            <w:tcW w:w="87" w:type="dxa"/>
            <w:tcBorders/>
            <w:shd w:fill="CEE8F6" w:val="clear"/>
            <w:vAlign w:val="center"/>
          </w:tcPr>
          <w:p>
            <w:pPr>
              <w:pStyle w:val="TableContents"/>
              <w:spacing w:before="0" w:after="283"/>
              <w:rPr/>
            </w:pPr>
            <w:r>
              <w:rPr/>
              <w:t> </w:t>
            </w:r>
          </w:p>
        </w:tc>
        <w:tc>
          <w:tcPr>
            <w:tcW w:w="1248" w:type="dxa"/>
            <w:tcBorders>
              <w:right w:val="single" w:sz="8" w:space="0" w:color="000000"/>
            </w:tcBorders>
            <w:shd w:fill="CEE8F6" w:val="clear"/>
            <w:tcMar>
              <w:right w:w="28" w:type="dxa"/>
            </w:tcMar>
            <w:vAlign w:val="center"/>
          </w:tcPr>
          <w:p>
            <w:pPr>
              <w:pStyle w:val="TableContents"/>
              <w:spacing w:before="0" w:after="283"/>
              <w:rPr/>
            </w:pPr>
            <w:r>
              <w:rPr/>
              <w:t> </w:t>
            </w:r>
          </w:p>
        </w:tc>
      </w:tr>
      <w:tr>
        <w:trPr/>
        <w:tc>
          <w:tcPr>
            <w:tcW w:w="6362" w:type="dxa"/>
            <w:tcBorders>
              <w:left w:val="single" w:sz="8" w:space="0" w:color="000000"/>
            </w:tcBorders>
            <w:shd w:fill="auto" w:val="clear"/>
            <w:tcMar>
              <w:left w:w="160" w:type="dxa"/>
            </w:tcMar>
            <w:vAlign w:val="center"/>
          </w:tcPr>
          <w:p>
            <w:pPr>
              <w:pStyle w:val="TableContents"/>
              <w:spacing w:before="0" w:after="283"/>
              <w:rPr/>
            </w:pPr>
            <w:r>
              <w:rPr/>
              <w:t> </w:t>
            </w:r>
          </w:p>
        </w:tc>
        <w:tc>
          <w:tcPr>
            <w:tcW w:w="1254" w:type="dxa"/>
            <w:gridSpan w:val="2"/>
            <w:tcBorders/>
            <w:shd w:fill="auto" w:val="clear"/>
            <w:vAlign w:val="center"/>
          </w:tcPr>
          <w:p>
            <w:pPr>
              <w:pStyle w:val="TableContents"/>
              <w:spacing w:before="0" w:after="283"/>
              <w:rPr>
                <w:sz w:val="4"/>
                <w:szCs w:val="4"/>
              </w:rPr>
            </w:pPr>
            <w:r>
              <w:rPr>
                <w:sz w:val="4"/>
                <w:szCs w:val="4"/>
              </w:rPr>
            </w:r>
          </w:p>
        </w:tc>
        <w:tc>
          <w:tcPr>
            <w:tcW w:w="1254" w:type="dxa"/>
            <w:gridSpan w:val="2"/>
            <w:tcBorders/>
            <w:shd w:fill="auto" w:val="clear"/>
            <w:vAlign w:val="center"/>
          </w:tcPr>
          <w:p>
            <w:pPr>
              <w:pStyle w:val="TableContents"/>
              <w:spacing w:before="0" w:after="283"/>
              <w:rPr>
                <w:sz w:val="4"/>
                <w:szCs w:val="4"/>
              </w:rPr>
            </w:pPr>
            <w:r>
              <w:rPr>
                <w:sz w:val="4"/>
                <w:szCs w:val="4"/>
              </w:rPr>
            </w:r>
          </w:p>
        </w:tc>
        <w:tc>
          <w:tcPr>
            <w:tcW w:w="1335" w:type="dxa"/>
            <w:gridSpan w:val="2"/>
            <w:tcBorders>
              <w:right w:val="single" w:sz="8" w:space="0" w:color="000000"/>
            </w:tcBorders>
            <w:shd w:fill="auto" w:val="clear"/>
            <w:tcMar>
              <w:right w:w="28" w:type="dxa"/>
            </w:tcMar>
            <w:vAlign w:val="center"/>
          </w:tcPr>
          <w:p>
            <w:pPr>
              <w:pStyle w:val="TableContents"/>
              <w:spacing w:before="0" w:after="283"/>
              <w:rPr/>
            </w:pPr>
            <w:r>
              <w:rPr/>
              <w:t> </w:t>
            </w:r>
          </w:p>
        </w:tc>
      </w:tr>
      <w:tr>
        <w:trPr/>
        <w:tc>
          <w:tcPr>
            <w:tcW w:w="6362" w:type="dxa"/>
            <w:tcBorders>
              <w:left w:val="single" w:sz="8" w:space="0" w:color="000000"/>
            </w:tcBorders>
            <w:shd w:fill="auto" w:val="clear"/>
            <w:tcMar>
              <w:left w:w="160" w:type="dxa"/>
            </w:tcMar>
            <w:vAlign w:val="center"/>
          </w:tcPr>
          <w:p>
            <w:pPr>
              <w:pStyle w:val="TableContents"/>
              <w:spacing w:before="0" w:after="0"/>
              <w:rPr/>
            </w:pPr>
            <w:r>
              <w:rPr/>
              <w:t> </w:t>
            </w:r>
            <w:r>
              <w:rPr>
                <w:rFonts w:ascii="Times New Roman" w:hAnsi="Times New Roman"/>
                <w:sz w:val="18"/>
              </w:rPr>
              <w:t>Adjusted EBITDA (1)</w:t>
            </w:r>
          </w:p>
        </w:tc>
        <w:tc>
          <w:tcPr>
            <w:tcW w:w="87" w:type="dxa"/>
            <w:tcBorders/>
            <w:shd w:fill="auto" w:val="clear"/>
            <w:vAlign w:val="center"/>
          </w:tcPr>
          <w:p>
            <w:pPr>
              <w:pStyle w:val="TableContents"/>
              <w:spacing w:before="0" w:after="283"/>
              <w:rPr/>
            </w:pPr>
            <w:r>
              <w:rPr/>
              <w:t> </w:t>
            </w:r>
          </w:p>
        </w:tc>
        <w:tc>
          <w:tcPr>
            <w:tcW w:w="1167" w:type="dxa"/>
            <w:tcBorders/>
            <w:shd w:fill="auto" w:val="clear"/>
            <w:vAlign w:val="center"/>
          </w:tcPr>
          <w:p>
            <w:pPr>
              <w:pStyle w:val="TableContents"/>
              <w:spacing w:before="0" w:after="283"/>
              <w:jc w:val="center"/>
              <w:rPr/>
            </w:pPr>
            <w:r>
              <w:rPr/>
              <w:t>$1,466</w:t>
            </w:r>
          </w:p>
        </w:tc>
        <w:tc>
          <w:tcPr>
            <w:tcW w:w="87" w:type="dxa"/>
            <w:tcBorders/>
            <w:shd w:fill="auto" w:val="clear"/>
            <w:vAlign w:val="center"/>
          </w:tcPr>
          <w:p>
            <w:pPr>
              <w:pStyle w:val="TableContents"/>
              <w:spacing w:before="0" w:after="283"/>
              <w:rPr/>
            </w:pPr>
            <w:r>
              <w:rPr/>
              <w:t> </w:t>
            </w:r>
          </w:p>
        </w:tc>
        <w:tc>
          <w:tcPr>
            <w:tcW w:w="1167" w:type="dxa"/>
            <w:tcBorders/>
            <w:shd w:fill="auto" w:val="clear"/>
            <w:vAlign w:val="center"/>
          </w:tcPr>
          <w:p>
            <w:pPr>
              <w:pStyle w:val="TableContents"/>
              <w:spacing w:before="0" w:after="283"/>
              <w:jc w:val="center"/>
              <w:rPr/>
            </w:pPr>
            <w:r>
              <w:rPr/>
              <w:t>$1,969</w:t>
            </w:r>
          </w:p>
        </w:tc>
        <w:tc>
          <w:tcPr>
            <w:tcW w:w="87" w:type="dxa"/>
            <w:tcBorders/>
            <w:shd w:fill="auto" w:val="clear"/>
            <w:vAlign w:val="center"/>
          </w:tcPr>
          <w:p>
            <w:pPr>
              <w:pStyle w:val="TableContents"/>
              <w:spacing w:before="0" w:after="283"/>
              <w:rPr/>
            </w:pPr>
            <w:r>
              <w:rPr/>
              <w:t> </w:t>
            </w:r>
          </w:p>
        </w:tc>
        <w:tc>
          <w:tcPr>
            <w:tcW w:w="1248" w:type="dxa"/>
            <w:tcBorders>
              <w:right w:val="single" w:sz="8" w:space="0" w:color="000000"/>
            </w:tcBorders>
            <w:shd w:fill="auto" w:val="clear"/>
            <w:tcMar>
              <w:right w:w="28" w:type="dxa"/>
            </w:tcMar>
            <w:vAlign w:val="center"/>
          </w:tcPr>
          <w:p>
            <w:pPr>
              <w:pStyle w:val="TableContents"/>
              <w:spacing w:before="0" w:after="283"/>
              <w:jc w:val="center"/>
              <w:rPr/>
            </w:pPr>
            <w:r>
              <w:rPr/>
              <w:t>(25.5)%</w:t>
            </w:r>
          </w:p>
        </w:tc>
      </w:tr>
      <w:tr>
        <w:trPr/>
        <w:tc>
          <w:tcPr>
            <w:tcW w:w="6362" w:type="dxa"/>
            <w:tcBorders>
              <w:left w:val="single" w:sz="8" w:space="0" w:color="000000"/>
            </w:tcBorders>
            <w:shd w:fill="CEE8F6" w:val="clear"/>
            <w:tcMar>
              <w:left w:w="160" w:type="dxa"/>
            </w:tcMar>
            <w:vAlign w:val="center"/>
          </w:tcPr>
          <w:p>
            <w:pPr>
              <w:pStyle w:val="TableContents"/>
              <w:spacing w:before="0" w:after="283"/>
              <w:rPr/>
            </w:pPr>
            <w:r>
              <w:rPr/>
              <w:t> </w:t>
            </w:r>
          </w:p>
        </w:tc>
        <w:tc>
          <w:tcPr>
            <w:tcW w:w="1254" w:type="dxa"/>
            <w:gridSpan w:val="2"/>
            <w:tcBorders/>
            <w:shd w:fill="CEE8F6" w:val="clear"/>
            <w:vAlign w:val="center"/>
          </w:tcPr>
          <w:p>
            <w:pPr>
              <w:pStyle w:val="TableContents"/>
              <w:spacing w:before="0" w:after="283"/>
              <w:rPr>
                <w:sz w:val="4"/>
                <w:szCs w:val="4"/>
              </w:rPr>
            </w:pPr>
            <w:r>
              <w:rPr>
                <w:sz w:val="4"/>
                <w:szCs w:val="4"/>
              </w:rPr>
            </w:r>
          </w:p>
        </w:tc>
        <w:tc>
          <w:tcPr>
            <w:tcW w:w="1254" w:type="dxa"/>
            <w:gridSpan w:val="2"/>
            <w:tcBorders/>
            <w:shd w:fill="CEE8F6" w:val="clear"/>
            <w:vAlign w:val="center"/>
          </w:tcPr>
          <w:p>
            <w:pPr>
              <w:pStyle w:val="TableContents"/>
              <w:spacing w:before="0" w:after="283"/>
              <w:rPr>
                <w:sz w:val="4"/>
                <w:szCs w:val="4"/>
              </w:rPr>
            </w:pPr>
            <w:r>
              <w:rPr>
                <w:sz w:val="4"/>
                <w:szCs w:val="4"/>
              </w:rPr>
            </w:r>
          </w:p>
        </w:tc>
        <w:tc>
          <w:tcPr>
            <w:tcW w:w="1335" w:type="dxa"/>
            <w:gridSpan w:val="2"/>
            <w:tcBorders>
              <w:right w:val="single" w:sz="8" w:space="0" w:color="000000"/>
            </w:tcBorders>
            <w:shd w:fill="CEE8F6" w:val="clear"/>
            <w:tcMar>
              <w:right w:w="28" w:type="dxa"/>
            </w:tcMar>
            <w:vAlign w:val="center"/>
          </w:tcPr>
          <w:p>
            <w:pPr>
              <w:pStyle w:val="TableContents"/>
              <w:spacing w:before="0" w:after="283"/>
              <w:rPr/>
            </w:pPr>
            <w:r>
              <w:rPr/>
              <w:t> </w:t>
            </w:r>
          </w:p>
        </w:tc>
      </w:tr>
      <w:tr>
        <w:trPr/>
        <w:tc>
          <w:tcPr>
            <w:tcW w:w="6362" w:type="dxa"/>
            <w:tcBorders>
              <w:left w:val="single" w:sz="8" w:space="0" w:color="000000"/>
            </w:tcBorders>
            <w:shd w:fill="CEE8F6" w:val="clear"/>
            <w:tcMar>
              <w:left w:w="160" w:type="dxa"/>
            </w:tcMar>
            <w:vAlign w:val="center"/>
          </w:tcPr>
          <w:p>
            <w:pPr>
              <w:pStyle w:val="TableContents"/>
              <w:spacing w:before="0" w:after="0"/>
              <w:rPr/>
            </w:pPr>
            <w:r>
              <w:rPr/>
              <w:t> </w:t>
            </w:r>
            <w:r>
              <w:rPr>
                <w:rFonts w:ascii="Times New Roman" w:hAnsi="Times New Roman"/>
                <w:sz w:val="18"/>
              </w:rPr>
              <w:t>Adjusted EBITDA as a % of net operating revenues (1)</w:t>
            </w:r>
          </w:p>
        </w:tc>
        <w:tc>
          <w:tcPr>
            <w:tcW w:w="87" w:type="dxa"/>
            <w:tcBorders/>
            <w:shd w:fill="CEE8F6" w:val="clear"/>
            <w:vAlign w:val="center"/>
          </w:tcPr>
          <w:p>
            <w:pPr>
              <w:pStyle w:val="TableContents"/>
              <w:spacing w:before="0" w:after="283"/>
              <w:rPr/>
            </w:pPr>
            <w:r>
              <w:rPr/>
              <w:t> </w:t>
            </w:r>
          </w:p>
        </w:tc>
        <w:tc>
          <w:tcPr>
            <w:tcW w:w="1167" w:type="dxa"/>
            <w:tcBorders/>
            <w:shd w:fill="CEE8F6" w:val="clear"/>
            <w:vAlign w:val="center"/>
          </w:tcPr>
          <w:p>
            <w:pPr>
              <w:pStyle w:val="TableContents"/>
              <w:spacing w:before="0" w:after="283"/>
              <w:jc w:val="center"/>
              <w:rPr/>
            </w:pPr>
            <w:r>
              <w:rPr/>
              <w:t>12.0%</w:t>
            </w:r>
          </w:p>
        </w:tc>
        <w:tc>
          <w:tcPr>
            <w:tcW w:w="87" w:type="dxa"/>
            <w:tcBorders/>
            <w:shd w:fill="CEE8F6" w:val="clear"/>
            <w:vAlign w:val="center"/>
          </w:tcPr>
          <w:p>
            <w:pPr>
              <w:pStyle w:val="TableContents"/>
              <w:spacing w:before="0" w:after="283"/>
              <w:rPr/>
            </w:pPr>
            <w:r>
              <w:rPr/>
              <w:t> </w:t>
            </w:r>
          </w:p>
        </w:tc>
        <w:tc>
          <w:tcPr>
            <w:tcW w:w="1167" w:type="dxa"/>
            <w:tcBorders/>
            <w:shd w:fill="CEE8F6" w:val="clear"/>
            <w:vAlign w:val="center"/>
          </w:tcPr>
          <w:p>
            <w:pPr>
              <w:pStyle w:val="TableContents"/>
              <w:spacing w:before="0" w:after="283"/>
              <w:jc w:val="center"/>
              <w:rPr/>
            </w:pPr>
            <w:r>
              <w:rPr/>
              <w:t>15.9%</w:t>
            </w:r>
          </w:p>
        </w:tc>
        <w:tc>
          <w:tcPr>
            <w:tcW w:w="87" w:type="dxa"/>
            <w:tcBorders/>
            <w:shd w:fill="CEE8F6" w:val="clear"/>
            <w:vAlign w:val="center"/>
          </w:tcPr>
          <w:p>
            <w:pPr>
              <w:pStyle w:val="TableContents"/>
              <w:spacing w:before="0" w:after="283"/>
              <w:rPr/>
            </w:pPr>
            <w:r>
              <w:rPr/>
              <w:t> </w:t>
            </w:r>
          </w:p>
        </w:tc>
        <w:tc>
          <w:tcPr>
            <w:tcW w:w="1248" w:type="dxa"/>
            <w:tcBorders>
              <w:right w:val="single" w:sz="8" w:space="0" w:color="000000"/>
            </w:tcBorders>
            <w:shd w:fill="CEE8F6" w:val="clear"/>
            <w:tcMar>
              <w:right w:w="28" w:type="dxa"/>
            </w:tcMar>
            <w:vAlign w:val="center"/>
          </w:tcPr>
          <w:p>
            <w:pPr>
              <w:pStyle w:val="TableContents"/>
              <w:spacing w:before="0" w:after="283"/>
              <w:rPr/>
            </w:pPr>
            <w:r>
              <w:rPr/>
              <w:t> </w:t>
            </w:r>
          </w:p>
        </w:tc>
      </w:tr>
      <w:tr>
        <w:trPr/>
        <w:tc>
          <w:tcPr>
            <w:tcW w:w="6362" w:type="dxa"/>
            <w:tcBorders>
              <w:left w:val="single" w:sz="8" w:space="0" w:color="000000"/>
            </w:tcBorders>
            <w:shd w:fill="auto" w:val="clear"/>
            <w:tcMar>
              <w:left w:w="160" w:type="dxa"/>
            </w:tcMar>
            <w:vAlign w:val="center"/>
          </w:tcPr>
          <w:p>
            <w:pPr>
              <w:pStyle w:val="TableContents"/>
              <w:spacing w:before="0" w:after="283"/>
              <w:rPr/>
            </w:pPr>
            <w:r>
              <w:rPr/>
              <w:t> </w:t>
            </w:r>
          </w:p>
        </w:tc>
        <w:tc>
          <w:tcPr>
            <w:tcW w:w="1254" w:type="dxa"/>
            <w:gridSpan w:val="2"/>
            <w:tcBorders/>
            <w:shd w:fill="auto" w:val="clear"/>
            <w:vAlign w:val="center"/>
          </w:tcPr>
          <w:p>
            <w:pPr>
              <w:pStyle w:val="TableContents"/>
              <w:spacing w:before="0" w:after="283"/>
              <w:rPr>
                <w:sz w:val="4"/>
                <w:szCs w:val="4"/>
              </w:rPr>
            </w:pPr>
            <w:r>
              <w:rPr>
                <w:sz w:val="4"/>
                <w:szCs w:val="4"/>
              </w:rPr>
            </w:r>
          </w:p>
        </w:tc>
        <w:tc>
          <w:tcPr>
            <w:tcW w:w="1254" w:type="dxa"/>
            <w:gridSpan w:val="2"/>
            <w:tcBorders/>
            <w:shd w:fill="auto" w:val="clear"/>
            <w:vAlign w:val="center"/>
          </w:tcPr>
          <w:p>
            <w:pPr>
              <w:pStyle w:val="TableContents"/>
              <w:spacing w:before="0" w:after="283"/>
              <w:rPr>
                <w:sz w:val="4"/>
                <w:szCs w:val="4"/>
              </w:rPr>
            </w:pPr>
            <w:r>
              <w:rPr>
                <w:sz w:val="4"/>
                <w:szCs w:val="4"/>
              </w:rPr>
            </w:r>
          </w:p>
        </w:tc>
        <w:tc>
          <w:tcPr>
            <w:tcW w:w="1335" w:type="dxa"/>
            <w:gridSpan w:val="2"/>
            <w:tcBorders>
              <w:right w:val="single" w:sz="8" w:space="0" w:color="000000"/>
            </w:tcBorders>
            <w:shd w:fill="auto" w:val="clear"/>
            <w:tcMar>
              <w:right w:w="28" w:type="dxa"/>
            </w:tcMar>
            <w:vAlign w:val="center"/>
          </w:tcPr>
          <w:p>
            <w:pPr>
              <w:pStyle w:val="TableContents"/>
              <w:spacing w:before="0" w:after="283"/>
              <w:rPr/>
            </w:pPr>
            <w:r>
              <w:rPr/>
              <w:t> </w:t>
            </w:r>
          </w:p>
        </w:tc>
      </w:tr>
      <w:tr>
        <w:trPr/>
        <w:tc>
          <w:tcPr>
            <w:tcW w:w="6362" w:type="dxa"/>
            <w:tcBorders>
              <w:left w:val="single" w:sz="8" w:space="0" w:color="000000"/>
            </w:tcBorders>
            <w:shd w:fill="auto" w:val="clear"/>
            <w:tcMar>
              <w:left w:w="160" w:type="dxa"/>
            </w:tcMar>
            <w:vAlign w:val="center"/>
          </w:tcPr>
          <w:p>
            <w:pPr>
              <w:pStyle w:val="TableContents"/>
              <w:spacing w:before="0" w:after="0"/>
              <w:rPr/>
            </w:pPr>
            <w:r>
              <w:rPr/>
              <w:t> </w:t>
            </w:r>
            <w:r>
              <w:rPr>
                <w:rFonts w:ascii="Times New Roman" w:hAnsi="Times New Roman"/>
                <w:sz w:val="18"/>
              </w:rPr>
              <w:t>Cash Flows from Operations</w:t>
            </w:r>
          </w:p>
        </w:tc>
        <w:tc>
          <w:tcPr>
            <w:tcW w:w="87" w:type="dxa"/>
            <w:tcBorders/>
            <w:shd w:fill="auto" w:val="clear"/>
            <w:vAlign w:val="center"/>
          </w:tcPr>
          <w:p>
            <w:pPr>
              <w:pStyle w:val="TableContents"/>
              <w:spacing w:before="0" w:after="283"/>
              <w:rPr/>
            </w:pPr>
            <w:r>
              <w:rPr/>
              <w:t> </w:t>
            </w:r>
          </w:p>
        </w:tc>
        <w:tc>
          <w:tcPr>
            <w:tcW w:w="1167" w:type="dxa"/>
            <w:tcBorders/>
            <w:shd w:fill="auto" w:val="clear"/>
            <w:vAlign w:val="center"/>
          </w:tcPr>
          <w:p>
            <w:pPr>
              <w:pStyle w:val="TableContents"/>
              <w:spacing w:before="0" w:after="283"/>
              <w:jc w:val="center"/>
              <w:rPr/>
            </w:pPr>
            <w:r>
              <w:rPr/>
              <w:t>$300</w:t>
            </w:r>
          </w:p>
        </w:tc>
        <w:tc>
          <w:tcPr>
            <w:tcW w:w="87" w:type="dxa"/>
            <w:tcBorders/>
            <w:shd w:fill="auto" w:val="clear"/>
            <w:vAlign w:val="center"/>
          </w:tcPr>
          <w:p>
            <w:pPr>
              <w:pStyle w:val="TableContents"/>
              <w:spacing w:before="0" w:after="283"/>
              <w:rPr/>
            </w:pPr>
            <w:r>
              <w:rPr/>
              <w:t> </w:t>
            </w:r>
          </w:p>
        </w:tc>
        <w:tc>
          <w:tcPr>
            <w:tcW w:w="1167" w:type="dxa"/>
            <w:tcBorders/>
            <w:shd w:fill="auto" w:val="clear"/>
            <w:vAlign w:val="center"/>
          </w:tcPr>
          <w:p>
            <w:pPr>
              <w:pStyle w:val="TableContents"/>
              <w:spacing w:before="0" w:after="283"/>
              <w:jc w:val="center"/>
              <w:rPr/>
            </w:pPr>
            <w:r>
              <w:rPr/>
              <w:t>$(131)</w:t>
            </w:r>
          </w:p>
        </w:tc>
        <w:tc>
          <w:tcPr>
            <w:tcW w:w="87" w:type="dxa"/>
            <w:tcBorders/>
            <w:shd w:fill="auto" w:val="clear"/>
            <w:vAlign w:val="center"/>
          </w:tcPr>
          <w:p>
            <w:pPr>
              <w:pStyle w:val="TableContents"/>
              <w:spacing w:before="0" w:after="283"/>
              <w:rPr/>
            </w:pPr>
            <w:r>
              <w:rPr/>
              <w:t> </w:t>
            </w:r>
          </w:p>
        </w:tc>
        <w:tc>
          <w:tcPr>
            <w:tcW w:w="1248" w:type="dxa"/>
            <w:tcBorders>
              <w:right w:val="single" w:sz="8" w:space="0" w:color="000000"/>
            </w:tcBorders>
            <w:shd w:fill="auto" w:val="clear"/>
            <w:tcMar>
              <w:right w:w="28" w:type="dxa"/>
            </w:tcMar>
            <w:vAlign w:val="center"/>
          </w:tcPr>
          <w:p>
            <w:pPr>
              <w:pStyle w:val="TableContents"/>
              <w:spacing w:before="0" w:after="283"/>
              <w:jc w:val="center"/>
              <w:rPr/>
            </w:pPr>
            <w:r>
              <w:rPr/>
              <w:t>329.0%</w:t>
            </w:r>
          </w:p>
        </w:tc>
      </w:tr>
      <w:tr>
        <w:trPr/>
        <w:tc>
          <w:tcPr>
            <w:tcW w:w="6362" w:type="dxa"/>
            <w:tcBorders>
              <w:left w:val="single" w:sz="8" w:space="0" w:color="000000"/>
            </w:tcBorders>
            <w:shd w:fill="CEE8F6" w:val="clear"/>
            <w:tcMar>
              <w:left w:w="160" w:type="dxa"/>
            </w:tcMar>
            <w:vAlign w:val="center"/>
          </w:tcPr>
          <w:p>
            <w:pPr>
              <w:pStyle w:val="TableContents"/>
              <w:spacing w:before="0" w:after="283"/>
              <w:rPr/>
            </w:pPr>
            <w:r>
              <w:rPr/>
              <w:t> </w:t>
            </w:r>
          </w:p>
        </w:tc>
        <w:tc>
          <w:tcPr>
            <w:tcW w:w="1254" w:type="dxa"/>
            <w:gridSpan w:val="2"/>
            <w:tcBorders/>
            <w:shd w:fill="CEE8F6" w:val="clear"/>
            <w:vAlign w:val="center"/>
          </w:tcPr>
          <w:p>
            <w:pPr>
              <w:pStyle w:val="TableContents"/>
              <w:spacing w:before="0" w:after="283"/>
              <w:rPr>
                <w:sz w:val="4"/>
                <w:szCs w:val="4"/>
              </w:rPr>
            </w:pPr>
            <w:r>
              <w:rPr>
                <w:sz w:val="4"/>
                <w:szCs w:val="4"/>
              </w:rPr>
            </w:r>
          </w:p>
        </w:tc>
        <w:tc>
          <w:tcPr>
            <w:tcW w:w="1254" w:type="dxa"/>
            <w:gridSpan w:val="2"/>
            <w:tcBorders/>
            <w:shd w:fill="CEE8F6" w:val="clear"/>
            <w:vAlign w:val="center"/>
          </w:tcPr>
          <w:p>
            <w:pPr>
              <w:pStyle w:val="TableContents"/>
              <w:spacing w:before="0" w:after="283"/>
              <w:rPr>
                <w:sz w:val="4"/>
                <w:szCs w:val="4"/>
              </w:rPr>
            </w:pPr>
            <w:r>
              <w:rPr>
                <w:sz w:val="4"/>
                <w:szCs w:val="4"/>
              </w:rPr>
            </w:r>
          </w:p>
        </w:tc>
        <w:tc>
          <w:tcPr>
            <w:tcW w:w="1335" w:type="dxa"/>
            <w:gridSpan w:val="2"/>
            <w:tcBorders>
              <w:right w:val="single" w:sz="8" w:space="0" w:color="000000"/>
            </w:tcBorders>
            <w:shd w:fill="CEE8F6" w:val="clear"/>
            <w:tcMar>
              <w:right w:w="28" w:type="dxa"/>
            </w:tcMar>
            <w:vAlign w:val="center"/>
          </w:tcPr>
          <w:p>
            <w:pPr>
              <w:pStyle w:val="TableContents"/>
              <w:spacing w:before="0" w:after="283"/>
              <w:rPr/>
            </w:pPr>
            <w:r>
              <w:rPr/>
              <w:t> </w:t>
            </w:r>
          </w:p>
        </w:tc>
      </w:tr>
      <w:tr>
        <w:trPr/>
        <w:tc>
          <w:tcPr>
            <w:tcW w:w="6362" w:type="dxa"/>
            <w:tcBorders>
              <w:left w:val="single" w:sz="8" w:space="0" w:color="000000"/>
            </w:tcBorders>
            <w:shd w:fill="CEE8F6" w:val="clear"/>
            <w:tcMar>
              <w:left w:w="160" w:type="dxa"/>
            </w:tcMar>
            <w:vAlign w:val="center"/>
          </w:tcPr>
          <w:p>
            <w:pPr>
              <w:pStyle w:val="TableContents"/>
              <w:spacing w:before="0" w:after="0"/>
              <w:rPr/>
            </w:pPr>
            <w:r>
              <w:rPr/>
              <w:t> </w:t>
            </w:r>
            <w:r>
              <w:rPr>
                <w:rFonts w:ascii="Times New Roman" w:hAnsi="Times New Roman"/>
                <w:sz w:val="18"/>
              </w:rPr>
              <w:t>Earnings per Diluted Share, as reported</w:t>
            </w:r>
          </w:p>
        </w:tc>
        <w:tc>
          <w:tcPr>
            <w:tcW w:w="87" w:type="dxa"/>
            <w:tcBorders/>
            <w:shd w:fill="CEE8F6" w:val="clear"/>
            <w:vAlign w:val="center"/>
          </w:tcPr>
          <w:p>
            <w:pPr>
              <w:pStyle w:val="TableContents"/>
              <w:spacing w:before="0" w:after="283"/>
              <w:rPr/>
            </w:pPr>
            <w:r>
              <w:rPr/>
              <w:t> </w:t>
            </w:r>
          </w:p>
        </w:tc>
        <w:tc>
          <w:tcPr>
            <w:tcW w:w="1167" w:type="dxa"/>
            <w:tcBorders/>
            <w:shd w:fill="CEE8F6" w:val="clear"/>
            <w:vAlign w:val="center"/>
          </w:tcPr>
          <w:p>
            <w:pPr>
              <w:pStyle w:val="TableContents"/>
              <w:spacing w:before="0" w:after="283"/>
              <w:jc w:val="center"/>
              <w:rPr/>
            </w:pPr>
            <w:r>
              <w:rPr/>
              <w:t>$0.35</w:t>
            </w:r>
          </w:p>
        </w:tc>
        <w:tc>
          <w:tcPr>
            <w:tcW w:w="87" w:type="dxa"/>
            <w:tcBorders/>
            <w:shd w:fill="CEE8F6" w:val="clear"/>
            <w:vAlign w:val="center"/>
          </w:tcPr>
          <w:p>
            <w:pPr>
              <w:pStyle w:val="TableContents"/>
              <w:spacing w:before="0" w:after="283"/>
              <w:rPr/>
            </w:pPr>
            <w:r>
              <w:rPr/>
              <w:t> </w:t>
            </w:r>
          </w:p>
        </w:tc>
        <w:tc>
          <w:tcPr>
            <w:tcW w:w="1167" w:type="dxa"/>
            <w:tcBorders/>
            <w:shd w:fill="CEE8F6" w:val="clear"/>
            <w:vAlign w:val="center"/>
          </w:tcPr>
          <w:p>
            <w:pPr>
              <w:pStyle w:val="TableContents"/>
              <w:spacing w:before="0" w:after="283"/>
              <w:jc w:val="center"/>
              <w:rPr/>
            </w:pPr>
            <w:r>
              <w:rPr/>
              <w:t>$1.76</w:t>
            </w:r>
          </w:p>
        </w:tc>
        <w:tc>
          <w:tcPr>
            <w:tcW w:w="87" w:type="dxa"/>
            <w:tcBorders/>
            <w:shd w:fill="CEE8F6" w:val="clear"/>
            <w:vAlign w:val="center"/>
          </w:tcPr>
          <w:p>
            <w:pPr>
              <w:pStyle w:val="TableContents"/>
              <w:spacing w:before="0" w:after="283"/>
              <w:rPr/>
            </w:pPr>
            <w:r>
              <w:rPr/>
              <w:t> </w:t>
            </w:r>
          </w:p>
        </w:tc>
        <w:tc>
          <w:tcPr>
            <w:tcW w:w="1248" w:type="dxa"/>
            <w:tcBorders>
              <w:right w:val="single" w:sz="8" w:space="0" w:color="000000"/>
            </w:tcBorders>
            <w:shd w:fill="CEE8F6" w:val="clear"/>
            <w:tcMar>
              <w:right w:w="28" w:type="dxa"/>
            </w:tcMar>
            <w:vAlign w:val="center"/>
          </w:tcPr>
          <w:p>
            <w:pPr>
              <w:pStyle w:val="TableContents"/>
              <w:spacing w:before="0" w:after="283"/>
              <w:jc w:val="center"/>
              <w:rPr/>
            </w:pPr>
            <w:r>
              <w:rPr/>
              <w:t>(80.1)%</w:t>
            </w:r>
          </w:p>
        </w:tc>
      </w:tr>
      <w:tr>
        <w:trPr/>
        <w:tc>
          <w:tcPr>
            <w:tcW w:w="6362" w:type="dxa"/>
            <w:tcBorders>
              <w:left w:val="single" w:sz="8" w:space="0" w:color="000000"/>
            </w:tcBorders>
            <w:shd w:fill="auto" w:val="clear"/>
            <w:tcMar>
              <w:left w:w="160" w:type="dxa"/>
            </w:tcMar>
            <w:vAlign w:val="center"/>
          </w:tcPr>
          <w:p>
            <w:pPr>
              <w:pStyle w:val="TableContents"/>
              <w:spacing w:before="0" w:after="283"/>
              <w:rPr/>
            </w:pPr>
            <w:r>
              <w:rPr/>
              <w:t> </w:t>
            </w:r>
          </w:p>
        </w:tc>
        <w:tc>
          <w:tcPr>
            <w:tcW w:w="1254" w:type="dxa"/>
            <w:gridSpan w:val="2"/>
            <w:tcBorders/>
            <w:shd w:fill="auto" w:val="clear"/>
            <w:vAlign w:val="center"/>
          </w:tcPr>
          <w:p>
            <w:pPr>
              <w:pStyle w:val="TableContents"/>
              <w:spacing w:before="0" w:after="283"/>
              <w:rPr>
                <w:sz w:val="4"/>
                <w:szCs w:val="4"/>
              </w:rPr>
            </w:pPr>
            <w:r>
              <w:rPr>
                <w:sz w:val="4"/>
                <w:szCs w:val="4"/>
              </w:rPr>
            </w:r>
          </w:p>
        </w:tc>
        <w:tc>
          <w:tcPr>
            <w:tcW w:w="1254" w:type="dxa"/>
            <w:gridSpan w:val="2"/>
            <w:tcBorders/>
            <w:shd w:fill="auto" w:val="clear"/>
            <w:vAlign w:val="center"/>
          </w:tcPr>
          <w:p>
            <w:pPr>
              <w:pStyle w:val="TableContents"/>
              <w:spacing w:before="0" w:after="283"/>
              <w:rPr>
                <w:sz w:val="4"/>
                <w:szCs w:val="4"/>
              </w:rPr>
            </w:pPr>
            <w:r>
              <w:rPr>
                <w:sz w:val="4"/>
                <w:szCs w:val="4"/>
              </w:rPr>
            </w:r>
          </w:p>
        </w:tc>
        <w:tc>
          <w:tcPr>
            <w:tcW w:w="1335" w:type="dxa"/>
            <w:gridSpan w:val="2"/>
            <w:tcBorders>
              <w:right w:val="single" w:sz="8" w:space="0" w:color="000000"/>
            </w:tcBorders>
            <w:shd w:fill="auto" w:val="clear"/>
            <w:tcMar>
              <w:right w:w="28" w:type="dxa"/>
            </w:tcMar>
            <w:vAlign w:val="center"/>
          </w:tcPr>
          <w:p>
            <w:pPr>
              <w:pStyle w:val="TableContents"/>
              <w:spacing w:before="0" w:after="283"/>
              <w:rPr/>
            </w:pPr>
            <w:r>
              <w:rPr/>
              <w:t> </w:t>
            </w:r>
          </w:p>
        </w:tc>
      </w:tr>
      <w:tr>
        <w:trPr/>
        <w:tc>
          <w:tcPr>
            <w:tcW w:w="6362" w:type="dxa"/>
            <w:tcBorders>
              <w:left w:val="single" w:sz="8" w:space="0" w:color="000000"/>
            </w:tcBorders>
            <w:shd w:fill="auto" w:val="clear"/>
            <w:tcMar>
              <w:left w:w="160" w:type="dxa"/>
            </w:tcMar>
            <w:vAlign w:val="center"/>
          </w:tcPr>
          <w:p>
            <w:pPr>
              <w:pStyle w:val="TableContents"/>
              <w:spacing w:before="0" w:after="0"/>
              <w:rPr/>
            </w:pPr>
            <w:r>
              <w:rPr/>
              <w:t> </w:t>
            </w:r>
            <w:r>
              <w:rPr>
                <w:rFonts w:ascii="Times New Roman" w:hAnsi="Times New Roman"/>
                <w:sz w:val="18"/>
              </w:rPr>
              <w:t>Earnings per Diluted Share, excluding Adjustments (1)</w:t>
            </w:r>
          </w:p>
        </w:tc>
        <w:tc>
          <w:tcPr>
            <w:tcW w:w="87" w:type="dxa"/>
            <w:tcBorders/>
            <w:shd w:fill="auto" w:val="clear"/>
            <w:vAlign w:val="center"/>
          </w:tcPr>
          <w:p>
            <w:pPr>
              <w:pStyle w:val="TableContents"/>
              <w:spacing w:before="0" w:after="283"/>
              <w:rPr/>
            </w:pPr>
            <w:r>
              <w:rPr/>
              <w:t> </w:t>
            </w:r>
          </w:p>
        </w:tc>
        <w:tc>
          <w:tcPr>
            <w:tcW w:w="1167" w:type="dxa"/>
            <w:tcBorders/>
            <w:shd w:fill="auto" w:val="clear"/>
            <w:vAlign w:val="center"/>
          </w:tcPr>
          <w:p>
            <w:pPr>
              <w:pStyle w:val="TableContents"/>
              <w:spacing w:before="0" w:after="283"/>
              <w:jc w:val="center"/>
              <w:rPr/>
            </w:pPr>
            <w:r>
              <w:rPr/>
              <w:t>$(1.38)</w:t>
            </w:r>
          </w:p>
        </w:tc>
        <w:tc>
          <w:tcPr>
            <w:tcW w:w="87" w:type="dxa"/>
            <w:tcBorders/>
            <w:shd w:fill="auto" w:val="clear"/>
            <w:vAlign w:val="center"/>
          </w:tcPr>
          <w:p>
            <w:pPr>
              <w:pStyle w:val="TableContents"/>
              <w:spacing w:before="0" w:after="283"/>
              <w:rPr/>
            </w:pPr>
            <w:r>
              <w:rPr/>
              <w:t> </w:t>
            </w:r>
          </w:p>
        </w:tc>
        <w:tc>
          <w:tcPr>
            <w:tcW w:w="1167" w:type="dxa"/>
            <w:tcBorders/>
            <w:shd w:fill="auto" w:val="clear"/>
            <w:vAlign w:val="center"/>
          </w:tcPr>
          <w:p>
            <w:pPr>
              <w:pStyle w:val="TableContents"/>
              <w:spacing w:before="0" w:after="283"/>
              <w:jc w:val="center"/>
              <w:rPr/>
            </w:pPr>
            <w:r>
              <w:rPr/>
              <w:t>$2.45</w:t>
            </w:r>
          </w:p>
        </w:tc>
        <w:tc>
          <w:tcPr>
            <w:tcW w:w="87" w:type="dxa"/>
            <w:tcBorders/>
            <w:shd w:fill="auto" w:val="clear"/>
            <w:vAlign w:val="center"/>
          </w:tcPr>
          <w:p>
            <w:pPr>
              <w:pStyle w:val="TableContents"/>
              <w:spacing w:before="0" w:after="283"/>
              <w:rPr/>
            </w:pPr>
            <w:r>
              <w:rPr/>
              <w:t> </w:t>
            </w:r>
          </w:p>
        </w:tc>
        <w:tc>
          <w:tcPr>
            <w:tcW w:w="1248" w:type="dxa"/>
            <w:tcBorders>
              <w:right w:val="single" w:sz="8" w:space="0" w:color="000000"/>
            </w:tcBorders>
            <w:shd w:fill="auto" w:val="clear"/>
            <w:tcMar>
              <w:right w:w="28" w:type="dxa"/>
            </w:tcMar>
            <w:vAlign w:val="center"/>
          </w:tcPr>
          <w:p>
            <w:pPr>
              <w:pStyle w:val="TableContents"/>
              <w:spacing w:before="0" w:after="283"/>
              <w:jc w:val="center"/>
              <w:rPr/>
            </w:pPr>
            <w:r>
              <w:rPr/>
              <w:t>(177.5)%</w:t>
            </w:r>
          </w:p>
        </w:tc>
      </w:tr>
      <w:tr>
        <w:trPr/>
        <w:tc>
          <w:tcPr>
            <w:tcW w:w="6362" w:type="dxa"/>
            <w:tcBorders>
              <w:left w:val="single" w:sz="8" w:space="0" w:color="000000"/>
            </w:tcBorders>
            <w:shd w:fill="CEE8F6" w:val="clear"/>
            <w:tcMar>
              <w:left w:w="160" w:type="dxa"/>
            </w:tcMar>
            <w:vAlign w:val="center"/>
          </w:tcPr>
          <w:p>
            <w:pPr>
              <w:pStyle w:val="TableContents"/>
              <w:spacing w:before="0" w:after="283"/>
              <w:rPr/>
            </w:pPr>
            <w:r>
              <w:rPr/>
              <w:t> </w:t>
            </w:r>
          </w:p>
        </w:tc>
        <w:tc>
          <w:tcPr>
            <w:tcW w:w="1254" w:type="dxa"/>
            <w:gridSpan w:val="2"/>
            <w:tcBorders/>
            <w:shd w:fill="CEE8F6" w:val="clear"/>
            <w:vAlign w:val="center"/>
          </w:tcPr>
          <w:p>
            <w:pPr>
              <w:pStyle w:val="TableContents"/>
              <w:spacing w:before="0" w:after="283"/>
              <w:rPr>
                <w:sz w:val="4"/>
                <w:szCs w:val="4"/>
              </w:rPr>
            </w:pPr>
            <w:r>
              <w:rPr>
                <w:sz w:val="4"/>
                <w:szCs w:val="4"/>
              </w:rPr>
            </w:r>
          </w:p>
        </w:tc>
        <w:tc>
          <w:tcPr>
            <w:tcW w:w="1254" w:type="dxa"/>
            <w:gridSpan w:val="2"/>
            <w:tcBorders/>
            <w:shd w:fill="CEE8F6" w:val="clear"/>
            <w:vAlign w:val="center"/>
          </w:tcPr>
          <w:p>
            <w:pPr>
              <w:pStyle w:val="TableContents"/>
              <w:spacing w:before="0" w:after="283"/>
              <w:rPr>
                <w:sz w:val="4"/>
                <w:szCs w:val="4"/>
              </w:rPr>
            </w:pPr>
            <w:r>
              <w:rPr>
                <w:sz w:val="4"/>
                <w:szCs w:val="4"/>
              </w:rPr>
            </w:r>
          </w:p>
        </w:tc>
        <w:tc>
          <w:tcPr>
            <w:tcW w:w="1335" w:type="dxa"/>
            <w:gridSpan w:val="2"/>
            <w:tcBorders>
              <w:right w:val="single" w:sz="8" w:space="0" w:color="000000"/>
            </w:tcBorders>
            <w:shd w:fill="CEE8F6" w:val="clear"/>
            <w:tcMar>
              <w:right w:w="28" w:type="dxa"/>
            </w:tcMar>
            <w:vAlign w:val="center"/>
          </w:tcPr>
          <w:p>
            <w:pPr>
              <w:pStyle w:val="TableContents"/>
              <w:spacing w:before="0" w:after="283"/>
              <w:rPr/>
            </w:pPr>
            <w:r>
              <w:rPr/>
              <w:t> </w:t>
            </w:r>
          </w:p>
        </w:tc>
      </w:tr>
      <w:tr>
        <w:trPr/>
        <w:tc>
          <w:tcPr>
            <w:tcW w:w="6362" w:type="dxa"/>
            <w:tcBorders>
              <w:left w:val="single" w:sz="8" w:space="0" w:color="000000"/>
              <w:bottom w:val="single" w:sz="8" w:space="0" w:color="000000"/>
            </w:tcBorders>
            <w:shd w:fill="CEE8F6" w:val="clear"/>
            <w:tcMar>
              <w:left w:w="160" w:type="dxa"/>
              <w:bottom w:w="60" w:type="dxa"/>
            </w:tcMar>
            <w:vAlign w:val="center"/>
          </w:tcPr>
          <w:p>
            <w:pPr>
              <w:pStyle w:val="TableContents"/>
              <w:spacing w:before="0" w:after="0"/>
              <w:rPr/>
            </w:pPr>
            <w:r>
              <w:rPr/>
              <w:t> </w:t>
            </w:r>
            <w:r>
              <w:rPr>
                <w:rFonts w:ascii="Times New Roman" w:hAnsi="Times New Roman"/>
                <w:sz w:val="18"/>
              </w:rPr>
              <w:t>Stock Price as of December 31</w:t>
            </w:r>
          </w:p>
        </w:tc>
        <w:tc>
          <w:tcPr>
            <w:tcW w:w="87" w:type="dxa"/>
            <w:tcBorders>
              <w:bottom w:val="single" w:sz="8" w:space="0" w:color="000000"/>
            </w:tcBorders>
            <w:shd w:fill="CEE8F6" w:val="clear"/>
            <w:tcMar>
              <w:bottom w:w="28" w:type="dxa"/>
            </w:tcMar>
            <w:vAlign w:val="center"/>
          </w:tcPr>
          <w:p>
            <w:pPr>
              <w:pStyle w:val="TableContents"/>
              <w:spacing w:before="0" w:after="283"/>
              <w:rPr/>
            </w:pPr>
            <w:r>
              <w:rPr/>
              <w:t> </w:t>
            </w:r>
          </w:p>
        </w:tc>
        <w:tc>
          <w:tcPr>
            <w:tcW w:w="1167" w:type="dxa"/>
            <w:tcBorders>
              <w:bottom w:val="single" w:sz="8" w:space="0" w:color="000000"/>
            </w:tcBorders>
            <w:shd w:fill="CEE8F6" w:val="clear"/>
            <w:tcMar>
              <w:bottom w:w="60" w:type="dxa"/>
            </w:tcMar>
            <w:vAlign w:val="center"/>
          </w:tcPr>
          <w:p>
            <w:pPr>
              <w:pStyle w:val="TableContents"/>
              <w:spacing w:before="0" w:after="283"/>
              <w:jc w:val="center"/>
              <w:rPr/>
            </w:pPr>
            <w:r>
              <w:rPr/>
              <w:t>$4.32</w:t>
            </w:r>
          </w:p>
        </w:tc>
        <w:tc>
          <w:tcPr>
            <w:tcW w:w="87" w:type="dxa"/>
            <w:tcBorders>
              <w:bottom w:val="single" w:sz="8" w:space="0" w:color="000000"/>
            </w:tcBorders>
            <w:shd w:fill="CEE8F6" w:val="clear"/>
            <w:tcMar>
              <w:bottom w:w="28" w:type="dxa"/>
            </w:tcMar>
            <w:vAlign w:val="center"/>
          </w:tcPr>
          <w:p>
            <w:pPr>
              <w:pStyle w:val="TableContents"/>
              <w:spacing w:before="0" w:after="283"/>
              <w:rPr/>
            </w:pPr>
            <w:r>
              <w:rPr/>
              <w:t> </w:t>
            </w:r>
          </w:p>
        </w:tc>
        <w:tc>
          <w:tcPr>
            <w:tcW w:w="1167" w:type="dxa"/>
            <w:tcBorders>
              <w:bottom w:val="single" w:sz="8" w:space="0" w:color="000000"/>
            </w:tcBorders>
            <w:shd w:fill="CEE8F6" w:val="clear"/>
            <w:tcMar>
              <w:bottom w:w="60" w:type="dxa"/>
            </w:tcMar>
            <w:vAlign w:val="center"/>
          </w:tcPr>
          <w:p>
            <w:pPr>
              <w:pStyle w:val="TableContents"/>
              <w:spacing w:before="0" w:after="283"/>
              <w:jc w:val="center"/>
              <w:rPr/>
            </w:pPr>
            <w:r>
              <w:rPr/>
              <w:t>$13.31</w:t>
            </w:r>
          </w:p>
        </w:tc>
        <w:tc>
          <w:tcPr>
            <w:tcW w:w="87" w:type="dxa"/>
            <w:tcBorders>
              <w:bottom w:val="single" w:sz="8" w:space="0" w:color="000000"/>
            </w:tcBorders>
            <w:shd w:fill="CEE8F6" w:val="clear"/>
            <w:tcMar>
              <w:bottom w:w="28" w:type="dxa"/>
            </w:tcMar>
            <w:vAlign w:val="center"/>
          </w:tcPr>
          <w:p>
            <w:pPr>
              <w:pStyle w:val="TableContents"/>
              <w:spacing w:before="0" w:after="283"/>
              <w:rPr/>
            </w:pPr>
            <w:r>
              <w:rPr/>
              <w:t> </w:t>
            </w:r>
          </w:p>
        </w:tc>
        <w:tc>
          <w:tcPr>
            <w:tcW w:w="1248" w:type="dxa"/>
            <w:tcBorders>
              <w:bottom w:val="single" w:sz="8" w:space="0" w:color="000000"/>
              <w:right w:val="single" w:sz="8" w:space="0" w:color="000000"/>
            </w:tcBorders>
            <w:shd w:fill="CEE8F6" w:val="clear"/>
            <w:tcMar>
              <w:bottom w:w="60" w:type="dxa"/>
              <w:right w:w="28" w:type="dxa"/>
            </w:tcMar>
            <w:vAlign w:val="center"/>
          </w:tcPr>
          <w:p>
            <w:pPr>
              <w:pStyle w:val="TableContents"/>
              <w:spacing w:before="0" w:after="283"/>
              <w:jc w:val="center"/>
              <w:rPr/>
            </w:pPr>
            <w:r>
              <w:rPr/>
              <w:t>(67.5)%</w:t>
            </w:r>
          </w:p>
        </w:tc>
      </w:tr>
      <w:tr>
        <w:trPr/>
        <w:tc>
          <w:tcPr>
            <w:tcW w:w="10205" w:type="dxa"/>
            <w:gridSpan w:val="7"/>
            <w:tcBorders>
              <w:left w:val="single" w:sz="8" w:space="0" w:color="000000"/>
              <w:bottom w:val="single" w:sz="8" w:space="0" w:color="000000"/>
              <w:right w:val="single" w:sz="8" w:space="0" w:color="000000"/>
            </w:tcBorders>
            <w:shd w:fill="auto" w:val="clear"/>
            <w:tcMar>
              <w:left w:w="160" w:type="dxa"/>
              <w:bottom w:w="28" w:type="dxa"/>
              <w:right w:w="40" w:type="dxa"/>
            </w:tcMar>
            <w:vAlign w:val="center"/>
          </w:tcPr>
          <w:p>
            <w:pPr>
              <w:pStyle w:val="TableContents"/>
              <w:spacing w:before="0" w:after="283"/>
              <w:rPr>
                <w:i/>
                <w:sz w:val="16"/>
              </w:rPr>
            </w:pPr>
            <w:r>
              <w:rPr>
                <w:i/>
                <w:sz w:val="16"/>
              </w:rPr>
              <w:t>(1) Adjusted EBITDA and Earnings per Diluted Share, excluding Adjustments, are non-GAAP financial measures. For a definition of these non-GAAP financial measures and why we believe these non-GAAP financial measures present useful information to investors, as well as a reconciliation of these non-GAAP financial measures to the most comparable GAAP measures, see Annex A.</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rPr/>
      </w:pPr>
      <w:r>
        <w:rPr/>
      </w:r>
    </w:p>
    <w:tbl>
      <w:tblPr>
        <w:tblW w:w="1049" w:type="dxa"/>
        <w:jc w:val="left"/>
        <w:tblInd w:w="0" w:type="dxa"/>
        <w:tblCellMar>
          <w:top w:w="0" w:type="dxa"/>
          <w:left w:w="0" w:type="dxa"/>
          <w:bottom w:w="0" w:type="dxa"/>
          <w:right w:w="0" w:type="dxa"/>
        </w:tblCellMar>
      </w:tblPr>
      <w:tblGrid>
        <w:gridCol w:w="38"/>
        <w:gridCol w:w="60"/>
        <w:gridCol w:w="23"/>
        <w:gridCol w:w="60"/>
        <w:gridCol w:w="23"/>
        <w:gridCol w:w="60"/>
        <w:gridCol w:w="23"/>
        <w:gridCol w:w="60"/>
        <w:gridCol w:w="23"/>
        <w:gridCol w:w="60"/>
        <w:gridCol w:w="23"/>
        <w:gridCol w:w="60"/>
        <w:gridCol w:w="23"/>
        <w:gridCol w:w="60"/>
        <w:gridCol w:w="23"/>
        <w:gridCol w:w="60"/>
        <w:gridCol w:w="23"/>
        <w:gridCol w:w="60"/>
        <w:gridCol w:w="23"/>
        <w:gridCol w:w="60"/>
        <w:gridCol w:w="23"/>
        <w:gridCol w:w="60"/>
        <w:gridCol w:w="23"/>
        <w:gridCol w:w="60"/>
        <w:gridCol w:w="38"/>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E0DDCC" w:val="clear"/>
            <w:vAlign w:val="center"/>
          </w:tcPr>
          <w:p>
            <w:pPr>
              <w:pStyle w:val="TableContents"/>
              <w:spacing w:before="0" w:after="283"/>
              <w:rPr/>
            </w:pPr>
            <w:r>
              <w:rPr/>
              <w:t> </w:t>
            </w:r>
          </w:p>
        </w:tc>
        <w:tc>
          <w:tcPr>
            <w:tcW w:w="23" w:type="dxa"/>
            <w:tcBorders/>
            <w:shd w:fill="E0DDCC"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E0DDCC" w:val="clear"/>
            <w:vAlign w:val="center"/>
          </w:tcPr>
          <w:p>
            <w:pPr>
              <w:pStyle w:val="TableContents"/>
              <w:spacing w:before="0" w:after="283"/>
              <w:rPr/>
            </w:pPr>
            <w:r>
              <w:rPr/>
              <w:t> </w:t>
            </w:r>
          </w:p>
        </w:tc>
        <w:tc>
          <w:tcPr>
            <w:tcW w:w="23" w:type="dxa"/>
            <w:tcBorders/>
            <w:shd w:fill="E0DDCC"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E0DDCC" w:val="clear"/>
            <w:vAlign w:val="center"/>
          </w:tcPr>
          <w:p>
            <w:pPr>
              <w:pStyle w:val="TableContents"/>
              <w:spacing w:before="0" w:after="283"/>
              <w:rPr/>
            </w:pPr>
            <w:r>
              <w:rPr/>
              <w:t> </w:t>
            </w:r>
          </w:p>
        </w:tc>
        <w:tc>
          <w:tcPr>
            <w:tcW w:w="23" w:type="dxa"/>
            <w:tcBorders/>
            <w:shd w:fill="E0DDCC"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E0DDCC" w:val="clear"/>
            <w:vAlign w:val="center"/>
          </w:tcPr>
          <w:p>
            <w:pPr>
              <w:pStyle w:val="TableContents"/>
              <w:spacing w:before="0" w:after="283"/>
              <w:rPr/>
            </w:pPr>
            <w:r>
              <w:rPr/>
              <w:t> </w:t>
            </w:r>
          </w:p>
        </w:tc>
        <w:tc>
          <w:tcPr>
            <w:tcW w:w="23" w:type="dxa"/>
            <w:tcBorders/>
            <w:shd w:fill="E0DDCC"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E0DDCC" w:val="clear"/>
            <w:vAlign w:val="center"/>
          </w:tcPr>
          <w:p>
            <w:pPr>
              <w:pStyle w:val="TableContents"/>
              <w:spacing w:before="0" w:after="283"/>
              <w:rPr/>
            </w:pPr>
            <w:r>
              <w:rPr/>
              <w:t> </w:t>
            </w:r>
          </w:p>
        </w:tc>
        <w:tc>
          <w:tcPr>
            <w:tcW w:w="23" w:type="dxa"/>
            <w:tcBorders/>
            <w:shd w:fill="E0DDCC"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E0DDCC" w:val="clear"/>
            <w:vAlign w:val="center"/>
          </w:tcPr>
          <w:p>
            <w:pPr>
              <w:pStyle w:val="TableContents"/>
              <w:spacing w:before="0" w:after="283"/>
              <w:rPr/>
            </w:pPr>
            <w:r>
              <w:rPr/>
              <w:t> </w:t>
            </w:r>
          </w:p>
        </w:tc>
        <w:tc>
          <w:tcPr>
            <w:tcW w:w="23" w:type="dxa"/>
            <w:tcBorders/>
            <w:shd w:fill="E0DDCC"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left"/>
        <w:rPr/>
      </w:pPr>
      <w:r>
        <w:rPr/>
        <w:t> </w:t>
      </w:r>
    </w:p>
    <w:p>
      <w:pPr>
        <w:pStyle w:val="TextBody"/>
        <w:pBdr>
          <w:bottom w:val="single" w:sz="8" w:space="1" w:color="000000"/>
        </w:pBdr>
        <w:spacing w:lineRule="atLeast" w:line="141" w:before="0" w:after="40"/>
        <w:jc w:val="left"/>
        <w:rPr/>
      </w:pPr>
      <w:r>
        <w:rPr/>
        <w:t> </w:t>
      </w:r>
    </w:p>
    <w:p>
      <w:pPr>
        <w:pStyle w:val="TextBody"/>
        <w:spacing w:before="0" w:after="0"/>
        <w:jc w:val="left"/>
        <w:rPr/>
      </w:pPr>
      <w:r>
        <w:rPr/>
        <w:t> </w:t>
      </w:r>
    </w:p>
    <w:p>
      <w:pPr>
        <w:pStyle w:val="TextBody"/>
        <w:spacing w:before="0" w:after="0"/>
        <w:jc w:val="center"/>
        <w:rPr/>
      </w:pPr>
      <w:r>
        <w:rPr/>
        <w:drawing>
          <wp:inline distT="0" distB="0" distL="0" distR="0">
            <wp:extent cx="539750" cy="45148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39750" cy="451485"/>
                    </a:xfrm>
                    <a:prstGeom prst="rect">
                      <a:avLst/>
                    </a:prstGeom>
                  </pic:spPr>
                </pic:pic>
              </a:graphicData>
            </a:graphic>
          </wp:inline>
        </w:drawing>
      </w:r>
      <w:r>
        <w:rPr/>
        <w:t xml:space="preserve"> </w:t>
      </w:r>
    </w:p>
    <w:p>
      <w:pPr>
        <w:pStyle w:val="TextBody"/>
        <w:spacing w:before="240" w:after="0"/>
        <w:jc w:val="left"/>
        <w:rPr>
          <w:rFonts w:ascii="Times New Roman" w:hAnsi="Times New Roman"/>
          <w:i/>
          <w:sz w:val="16"/>
        </w:rPr>
      </w:pPr>
      <w:r>
        <w:rPr>
          <w:rFonts w:ascii="Times New Roman" w:hAnsi="Times New Roman"/>
          <w:i/>
          <w:sz w:val="16"/>
        </w:rPr>
        <w:t xml:space="preserve">(1) Earnings (loss) per diluted share, as adjusted, is a non-GAAP financial measure which reflects our reported earnings attributable to Community Health Systems, Inc. stockholders per diluted share for the periods presented adjusted for certain items as reflected on Annex A. Adjusted EBITDA is EBITDA (which is a non-GAAP financial measure that consists of net income attributable to Community Health Systems, Inc. stockholders before interest, income taxes and depreciation and amortization) adjusted for certain items as reflected on Annex A. For definitions and reconciliations of Adjusted EBITDA and Earnings (Loss) per diluted share, as adjusted, to the most comparable GAAP measures, and why we believe these non-GAAP financial measures present useful information to investors, see Annex A.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rPr/>
      </w:pPr>
      <w:r>
        <w:rPr/>
      </w:r>
    </w:p>
    <w:tbl>
      <w:tblPr>
        <w:tblW w:w="1049" w:type="dxa"/>
        <w:jc w:val="left"/>
        <w:tblInd w:w="0" w:type="dxa"/>
        <w:tblCellMar>
          <w:top w:w="0" w:type="dxa"/>
          <w:left w:w="0" w:type="dxa"/>
          <w:bottom w:w="0" w:type="dxa"/>
          <w:right w:w="0" w:type="dxa"/>
        </w:tblCellMar>
      </w:tblPr>
      <w:tblGrid>
        <w:gridCol w:w="38"/>
        <w:gridCol w:w="60"/>
        <w:gridCol w:w="23"/>
        <w:gridCol w:w="60"/>
        <w:gridCol w:w="23"/>
        <w:gridCol w:w="60"/>
        <w:gridCol w:w="23"/>
        <w:gridCol w:w="60"/>
        <w:gridCol w:w="23"/>
        <w:gridCol w:w="60"/>
        <w:gridCol w:w="23"/>
        <w:gridCol w:w="60"/>
        <w:gridCol w:w="23"/>
        <w:gridCol w:w="60"/>
        <w:gridCol w:w="23"/>
        <w:gridCol w:w="60"/>
        <w:gridCol w:w="23"/>
        <w:gridCol w:w="60"/>
        <w:gridCol w:w="23"/>
        <w:gridCol w:w="60"/>
        <w:gridCol w:w="23"/>
        <w:gridCol w:w="60"/>
        <w:gridCol w:w="23"/>
        <w:gridCol w:w="60"/>
        <w:gridCol w:w="38"/>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E0DDCC" w:val="clear"/>
            <w:vAlign w:val="center"/>
          </w:tcPr>
          <w:p>
            <w:pPr>
              <w:pStyle w:val="TableContents"/>
              <w:spacing w:before="0" w:after="283"/>
              <w:rPr/>
            </w:pPr>
            <w:r>
              <w:rPr/>
              <w:t> </w:t>
            </w:r>
          </w:p>
        </w:tc>
        <w:tc>
          <w:tcPr>
            <w:tcW w:w="23" w:type="dxa"/>
            <w:tcBorders/>
            <w:shd w:fill="E0DDCC"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E0DDCC" w:val="clear"/>
            <w:vAlign w:val="center"/>
          </w:tcPr>
          <w:p>
            <w:pPr>
              <w:pStyle w:val="TableContents"/>
              <w:spacing w:before="0" w:after="283"/>
              <w:rPr/>
            </w:pPr>
            <w:r>
              <w:rPr/>
              <w:t> </w:t>
            </w:r>
          </w:p>
        </w:tc>
        <w:tc>
          <w:tcPr>
            <w:tcW w:w="23" w:type="dxa"/>
            <w:tcBorders/>
            <w:shd w:fill="E0DDCC"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E0DDCC" w:val="clear"/>
            <w:vAlign w:val="center"/>
          </w:tcPr>
          <w:p>
            <w:pPr>
              <w:pStyle w:val="TableContents"/>
              <w:spacing w:before="0" w:after="283"/>
              <w:rPr/>
            </w:pPr>
            <w:r>
              <w:rPr/>
              <w:t> </w:t>
            </w:r>
          </w:p>
        </w:tc>
        <w:tc>
          <w:tcPr>
            <w:tcW w:w="23" w:type="dxa"/>
            <w:tcBorders/>
            <w:shd w:fill="E0DDCC"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E0DDCC" w:val="clear"/>
            <w:vAlign w:val="center"/>
          </w:tcPr>
          <w:p>
            <w:pPr>
              <w:pStyle w:val="TableContents"/>
              <w:spacing w:before="0" w:after="283"/>
              <w:rPr/>
            </w:pPr>
            <w:r>
              <w:rPr/>
              <w:t> </w:t>
            </w:r>
          </w:p>
        </w:tc>
        <w:tc>
          <w:tcPr>
            <w:tcW w:w="23" w:type="dxa"/>
            <w:tcBorders/>
            <w:shd w:fill="E0DDCC"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E0DDCC" w:val="clear"/>
            <w:vAlign w:val="center"/>
          </w:tcPr>
          <w:p>
            <w:pPr>
              <w:pStyle w:val="TableContents"/>
              <w:spacing w:before="0" w:after="283"/>
              <w:rPr/>
            </w:pPr>
            <w:r>
              <w:rPr/>
              <w:t> </w:t>
            </w:r>
          </w:p>
        </w:tc>
        <w:tc>
          <w:tcPr>
            <w:tcW w:w="23" w:type="dxa"/>
            <w:tcBorders/>
            <w:shd w:fill="E0DDCC"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E0DDCC" w:val="clear"/>
            <w:vAlign w:val="center"/>
          </w:tcPr>
          <w:p>
            <w:pPr>
              <w:pStyle w:val="TableContents"/>
              <w:spacing w:before="0" w:after="283"/>
              <w:rPr/>
            </w:pPr>
            <w:r>
              <w:rPr/>
              <w:t> </w:t>
            </w:r>
          </w:p>
        </w:tc>
        <w:tc>
          <w:tcPr>
            <w:tcW w:w="23" w:type="dxa"/>
            <w:tcBorders/>
            <w:shd w:fill="E0DDCC"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left"/>
        <w:rPr/>
      </w:pPr>
      <w:r>
        <w:rPr/>
        <w:t> </w:t>
      </w:r>
    </w:p>
    <w:p>
      <w:pPr>
        <w:pStyle w:val="TextBody"/>
        <w:pBdr>
          <w:bottom w:val="single" w:sz="8" w:space="1" w:color="000000"/>
        </w:pBdr>
        <w:spacing w:lineRule="atLeast" w:line="141" w:before="0" w:after="40"/>
        <w:jc w:val="left"/>
        <w:rPr/>
      </w:pPr>
      <w:r>
        <w:rPr/>
        <w:t> </w:t>
      </w:r>
    </w:p>
    <w:p>
      <w:pPr>
        <w:pStyle w:val="TextBody"/>
        <w:spacing w:before="0" w:after="0"/>
        <w:jc w:val="left"/>
        <w:rPr/>
      </w:pPr>
      <w:r>
        <w:rPr/>
        <w:t> </w:t>
      </w:r>
    </w:p>
    <w:p>
      <w:pPr>
        <w:pStyle w:val="TextBody"/>
        <w:spacing w:before="0" w:after="0"/>
        <w:jc w:val="left"/>
        <w:rPr>
          <w:rFonts w:ascii="ARIAL" w:hAnsi="ARIAL"/>
          <w:color w:val="02197A"/>
          <w:sz w:val="30"/>
        </w:rPr>
      </w:pPr>
      <w:r>
        <w:rPr>
          <w:rFonts w:ascii="ARIAL" w:hAnsi="ARIAL"/>
          <w:color w:val="02197A"/>
          <w:sz w:val="30"/>
        </w:rPr>
        <w:t xml:space="preserve">BOARD OF DIRECTORS NOMINEES </w:t>
      </w:r>
    </w:p>
    <w:p>
      <w:pPr>
        <w:pStyle w:val="TextBody"/>
        <w:spacing w:before="120" w:after="0"/>
        <w:jc w:val="left"/>
        <w:rPr>
          <w:rFonts w:ascii="Times New Roman" w:hAnsi="Times New Roman"/>
          <w:sz w:val="20"/>
        </w:rPr>
      </w:pPr>
      <w:r>
        <w:rPr>
          <w:rFonts w:ascii="Times New Roman" w:hAnsi="Times New Roman"/>
          <w:sz w:val="20"/>
        </w:rPr>
        <w:t xml:space="preserve">Upon the recommendation of our Governance and Nominating Committee, our Board of Directors has nominated twelve (12) people for election at this Annual Meeting to hold office until the next annual meeting and the election of their successors. A more detailed biography of each director can be found on pages 23 to 29 of the Proxy Statement.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55"/>
        <w:gridCol w:w="60"/>
        <w:gridCol w:w="6185"/>
        <w:gridCol w:w="60"/>
        <w:gridCol w:w="120"/>
        <w:gridCol w:w="60"/>
        <w:gridCol w:w="725"/>
        <w:gridCol w:w="60"/>
        <w:gridCol w:w="2780"/>
      </w:tblGrid>
      <w:tr>
        <w:trPr/>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1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2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80" w:type="dxa"/>
            <w:tcBorders/>
            <w:shd w:fill="auto" w:val="clear"/>
            <w:vAlign w:val="center"/>
          </w:tcPr>
          <w:p>
            <w:pPr>
              <w:pStyle w:val="TableContents"/>
              <w:spacing w:before="0" w:after="283"/>
              <w:rPr>
                <w:sz w:val="4"/>
                <w:szCs w:val="4"/>
              </w:rPr>
            </w:pPr>
            <w:r>
              <w:rPr>
                <w:sz w:val="4"/>
                <w:szCs w:val="4"/>
              </w:rPr>
            </w:r>
          </w:p>
        </w:tc>
      </w:tr>
      <w:tr>
        <w:trPr/>
        <w:tc>
          <w:tcPr>
            <w:tcW w:w="6400" w:type="dxa"/>
            <w:gridSpan w:val="3"/>
            <w:tcBorders>
              <w:top w:val="single" w:sz="6" w:space="0" w:color="000000"/>
              <w:left w:val="single" w:sz="6" w:space="0" w:color="000000"/>
              <w:bottom w:val="single" w:sz="6" w:space="0" w:color="595959"/>
            </w:tcBorders>
            <w:shd w:fill="auto" w:val="clear"/>
            <w:tcMar>
              <w:top w:w="28" w:type="dxa"/>
              <w:left w:w="160" w:type="dxa"/>
              <w:bottom w:w="28" w:type="dxa"/>
            </w:tcMar>
            <w:vAlign w:val="center"/>
          </w:tcPr>
          <w:p>
            <w:pPr>
              <w:pStyle w:val="TableContents"/>
              <w:spacing w:before="0" w:after="0"/>
              <w:rPr/>
            </w:pPr>
            <w:r>
              <w:rPr/>
              <w:t> </w:t>
            </w:r>
          </w:p>
          <w:p>
            <w:pPr>
              <w:pStyle w:val="TableContents"/>
              <w:spacing w:before="0" w:after="20"/>
              <w:rPr>
                <w:color w:val="02197A"/>
              </w:rPr>
            </w:pPr>
            <w:r>
              <w:rPr>
                <w:color w:val="02197A"/>
              </w:rPr>
              <w:t>                </w:t>
            </w:r>
            <w:r>
              <w:rPr>
                <w:rFonts w:ascii="ARIAL" w:hAnsi="ARIAL"/>
                <w:b/>
                <w:color w:val="02197A"/>
                <w:sz w:val="18"/>
              </w:rPr>
              <w:t>Name/Experience/Occupation</w:t>
            </w:r>
          </w:p>
        </w:tc>
        <w:tc>
          <w:tcPr>
            <w:tcW w:w="60" w:type="dxa"/>
            <w:tcBorders>
              <w:top w:val="single" w:sz="6" w:space="0" w:color="000000"/>
              <w:bottom w:val="single" w:sz="6" w:space="0" w:color="595959"/>
            </w:tcBorders>
            <w:shd w:fill="auto" w:val="clear"/>
            <w:tcMar>
              <w:top w:w="28" w:type="dxa"/>
              <w:bottom w:w="28" w:type="dxa"/>
            </w:tcMar>
            <w:vAlign w:val="center"/>
          </w:tcPr>
          <w:p>
            <w:pPr>
              <w:pStyle w:val="TableContents"/>
              <w:spacing w:before="0" w:after="283"/>
              <w:rPr/>
            </w:pPr>
            <w:r>
              <w:rPr/>
              <w:t> </w:t>
            </w:r>
          </w:p>
        </w:tc>
        <w:tc>
          <w:tcPr>
            <w:tcW w:w="120" w:type="dxa"/>
            <w:tcBorders>
              <w:top w:val="single" w:sz="6" w:space="0" w:color="000000"/>
              <w:bottom w:val="single" w:sz="6" w:space="0" w:color="595959"/>
              <w:right w:val="dotted" w:sz="6" w:space="0" w:color="000000"/>
            </w:tcBorders>
            <w:shd w:fill="auto" w:val="clear"/>
            <w:tcMar>
              <w:top w:w="28" w:type="dxa"/>
              <w:bottom w:w="28" w:type="dxa"/>
              <w:right w:w="28" w:type="dxa"/>
            </w:tcMar>
            <w:vAlign w:val="center"/>
          </w:tcPr>
          <w:p>
            <w:pPr>
              <w:pStyle w:val="TableContents"/>
              <w:spacing w:before="0" w:after="283"/>
              <w:rPr/>
            </w:pPr>
            <w:r>
              <w:rPr/>
              <w:t>  </w:t>
            </w:r>
          </w:p>
        </w:tc>
        <w:tc>
          <w:tcPr>
            <w:tcW w:w="60" w:type="dxa"/>
            <w:tcBorders>
              <w:top w:val="single" w:sz="6" w:space="0" w:color="000000"/>
              <w:bottom w:val="single" w:sz="6" w:space="0" w:color="595959"/>
            </w:tcBorders>
            <w:shd w:fill="auto" w:val="clear"/>
            <w:tcMar>
              <w:top w:w="28" w:type="dxa"/>
              <w:bottom w:w="28" w:type="dxa"/>
            </w:tcMar>
            <w:vAlign w:val="center"/>
          </w:tcPr>
          <w:p>
            <w:pPr>
              <w:pStyle w:val="TableContents"/>
              <w:spacing w:before="0" w:after="283"/>
              <w:rPr/>
            </w:pPr>
            <w:r>
              <w:rPr/>
              <w:t> </w:t>
            </w:r>
          </w:p>
        </w:tc>
        <w:tc>
          <w:tcPr>
            <w:tcW w:w="725" w:type="dxa"/>
            <w:tcBorders>
              <w:top w:val="single" w:sz="6" w:space="0" w:color="000000"/>
              <w:bottom w:val="single" w:sz="6" w:space="0" w:color="595959"/>
            </w:tcBorders>
            <w:shd w:fill="auto" w:val="clear"/>
            <w:tcMar>
              <w:top w:w="28" w:type="dxa"/>
              <w:bottom w:w="28" w:type="dxa"/>
            </w:tcMar>
            <w:vAlign w:val="center"/>
          </w:tcPr>
          <w:p>
            <w:pPr>
              <w:pStyle w:val="TableContents"/>
              <w:spacing w:before="0" w:after="0"/>
              <w:jc w:val="center"/>
              <w:rPr>
                <w:rFonts w:ascii="ARIAL" w:hAnsi="ARIAL"/>
                <w:b/>
                <w:color w:val="02197A"/>
                <w:sz w:val="18"/>
              </w:rPr>
            </w:pPr>
            <w:r>
              <w:rPr>
                <w:rFonts w:ascii="ARIAL" w:hAnsi="ARIAL"/>
                <w:b/>
                <w:color w:val="02197A"/>
                <w:sz w:val="18"/>
              </w:rPr>
              <w:t>Director</w:t>
            </w:r>
          </w:p>
          <w:p>
            <w:pPr>
              <w:pStyle w:val="TableContents"/>
              <w:spacing w:before="0" w:after="20"/>
              <w:jc w:val="center"/>
              <w:rPr>
                <w:rFonts w:ascii="ARIAL" w:hAnsi="ARIAL"/>
                <w:b/>
                <w:color w:val="02197A"/>
                <w:sz w:val="18"/>
              </w:rPr>
            </w:pPr>
            <w:r>
              <w:rPr>
                <w:rFonts w:ascii="ARIAL" w:hAnsi="ARIAL"/>
                <w:b/>
                <w:color w:val="02197A"/>
                <w:sz w:val="18"/>
              </w:rPr>
              <w:t>Since</w:t>
            </w:r>
          </w:p>
        </w:tc>
        <w:tc>
          <w:tcPr>
            <w:tcW w:w="60" w:type="dxa"/>
            <w:tcBorders>
              <w:top w:val="single" w:sz="6" w:space="0" w:color="000000"/>
              <w:left w:val="dotted" w:sz="6" w:space="0" w:color="000000"/>
              <w:bottom w:val="single" w:sz="6" w:space="0" w:color="595959"/>
            </w:tcBorders>
            <w:shd w:fill="auto" w:val="clear"/>
            <w:tcMar>
              <w:top w:w="28" w:type="dxa"/>
              <w:left w:w="28" w:type="dxa"/>
              <w:bottom w:w="28" w:type="dxa"/>
            </w:tcMar>
            <w:vAlign w:val="center"/>
          </w:tcPr>
          <w:p>
            <w:pPr>
              <w:pStyle w:val="TableContents"/>
              <w:spacing w:before="0" w:after="283"/>
              <w:rPr/>
            </w:pPr>
            <w:r>
              <w:rPr/>
              <w:t> </w:t>
            </w:r>
          </w:p>
        </w:tc>
        <w:tc>
          <w:tcPr>
            <w:tcW w:w="2780" w:type="dxa"/>
            <w:tcBorders>
              <w:top w:val="single" w:sz="6" w:space="0" w:color="000000"/>
              <w:bottom w:val="single" w:sz="6" w:space="0" w:color="595959"/>
              <w:right w:val="single" w:sz="6" w:space="0" w:color="000000"/>
            </w:tcBorders>
            <w:shd w:fill="auto" w:val="clear"/>
            <w:tcMar>
              <w:top w:w="28" w:type="dxa"/>
              <w:bottom w:w="28" w:type="dxa"/>
              <w:right w:w="40" w:type="dxa"/>
            </w:tcMar>
            <w:vAlign w:val="center"/>
          </w:tcPr>
          <w:p>
            <w:pPr>
              <w:pStyle w:val="TableContents"/>
              <w:spacing w:before="0" w:after="283"/>
              <w:jc w:val="center"/>
              <w:rPr>
                <w:b/>
                <w:color w:val="02197A"/>
              </w:rPr>
            </w:pPr>
            <w:r>
              <w:rPr>
                <w:b/>
                <w:color w:val="02197A"/>
              </w:rPr>
              <w:t>Committee</w:t>
              <w:br/>
              <w:t>Memberships</w:t>
            </w:r>
          </w:p>
        </w:tc>
      </w:tr>
      <w:tr>
        <w:trPr/>
        <w:tc>
          <w:tcPr>
            <w:tcW w:w="155" w:type="dxa"/>
            <w:tcBorders>
              <w:left w:val="single" w:sz="6" w:space="0" w:color="000000"/>
            </w:tcBorders>
            <w:shd w:fill="auto" w:val="clear"/>
            <w:tcMar>
              <w:left w:w="160" w:type="dxa"/>
            </w:tcMar>
            <w:vAlign w:val="center"/>
          </w:tcPr>
          <w:p>
            <w:pPr>
              <w:pStyle w:val="TableContents"/>
              <w:spacing w:before="0" w:after="283"/>
              <w:rPr/>
            </w:pPr>
            <w:r>
              <w:rPr/>
              <w:t> </w:t>
            </w:r>
          </w:p>
        </w:tc>
        <w:tc>
          <w:tcPr>
            <w:tcW w:w="6245" w:type="dxa"/>
            <w:gridSpan w:val="2"/>
            <w:tcBorders/>
            <w:shd w:fill="auto" w:val="clear"/>
            <w:vAlign w:val="center"/>
          </w:tcPr>
          <w:p>
            <w:pPr>
              <w:pStyle w:val="TableContents"/>
              <w:spacing w:before="0" w:after="283"/>
              <w:rPr>
                <w:sz w:val="4"/>
                <w:szCs w:val="4"/>
              </w:rPr>
            </w:pPr>
            <w:r>
              <w:rPr>
                <w:sz w:val="4"/>
                <w:szCs w:val="4"/>
              </w:rPr>
            </w:r>
          </w:p>
        </w:tc>
        <w:tc>
          <w:tcPr>
            <w:tcW w:w="180" w:type="dxa"/>
            <w:gridSpan w:val="2"/>
            <w:tcBorders>
              <w:right w:val="dotted" w:sz="6" w:space="0" w:color="000000"/>
            </w:tcBorders>
            <w:shd w:fill="auto" w:val="clear"/>
            <w:tcMar>
              <w:right w:w="28" w:type="dxa"/>
            </w:tcMar>
            <w:vAlign w:val="center"/>
          </w:tcPr>
          <w:p>
            <w:pPr>
              <w:pStyle w:val="TableContents"/>
              <w:spacing w:before="0" w:after="283"/>
              <w:rPr/>
            </w:pPr>
            <w:r>
              <w:rPr/>
              <w:t> </w:t>
            </w:r>
          </w:p>
        </w:tc>
        <w:tc>
          <w:tcPr>
            <w:tcW w:w="785" w:type="dxa"/>
            <w:gridSpan w:val="2"/>
            <w:tcBorders/>
            <w:shd w:fill="auto" w:val="clear"/>
            <w:vAlign w:val="center"/>
          </w:tcPr>
          <w:p>
            <w:pPr>
              <w:pStyle w:val="TableContents"/>
              <w:spacing w:before="0" w:after="283"/>
              <w:rPr>
                <w:sz w:val="4"/>
                <w:szCs w:val="4"/>
              </w:rPr>
            </w:pPr>
            <w:r>
              <w:rPr>
                <w:sz w:val="4"/>
                <w:szCs w:val="4"/>
              </w:rPr>
            </w:r>
          </w:p>
        </w:tc>
        <w:tc>
          <w:tcPr>
            <w:tcW w:w="2840" w:type="dxa"/>
            <w:gridSpan w:val="2"/>
            <w:tcBorders>
              <w:left w:val="dotted" w:sz="6" w:space="0" w:color="000000"/>
              <w:right w:val="single" w:sz="6" w:space="0" w:color="000000"/>
            </w:tcBorders>
            <w:shd w:fill="auto" w:val="clear"/>
            <w:tcMar>
              <w:left w:w="28" w:type="dxa"/>
              <w:right w:w="28" w:type="dxa"/>
            </w:tcMar>
            <w:vAlign w:val="center"/>
          </w:tcPr>
          <w:p>
            <w:pPr>
              <w:pStyle w:val="TableContents"/>
              <w:spacing w:before="0" w:after="283"/>
              <w:rPr/>
            </w:pPr>
            <w:r>
              <w:rPr/>
              <w:t> </w:t>
            </w:r>
          </w:p>
        </w:tc>
      </w:tr>
      <w:tr>
        <w:trPr/>
        <w:tc>
          <w:tcPr>
            <w:tcW w:w="155" w:type="dxa"/>
            <w:tcBorders>
              <w:left w:val="single" w:sz="6" w:space="0" w:color="000000"/>
              <w:bottom w:val="single" w:sz="6" w:space="0" w:color="595959"/>
            </w:tcBorders>
            <w:shd w:fill="auto" w:val="clear"/>
            <w:tcMar>
              <w:left w:w="160" w:type="dxa"/>
              <w:bottom w:w="40" w:type="dxa"/>
            </w:tcMar>
            <w:vAlign w:val="center"/>
          </w:tcPr>
          <w:p>
            <w:pPr>
              <w:pStyle w:val="TableContents"/>
              <w:spacing w:before="0" w:after="0"/>
              <w:rPr/>
            </w:pPr>
            <w:r>
              <w:rPr/>
              <w:drawing>
                <wp:inline distT="0" distB="0" distL="0" distR="0">
                  <wp:extent cx="50800" cy="6286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50800" cy="62865"/>
                          </a:xfrm>
                          <a:prstGeom prst="rect">
                            <a:avLst/>
                          </a:prstGeom>
                        </pic:spPr>
                      </pic:pic>
                    </a:graphicData>
                  </a:graphic>
                </wp:inline>
              </w:drawing>
            </w:r>
            <w:r>
              <w:rPr/>
              <w:t xml:space="preserve"> </w:t>
            </w:r>
          </w:p>
          <w:p>
            <w:pPr>
              <w:pStyle w:val="TableContents"/>
              <w:spacing w:before="0" w:after="0"/>
              <w:rPr/>
            </w:pPr>
            <w:r>
              <w:rPr/>
              <w:t> </w:t>
            </w:r>
          </w:p>
          <w:p>
            <w:pPr>
              <w:pStyle w:val="TableContents"/>
              <w:spacing w:before="0" w:after="20"/>
              <w:rPr/>
            </w:pPr>
            <w:r>
              <w:rPr/>
              <w:t> </w:t>
            </w:r>
          </w:p>
        </w:tc>
        <w:tc>
          <w:tcPr>
            <w:tcW w:w="60" w:type="dxa"/>
            <w:tcBorders>
              <w:bottom w:val="single" w:sz="6" w:space="0" w:color="595959"/>
            </w:tcBorders>
            <w:shd w:fill="auto" w:val="clear"/>
            <w:tcMar>
              <w:bottom w:w="28" w:type="dxa"/>
            </w:tcMar>
            <w:vAlign w:val="center"/>
          </w:tcPr>
          <w:p>
            <w:pPr>
              <w:pStyle w:val="TableContents"/>
              <w:spacing w:before="0" w:after="283"/>
              <w:rPr/>
            </w:pPr>
            <w:r>
              <w:rPr/>
              <w:t> </w:t>
            </w:r>
          </w:p>
        </w:tc>
        <w:tc>
          <w:tcPr>
            <w:tcW w:w="6185" w:type="dxa"/>
            <w:tcBorders>
              <w:bottom w:val="single" w:sz="6" w:space="0" w:color="595959"/>
            </w:tcBorders>
            <w:shd w:fill="auto" w:val="clear"/>
            <w:tcMar>
              <w:bottom w:w="40" w:type="dxa"/>
            </w:tcMar>
            <w:vAlign w:val="center"/>
          </w:tcPr>
          <w:p>
            <w:pPr>
              <w:pStyle w:val="TableContents"/>
              <w:spacing w:before="0" w:after="0"/>
              <w:rPr>
                <w:rFonts w:ascii="ARIAL" w:hAnsi="ARIAL"/>
                <w:b/>
                <w:sz w:val="18"/>
              </w:rPr>
            </w:pPr>
            <w:r>
              <w:rPr>
                <w:rFonts w:ascii="ARIAL" w:hAnsi="ARIAL"/>
                <w:b/>
                <w:sz w:val="18"/>
              </w:rPr>
              <w:t>Susan W. Brooks</w:t>
            </w:r>
          </w:p>
          <w:p>
            <w:pPr>
              <w:pStyle w:val="TableContents"/>
              <w:spacing w:before="0" w:after="0"/>
              <w:rPr/>
            </w:pPr>
            <w:r>
              <w:rPr/>
              <w:t> </w:t>
            </w:r>
          </w:p>
          <w:p>
            <w:pPr>
              <w:pStyle w:val="TableContents"/>
              <w:spacing w:before="0" w:after="20"/>
              <w:rPr>
                <w:rFonts w:ascii="Times New Roman" w:hAnsi="Times New Roman"/>
                <w:sz w:val="16"/>
              </w:rPr>
            </w:pPr>
            <w:r>
              <w:rPr>
                <w:rFonts w:ascii="Times New Roman" w:hAnsi="Times New Roman"/>
                <w:sz w:val="16"/>
              </w:rPr>
              <w:t>Ms. Brooks is a former Congresswoman and former U.S. Attorney. Her deep knowledge of and experience in both the legislative and judicial branches of the Federal government provide our Board with valuable insight into the governmental processes and priorities that impact the heavily-regulated industry in which we operate. In addition, her diverse experience, including advising public and privately-held companies, non-profits, educational institutions, and hospitals, gives her valuable insight both related to the healthcare industry as well as to other sectors with which our Company frequently interacts.</w:t>
            </w:r>
          </w:p>
        </w:tc>
        <w:tc>
          <w:tcPr>
            <w:tcW w:w="60" w:type="dxa"/>
            <w:tcBorders>
              <w:bottom w:val="single" w:sz="6" w:space="0" w:color="595959"/>
            </w:tcBorders>
            <w:shd w:fill="auto" w:val="clear"/>
            <w:tcMar>
              <w:bottom w:w="28" w:type="dxa"/>
            </w:tcMar>
            <w:vAlign w:val="center"/>
          </w:tcPr>
          <w:p>
            <w:pPr>
              <w:pStyle w:val="TableContents"/>
              <w:spacing w:before="0" w:after="283"/>
              <w:rPr/>
            </w:pPr>
            <w:r>
              <w:rPr/>
              <w:t> </w:t>
            </w:r>
          </w:p>
        </w:tc>
        <w:tc>
          <w:tcPr>
            <w:tcW w:w="120" w:type="dxa"/>
            <w:tcBorders>
              <w:bottom w:val="single" w:sz="6" w:space="0" w:color="595959"/>
              <w:right w:val="dotted" w:sz="6" w:space="0" w:color="000000"/>
            </w:tcBorders>
            <w:shd w:fill="auto" w:val="clear"/>
            <w:tcMar>
              <w:bottom w:w="28" w:type="dxa"/>
              <w:right w:w="28" w:type="dxa"/>
            </w:tcMar>
            <w:vAlign w:val="center"/>
          </w:tcPr>
          <w:p>
            <w:pPr>
              <w:pStyle w:val="TableContents"/>
              <w:spacing w:before="0" w:after="283"/>
              <w:rPr/>
            </w:pPr>
            <w:r>
              <w:rPr/>
              <w:t> </w:t>
            </w:r>
          </w:p>
        </w:tc>
        <w:tc>
          <w:tcPr>
            <w:tcW w:w="60" w:type="dxa"/>
            <w:tcBorders>
              <w:bottom w:val="single" w:sz="6" w:space="0" w:color="595959"/>
            </w:tcBorders>
            <w:shd w:fill="auto" w:val="clear"/>
            <w:tcMar>
              <w:bottom w:w="28" w:type="dxa"/>
            </w:tcMar>
            <w:vAlign w:val="center"/>
          </w:tcPr>
          <w:p>
            <w:pPr>
              <w:pStyle w:val="TableContents"/>
              <w:spacing w:before="0" w:after="283"/>
              <w:rPr/>
            </w:pPr>
            <w:r>
              <w:rPr/>
              <w:t> </w:t>
            </w:r>
          </w:p>
        </w:tc>
        <w:tc>
          <w:tcPr>
            <w:tcW w:w="725" w:type="dxa"/>
            <w:tcBorders>
              <w:bottom w:val="single" w:sz="6" w:space="0" w:color="595959"/>
            </w:tcBorders>
            <w:shd w:fill="auto" w:val="clear"/>
            <w:tcMar>
              <w:bottom w:w="40" w:type="dxa"/>
            </w:tcMar>
            <w:vAlign w:val="center"/>
          </w:tcPr>
          <w:p>
            <w:pPr>
              <w:pStyle w:val="TableContents"/>
              <w:spacing w:before="0" w:after="283"/>
              <w:jc w:val="center"/>
              <w:rPr>
                <w:b/>
              </w:rPr>
            </w:pPr>
            <w:r>
              <w:rPr>
                <w:b/>
              </w:rPr>
              <w:t>2022</w:t>
            </w:r>
          </w:p>
        </w:tc>
        <w:tc>
          <w:tcPr>
            <w:tcW w:w="60" w:type="dxa"/>
            <w:tcBorders>
              <w:left w:val="dotted" w:sz="6" w:space="0" w:color="000000"/>
              <w:bottom w:val="single" w:sz="6" w:space="0" w:color="595959"/>
            </w:tcBorders>
            <w:shd w:fill="auto" w:val="clear"/>
            <w:tcMar>
              <w:left w:w="28" w:type="dxa"/>
              <w:bottom w:w="28" w:type="dxa"/>
            </w:tcMar>
            <w:vAlign w:val="center"/>
          </w:tcPr>
          <w:p>
            <w:pPr>
              <w:pStyle w:val="TableContents"/>
              <w:spacing w:before="0" w:after="283"/>
              <w:rPr/>
            </w:pPr>
            <w:r>
              <w:rPr/>
              <w:t> </w:t>
            </w:r>
          </w:p>
        </w:tc>
        <w:tc>
          <w:tcPr>
            <w:tcW w:w="2780" w:type="dxa"/>
            <w:tcBorders>
              <w:bottom w:val="single" w:sz="6" w:space="0" w:color="595959"/>
              <w:right w:val="single" w:sz="6" w:space="0" w:color="000000"/>
            </w:tcBorders>
            <w:shd w:fill="auto" w:val="clear"/>
            <w:tcMar>
              <w:bottom w:w="40" w:type="dxa"/>
              <w:right w:w="40" w:type="dxa"/>
            </w:tcMar>
            <w:vAlign w:val="center"/>
          </w:tcPr>
          <w:p>
            <w:pPr>
              <w:pStyle w:val="TableContents"/>
              <w:spacing w:before="0" w:after="283"/>
              <w:jc w:val="center"/>
              <w:rPr>
                <w:b/>
              </w:rPr>
            </w:pPr>
            <w:r>
              <w:rPr>
                <w:b/>
              </w:rPr>
              <w:t>Governance &amp; Nominating</w:t>
            </w:r>
          </w:p>
        </w:tc>
      </w:tr>
      <w:tr>
        <w:trPr/>
        <w:tc>
          <w:tcPr>
            <w:tcW w:w="155" w:type="dxa"/>
            <w:tcBorders>
              <w:left w:val="single" w:sz="6" w:space="0" w:color="000000"/>
            </w:tcBorders>
            <w:shd w:fill="auto" w:val="clear"/>
            <w:tcMar>
              <w:left w:w="160" w:type="dxa"/>
            </w:tcMar>
            <w:vAlign w:val="center"/>
          </w:tcPr>
          <w:p>
            <w:pPr>
              <w:pStyle w:val="TableContents"/>
              <w:spacing w:before="0" w:after="283"/>
              <w:rPr/>
            </w:pPr>
            <w:r>
              <w:rPr/>
              <w:t> </w:t>
            </w:r>
          </w:p>
        </w:tc>
        <w:tc>
          <w:tcPr>
            <w:tcW w:w="6245" w:type="dxa"/>
            <w:gridSpan w:val="2"/>
            <w:tcBorders/>
            <w:shd w:fill="auto" w:val="clear"/>
            <w:vAlign w:val="center"/>
          </w:tcPr>
          <w:p>
            <w:pPr>
              <w:pStyle w:val="TableContents"/>
              <w:spacing w:before="0" w:after="283"/>
              <w:rPr>
                <w:sz w:val="4"/>
                <w:szCs w:val="4"/>
              </w:rPr>
            </w:pPr>
            <w:r>
              <w:rPr>
                <w:sz w:val="4"/>
                <w:szCs w:val="4"/>
              </w:rPr>
            </w:r>
          </w:p>
        </w:tc>
        <w:tc>
          <w:tcPr>
            <w:tcW w:w="180" w:type="dxa"/>
            <w:gridSpan w:val="2"/>
            <w:tcBorders>
              <w:right w:val="dotted" w:sz="6" w:space="0" w:color="000000"/>
            </w:tcBorders>
            <w:shd w:fill="auto" w:val="clear"/>
            <w:tcMar>
              <w:right w:w="28" w:type="dxa"/>
            </w:tcMar>
            <w:vAlign w:val="center"/>
          </w:tcPr>
          <w:p>
            <w:pPr>
              <w:pStyle w:val="TableContents"/>
              <w:spacing w:before="0" w:after="283"/>
              <w:rPr/>
            </w:pPr>
            <w:r>
              <w:rPr/>
              <w:t> </w:t>
            </w:r>
          </w:p>
        </w:tc>
        <w:tc>
          <w:tcPr>
            <w:tcW w:w="785" w:type="dxa"/>
            <w:gridSpan w:val="2"/>
            <w:tcBorders/>
            <w:shd w:fill="auto" w:val="clear"/>
            <w:vAlign w:val="center"/>
          </w:tcPr>
          <w:p>
            <w:pPr>
              <w:pStyle w:val="TableContents"/>
              <w:spacing w:before="0" w:after="283"/>
              <w:rPr>
                <w:sz w:val="4"/>
                <w:szCs w:val="4"/>
              </w:rPr>
            </w:pPr>
            <w:r>
              <w:rPr>
                <w:sz w:val="4"/>
                <w:szCs w:val="4"/>
              </w:rPr>
            </w:r>
          </w:p>
        </w:tc>
        <w:tc>
          <w:tcPr>
            <w:tcW w:w="2840" w:type="dxa"/>
            <w:gridSpan w:val="2"/>
            <w:tcBorders>
              <w:left w:val="dotted" w:sz="6" w:space="0" w:color="000000"/>
              <w:right w:val="single" w:sz="6" w:space="0" w:color="000000"/>
            </w:tcBorders>
            <w:shd w:fill="auto" w:val="clear"/>
            <w:tcMar>
              <w:left w:w="28" w:type="dxa"/>
              <w:right w:w="28" w:type="dxa"/>
            </w:tcMar>
            <w:vAlign w:val="center"/>
          </w:tcPr>
          <w:p>
            <w:pPr>
              <w:pStyle w:val="TableContents"/>
              <w:spacing w:before="0" w:after="283"/>
              <w:rPr/>
            </w:pPr>
            <w:r>
              <w:rPr/>
              <w:t> </w:t>
            </w:r>
          </w:p>
        </w:tc>
      </w:tr>
      <w:tr>
        <w:trPr/>
        <w:tc>
          <w:tcPr>
            <w:tcW w:w="155" w:type="dxa"/>
            <w:tcBorders>
              <w:left w:val="single" w:sz="6" w:space="0" w:color="000000"/>
              <w:bottom w:val="single" w:sz="6" w:space="0" w:color="595959"/>
            </w:tcBorders>
            <w:shd w:fill="auto" w:val="clear"/>
            <w:tcMar>
              <w:left w:w="160" w:type="dxa"/>
              <w:bottom w:w="40" w:type="dxa"/>
            </w:tcMar>
            <w:vAlign w:val="center"/>
          </w:tcPr>
          <w:p>
            <w:pPr>
              <w:pStyle w:val="TableContents"/>
              <w:spacing w:before="0" w:after="0"/>
              <w:rPr/>
            </w:pPr>
            <w:r>
              <w:rPr/>
              <w:drawing>
                <wp:inline distT="0" distB="0" distL="0" distR="0">
                  <wp:extent cx="50165" cy="635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50165" cy="63500"/>
                          </a:xfrm>
                          <a:prstGeom prst="rect">
                            <a:avLst/>
                          </a:prstGeom>
                        </pic:spPr>
                      </pic:pic>
                    </a:graphicData>
                  </a:graphic>
                </wp:inline>
              </w:drawing>
            </w:r>
            <w:r>
              <w:rPr/>
              <w:t xml:space="preserve"> </w:t>
            </w:r>
          </w:p>
          <w:p>
            <w:pPr>
              <w:pStyle w:val="TableContents"/>
              <w:spacing w:before="0" w:after="20"/>
              <w:rPr/>
            </w:pPr>
            <w:r>
              <w:rPr/>
              <w:t> </w:t>
            </w:r>
          </w:p>
        </w:tc>
        <w:tc>
          <w:tcPr>
            <w:tcW w:w="60" w:type="dxa"/>
            <w:tcBorders>
              <w:bottom w:val="single" w:sz="6" w:space="0" w:color="595959"/>
            </w:tcBorders>
            <w:shd w:fill="auto" w:val="clear"/>
            <w:tcMar>
              <w:bottom w:w="28" w:type="dxa"/>
            </w:tcMar>
            <w:vAlign w:val="center"/>
          </w:tcPr>
          <w:p>
            <w:pPr>
              <w:pStyle w:val="TableContents"/>
              <w:spacing w:before="0" w:after="283"/>
              <w:rPr/>
            </w:pPr>
            <w:r>
              <w:rPr/>
              <w:t> </w:t>
            </w:r>
          </w:p>
        </w:tc>
        <w:tc>
          <w:tcPr>
            <w:tcW w:w="6185" w:type="dxa"/>
            <w:tcBorders>
              <w:bottom w:val="single" w:sz="6" w:space="0" w:color="595959"/>
            </w:tcBorders>
            <w:shd w:fill="auto" w:val="clear"/>
            <w:tcMar>
              <w:bottom w:w="40" w:type="dxa"/>
            </w:tcMar>
            <w:vAlign w:val="center"/>
          </w:tcPr>
          <w:p>
            <w:pPr>
              <w:pStyle w:val="TableContents"/>
              <w:spacing w:before="0" w:after="0"/>
              <w:rPr>
                <w:rFonts w:ascii="ARIAL" w:hAnsi="ARIAL"/>
                <w:b/>
                <w:sz w:val="18"/>
              </w:rPr>
            </w:pPr>
            <w:r>
              <w:rPr>
                <w:rFonts w:ascii="ARIAL" w:hAnsi="ARIAL"/>
                <w:b/>
                <w:sz w:val="18"/>
              </w:rPr>
              <w:t>John A. Clerico</w:t>
            </w:r>
          </w:p>
          <w:p>
            <w:pPr>
              <w:pStyle w:val="TableContents"/>
              <w:spacing w:before="0" w:after="0"/>
              <w:rPr/>
            </w:pPr>
            <w:r>
              <w:rPr/>
              <w:t> </w:t>
            </w:r>
          </w:p>
          <w:p>
            <w:pPr>
              <w:pStyle w:val="TableContents"/>
              <w:spacing w:before="0" w:after="20"/>
              <w:rPr>
                <w:rFonts w:ascii="Times New Roman" w:hAnsi="Times New Roman"/>
                <w:sz w:val="16"/>
              </w:rPr>
            </w:pPr>
            <w:r>
              <w:rPr>
                <w:rFonts w:ascii="Times New Roman" w:hAnsi="Times New Roman"/>
                <w:sz w:val="16"/>
              </w:rPr>
              <w:t>Mr. Clerico is our independent Lead Director. He brings executive leadership experience to the Board. He has held the positions of chairman of the board, chief executive officer, co-chief operating officer, chief financial officer and treasurer at various points of his career. His years of service on our Board lend important continuity to financial, audit, and compliance oversight functions. He is currently chairman and a registered financial advisor of ChartMark Investments.</w:t>
            </w:r>
          </w:p>
        </w:tc>
        <w:tc>
          <w:tcPr>
            <w:tcW w:w="60" w:type="dxa"/>
            <w:tcBorders>
              <w:bottom w:val="single" w:sz="6" w:space="0" w:color="595959"/>
            </w:tcBorders>
            <w:shd w:fill="auto" w:val="clear"/>
            <w:tcMar>
              <w:bottom w:w="28" w:type="dxa"/>
            </w:tcMar>
            <w:vAlign w:val="center"/>
          </w:tcPr>
          <w:p>
            <w:pPr>
              <w:pStyle w:val="TableContents"/>
              <w:spacing w:before="0" w:after="283"/>
              <w:rPr/>
            </w:pPr>
            <w:r>
              <w:rPr/>
              <w:t> </w:t>
            </w:r>
          </w:p>
        </w:tc>
        <w:tc>
          <w:tcPr>
            <w:tcW w:w="120" w:type="dxa"/>
            <w:tcBorders>
              <w:bottom w:val="single" w:sz="6" w:space="0" w:color="595959"/>
              <w:right w:val="dotted" w:sz="6" w:space="0" w:color="000000"/>
            </w:tcBorders>
            <w:shd w:fill="auto" w:val="clear"/>
            <w:tcMar>
              <w:bottom w:w="28" w:type="dxa"/>
              <w:right w:w="28" w:type="dxa"/>
            </w:tcMar>
            <w:vAlign w:val="center"/>
          </w:tcPr>
          <w:p>
            <w:pPr>
              <w:pStyle w:val="TableContents"/>
              <w:spacing w:before="0" w:after="283"/>
              <w:rPr/>
            </w:pPr>
            <w:r>
              <w:rPr/>
              <w:t> </w:t>
            </w:r>
          </w:p>
        </w:tc>
        <w:tc>
          <w:tcPr>
            <w:tcW w:w="60" w:type="dxa"/>
            <w:tcBorders>
              <w:bottom w:val="single" w:sz="6" w:space="0" w:color="595959"/>
            </w:tcBorders>
            <w:shd w:fill="auto" w:val="clear"/>
            <w:tcMar>
              <w:bottom w:w="28" w:type="dxa"/>
            </w:tcMar>
            <w:vAlign w:val="center"/>
          </w:tcPr>
          <w:p>
            <w:pPr>
              <w:pStyle w:val="TableContents"/>
              <w:spacing w:before="0" w:after="283"/>
              <w:rPr/>
            </w:pPr>
            <w:r>
              <w:rPr/>
              <w:t> </w:t>
            </w:r>
          </w:p>
        </w:tc>
        <w:tc>
          <w:tcPr>
            <w:tcW w:w="725" w:type="dxa"/>
            <w:tcBorders>
              <w:bottom w:val="single" w:sz="6" w:space="0" w:color="595959"/>
            </w:tcBorders>
            <w:shd w:fill="auto" w:val="clear"/>
            <w:tcMar>
              <w:bottom w:w="40" w:type="dxa"/>
            </w:tcMar>
            <w:vAlign w:val="center"/>
          </w:tcPr>
          <w:p>
            <w:pPr>
              <w:pStyle w:val="TableContents"/>
              <w:spacing w:before="0" w:after="283"/>
              <w:jc w:val="center"/>
              <w:rPr>
                <w:b/>
              </w:rPr>
            </w:pPr>
            <w:r>
              <w:rPr>
                <w:b/>
              </w:rPr>
              <w:t>2003</w:t>
            </w:r>
          </w:p>
        </w:tc>
        <w:tc>
          <w:tcPr>
            <w:tcW w:w="60" w:type="dxa"/>
            <w:tcBorders>
              <w:left w:val="dotted" w:sz="6" w:space="0" w:color="000000"/>
              <w:bottom w:val="single" w:sz="6" w:space="0" w:color="595959"/>
            </w:tcBorders>
            <w:shd w:fill="auto" w:val="clear"/>
            <w:tcMar>
              <w:left w:w="28" w:type="dxa"/>
              <w:bottom w:w="28" w:type="dxa"/>
            </w:tcMar>
            <w:vAlign w:val="center"/>
          </w:tcPr>
          <w:p>
            <w:pPr>
              <w:pStyle w:val="TableContents"/>
              <w:spacing w:before="0" w:after="283"/>
              <w:rPr/>
            </w:pPr>
            <w:r>
              <w:rPr/>
              <w:t> </w:t>
            </w:r>
          </w:p>
        </w:tc>
        <w:tc>
          <w:tcPr>
            <w:tcW w:w="2780" w:type="dxa"/>
            <w:tcBorders>
              <w:bottom w:val="single" w:sz="6" w:space="0" w:color="595959"/>
              <w:right w:val="single" w:sz="6" w:space="0" w:color="000000"/>
            </w:tcBorders>
            <w:shd w:fill="auto" w:val="clear"/>
            <w:tcMar>
              <w:bottom w:w="40" w:type="dxa"/>
              <w:right w:w="40" w:type="dxa"/>
            </w:tcMar>
            <w:vAlign w:val="center"/>
          </w:tcPr>
          <w:p>
            <w:pPr>
              <w:pStyle w:val="TableContents"/>
              <w:spacing w:before="0" w:after="283"/>
              <w:jc w:val="center"/>
              <w:rPr>
                <w:b/>
              </w:rPr>
            </w:pPr>
            <w:r>
              <w:rPr>
                <w:b/>
              </w:rPr>
              <w:t>Compensation</w:t>
            </w:r>
          </w:p>
        </w:tc>
      </w:tr>
      <w:tr>
        <w:trPr/>
        <w:tc>
          <w:tcPr>
            <w:tcW w:w="155" w:type="dxa"/>
            <w:tcBorders>
              <w:left w:val="single" w:sz="6" w:space="0" w:color="000000"/>
            </w:tcBorders>
            <w:shd w:fill="auto" w:val="clear"/>
            <w:tcMar>
              <w:left w:w="160" w:type="dxa"/>
            </w:tcMar>
            <w:vAlign w:val="center"/>
          </w:tcPr>
          <w:p>
            <w:pPr>
              <w:pStyle w:val="TableContents"/>
              <w:spacing w:before="0" w:after="283"/>
              <w:rPr/>
            </w:pPr>
            <w:r>
              <w:rPr/>
              <w:t> </w:t>
            </w:r>
          </w:p>
        </w:tc>
        <w:tc>
          <w:tcPr>
            <w:tcW w:w="6245" w:type="dxa"/>
            <w:gridSpan w:val="2"/>
            <w:tcBorders/>
            <w:shd w:fill="auto" w:val="clear"/>
            <w:vAlign w:val="center"/>
          </w:tcPr>
          <w:p>
            <w:pPr>
              <w:pStyle w:val="TableContents"/>
              <w:spacing w:before="0" w:after="283"/>
              <w:rPr>
                <w:sz w:val="4"/>
                <w:szCs w:val="4"/>
              </w:rPr>
            </w:pPr>
            <w:r>
              <w:rPr>
                <w:sz w:val="4"/>
                <w:szCs w:val="4"/>
              </w:rPr>
            </w:r>
          </w:p>
        </w:tc>
        <w:tc>
          <w:tcPr>
            <w:tcW w:w="180" w:type="dxa"/>
            <w:gridSpan w:val="2"/>
            <w:tcBorders>
              <w:right w:val="dotted" w:sz="6" w:space="0" w:color="000000"/>
            </w:tcBorders>
            <w:shd w:fill="auto" w:val="clear"/>
            <w:tcMar>
              <w:right w:w="28" w:type="dxa"/>
            </w:tcMar>
            <w:vAlign w:val="center"/>
          </w:tcPr>
          <w:p>
            <w:pPr>
              <w:pStyle w:val="TableContents"/>
              <w:spacing w:before="0" w:after="283"/>
              <w:rPr/>
            </w:pPr>
            <w:r>
              <w:rPr/>
              <w:t> </w:t>
            </w:r>
          </w:p>
        </w:tc>
        <w:tc>
          <w:tcPr>
            <w:tcW w:w="785" w:type="dxa"/>
            <w:gridSpan w:val="2"/>
            <w:tcBorders/>
            <w:shd w:fill="auto" w:val="clear"/>
            <w:vAlign w:val="center"/>
          </w:tcPr>
          <w:p>
            <w:pPr>
              <w:pStyle w:val="TableContents"/>
              <w:spacing w:before="0" w:after="283"/>
              <w:rPr>
                <w:sz w:val="4"/>
                <w:szCs w:val="4"/>
              </w:rPr>
            </w:pPr>
            <w:r>
              <w:rPr>
                <w:sz w:val="4"/>
                <w:szCs w:val="4"/>
              </w:rPr>
            </w:r>
          </w:p>
        </w:tc>
        <w:tc>
          <w:tcPr>
            <w:tcW w:w="2840" w:type="dxa"/>
            <w:gridSpan w:val="2"/>
            <w:tcBorders>
              <w:left w:val="dotted" w:sz="6" w:space="0" w:color="000000"/>
              <w:right w:val="single" w:sz="6" w:space="0" w:color="000000"/>
            </w:tcBorders>
            <w:shd w:fill="auto" w:val="clear"/>
            <w:tcMar>
              <w:left w:w="28" w:type="dxa"/>
              <w:right w:w="28" w:type="dxa"/>
            </w:tcMar>
            <w:vAlign w:val="center"/>
          </w:tcPr>
          <w:p>
            <w:pPr>
              <w:pStyle w:val="TableContents"/>
              <w:spacing w:before="0" w:after="283"/>
              <w:rPr/>
            </w:pPr>
            <w:r>
              <w:rPr/>
              <w:t> </w:t>
            </w:r>
          </w:p>
        </w:tc>
      </w:tr>
      <w:tr>
        <w:trPr/>
        <w:tc>
          <w:tcPr>
            <w:tcW w:w="155" w:type="dxa"/>
            <w:tcBorders>
              <w:left w:val="single" w:sz="6" w:space="0" w:color="000000"/>
              <w:bottom w:val="single" w:sz="6" w:space="0" w:color="595959"/>
            </w:tcBorders>
            <w:shd w:fill="auto" w:val="clear"/>
            <w:tcMar>
              <w:left w:w="160" w:type="dxa"/>
              <w:bottom w:w="40" w:type="dxa"/>
            </w:tcMar>
            <w:vAlign w:val="center"/>
          </w:tcPr>
          <w:p>
            <w:pPr>
              <w:pStyle w:val="TableContents"/>
              <w:spacing w:before="0" w:after="0"/>
              <w:rPr/>
            </w:pPr>
            <w:r>
              <w:rPr/>
              <w:drawing>
                <wp:inline distT="0" distB="0" distL="0" distR="0">
                  <wp:extent cx="50165" cy="635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50165" cy="63500"/>
                          </a:xfrm>
                          <a:prstGeom prst="rect">
                            <a:avLst/>
                          </a:prstGeom>
                        </pic:spPr>
                      </pic:pic>
                    </a:graphicData>
                  </a:graphic>
                </wp:inline>
              </w:drawing>
            </w:r>
            <w:r>
              <w:rPr/>
              <w:t xml:space="preserve"> </w:t>
            </w:r>
          </w:p>
          <w:p>
            <w:pPr>
              <w:pStyle w:val="TableContents"/>
              <w:spacing w:before="0" w:after="20"/>
              <w:rPr/>
            </w:pPr>
            <w:r>
              <w:rPr/>
              <w:t> </w:t>
            </w:r>
          </w:p>
        </w:tc>
        <w:tc>
          <w:tcPr>
            <w:tcW w:w="60" w:type="dxa"/>
            <w:tcBorders>
              <w:bottom w:val="single" w:sz="6" w:space="0" w:color="595959"/>
            </w:tcBorders>
            <w:shd w:fill="auto" w:val="clear"/>
            <w:tcMar>
              <w:bottom w:w="28" w:type="dxa"/>
            </w:tcMar>
            <w:vAlign w:val="center"/>
          </w:tcPr>
          <w:p>
            <w:pPr>
              <w:pStyle w:val="TableContents"/>
              <w:spacing w:before="0" w:after="283"/>
              <w:rPr/>
            </w:pPr>
            <w:r>
              <w:rPr/>
              <w:t> </w:t>
            </w:r>
          </w:p>
        </w:tc>
        <w:tc>
          <w:tcPr>
            <w:tcW w:w="6185" w:type="dxa"/>
            <w:tcBorders>
              <w:bottom w:val="single" w:sz="6" w:space="0" w:color="595959"/>
            </w:tcBorders>
            <w:shd w:fill="auto" w:val="clear"/>
            <w:tcMar>
              <w:bottom w:w="40" w:type="dxa"/>
            </w:tcMar>
            <w:vAlign w:val="center"/>
          </w:tcPr>
          <w:p>
            <w:pPr>
              <w:pStyle w:val="TableContents"/>
              <w:spacing w:before="0" w:after="0"/>
              <w:rPr>
                <w:rFonts w:ascii="ARIAL" w:hAnsi="ARIAL"/>
                <w:b/>
                <w:sz w:val="18"/>
              </w:rPr>
            </w:pPr>
            <w:r>
              <w:rPr>
                <w:rFonts w:ascii="ARIAL" w:hAnsi="ARIAL"/>
                <w:b/>
                <w:sz w:val="18"/>
              </w:rPr>
              <w:t>Michael Dinkins</w:t>
            </w:r>
          </w:p>
          <w:p>
            <w:pPr>
              <w:pStyle w:val="TableContents"/>
              <w:spacing w:before="0" w:after="0"/>
              <w:rPr/>
            </w:pPr>
            <w:r>
              <w:rPr/>
              <w:t> </w:t>
            </w:r>
          </w:p>
          <w:p>
            <w:pPr>
              <w:pStyle w:val="TableContents"/>
              <w:spacing w:before="0" w:after="20"/>
              <w:rPr>
                <w:rFonts w:ascii="Times New Roman" w:hAnsi="Times New Roman"/>
                <w:sz w:val="16"/>
              </w:rPr>
            </w:pPr>
            <w:r>
              <w:rPr>
                <w:rFonts w:ascii="Times New Roman" w:hAnsi="Times New Roman"/>
                <w:sz w:val="16"/>
              </w:rPr>
              <w:t>Mr. Dinkins brings extensive experience, having previously served as chief financial officer of a publicly-traded company. He provides understanding of complex financial and operational issues and strategy and risk assessment processes. In addition, Mr. Dinkins brings the perspective of the insurance industry and the medical device industry to the Board. He is currently president and chief executive officer of Dinkins Financial.</w:t>
            </w:r>
          </w:p>
        </w:tc>
        <w:tc>
          <w:tcPr>
            <w:tcW w:w="60" w:type="dxa"/>
            <w:tcBorders>
              <w:bottom w:val="single" w:sz="6" w:space="0" w:color="595959"/>
            </w:tcBorders>
            <w:shd w:fill="auto" w:val="clear"/>
            <w:tcMar>
              <w:bottom w:w="28" w:type="dxa"/>
            </w:tcMar>
            <w:vAlign w:val="center"/>
          </w:tcPr>
          <w:p>
            <w:pPr>
              <w:pStyle w:val="TableContents"/>
              <w:spacing w:before="0" w:after="283"/>
              <w:rPr/>
            </w:pPr>
            <w:r>
              <w:rPr/>
              <w:t> </w:t>
            </w:r>
          </w:p>
        </w:tc>
        <w:tc>
          <w:tcPr>
            <w:tcW w:w="120" w:type="dxa"/>
            <w:tcBorders>
              <w:bottom w:val="single" w:sz="6" w:space="0" w:color="595959"/>
              <w:right w:val="dotted" w:sz="6" w:space="0" w:color="000000"/>
            </w:tcBorders>
            <w:shd w:fill="auto" w:val="clear"/>
            <w:tcMar>
              <w:bottom w:w="28" w:type="dxa"/>
              <w:right w:w="28" w:type="dxa"/>
            </w:tcMar>
            <w:vAlign w:val="center"/>
          </w:tcPr>
          <w:p>
            <w:pPr>
              <w:pStyle w:val="TableContents"/>
              <w:spacing w:before="0" w:after="283"/>
              <w:rPr/>
            </w:pPr>
            <w:r>
              <w:rPr/>
              <w:t> </w:t>
            </w:r>
          </w:p>
        </w:tc>
        <w:tc>
          <w:tcPr>
            <w:tcW w:w="60" w:type="dxa"/>
            <w:tcBorders>
              <w:bottom w:val="single" w:sz="6" w:space="0" w:color="595959"/>
            </w:tcBorders>
            <w:shd w:fill="auto" w:val="clear"/>
            <w:tcMar>
              <w:bottom w:w="28" w:type="dxa"/>
            </w:tcMar>
            <w:vAlign w:val="center"/>
          </w:tcPr>
          <w:p>
            <w:pPr>
              <w:pStyle w:val="TableContents"/>
              <w:spacing w:before="0" w:after="283"/>
              <w:rPr/>
            </w:pPr>
            <w:r>
              <w:rPr/>
              <w:t> </w:t>
            </w:r>
          </w:p>
        </w:tc>
        <w:tc>
          <w:tcPr>
            <w:tcW w:w="725" w:type="dxa"/>
            <w:tcBorders>
              <w:bottom w:val="single" w:sz="6" w:space="0" w:color="595959"/>
            </w:tcBorders>
            <w:shd w:fill="auto" w:val="clear"/>
            <w:tcMar>
              <w:bottom w:w="40" w:type="dxa"/>
            </w:tcMar>
            <w:vAlign w:val="center"/>
          </w:tcPr>
          <w:p>
            <w:pPr>
              <w:pStyle w:val="TableContents"/>
              <w:spacing w:before="0" w:after="283"/>
              <w:jc w:val="center"/>
              <w:rPr>
                <w:b/>
              </w:rPr>
            </w:pPr>
            <w:r>
              <w:rPr>
                <w:b/>
              </w:rPr>
              <w:t>2017</w:t>
            </w:r>
          </w:p>
        </w:tc>
        <w:tc>
          <w:tcPr>
            <w:tcW w:w="60" w:type="dxa"/>
            <w:tcBorders>
              <w:left w:val="dotted" w:sz="6" w:space="0" w:color="000000"/>
              <w:bottom w:val="single" w:sz="6" w:space="0" w:color="595959"/>
            </w:tcBorders>
            <w:shd w:fill="auto" w:val="clear"/>
            <w:tcMar>
              <w:left w:w="28" w:type="dxa"/>
              <w:bottom w:w="28" w:type="dxa"/>
            </w:tcMar>
            <w:vAlign w:val="center"/>
          </w:tcPr>
          <w:p>
            <w:pPr>
              <w:pStyle w:val="TableContents"/>
              <w:spacing w:before="0" w:after="283"/>
              <w:rPr/>
            </w:pPr>
            <w:r>
              <w:rPr/>
              <w:t> </w:t>
            </w:r>
          </w:p>
        </w:tc>
        <w:tc>
          <w:tcPr>
            <w:tcW w:w="2780" w:type="dxa"/>
            <w:tcBorders>
              <w:bottom w:val="single" w:sz="6" w:space="0" w:color="595959"/>
              <w:right w:val="single" w:sz="6" w:space="0" w:color="000000"/>
            </w:tcBorders>
            <w:shd w:fill="auto" w:val="clear"/>
            <w:tcMar>
              <w:bottom w:w="40" w:type="dxa"/>
              <w:right w:w="40" w:type="dxa"/>
            </w:tcMar>
            <w:vAlign w:val="center"/>
          </w:tcPr>
          <w:p>
            <w:pPr>
              <w:pStyle w:val="TableContents"/>
              <w:spacing w:before="0" w:after="283"/>
              <w:jc w:val="center"/>
              <w:rPr>
                <w:b/>
              </w:rPr>
            </w:pPr>
            <w:r>
              <w:rPr>
                <w:b/>
              </w:rPr>
              <w:t>Audit &amp; Compliance*</w:t>
            </w:r>
          </w:p>
        </w:tc>
      </w:tr>
      <w:tr>
        <w:trPr/>
        <w:tc>
          <w:tcPr>
            <w:tcW w:w="155" w:type="dxa"/>
            <w:tcBorders>
              <w:left w:val="single" w:sz="6" w:space="0" w:color="000000"/>
            </w:tcBorders>
            <w:shd w:fill="auto" w:val="clear"/>
            <w:tcMar>
              <w:left w:w="160" w:type="dxa"/>
            </w:tcMar>
            <w:vAlign w:val="center"/>
          </w:tcPr>
          <w:p>
            <w:pPr>
              <w:pStyle w:val="TableContents"/>
              <w:spacing w:before="0" w:after="283"/>
              <w:rPr/>
            </w:pPr>
            <w:r>
              <w:rPr/>
              <w:t> </w:t>
            </w:r>
          </w:p>
        </w:tc>
        <w:tc>
          <w:tcPr>
            <w:tcW w:w="6245" w:type="dxa"/>
            <w:gridSpan w:val="2"/>
            <w:tcBorders/>
            <w:shd w:fill="auto" w:val="clear"/>
            <w:vAlign w:val="center"/>
          </w:tcPr>
          <w:p>
            <w:pPr>
              <w:pStyle w:val="TableContents"/>
              <w:spacing w:before="0" w:after="283"/>
              <w:rPr>
                <w:sz w:val="4"/>
                <w:szCs w:val="4"/>
              </w:rPr>
            </w:pPr>
            <w:r>
              <w:rPr>
                <w:sz w:val="4"/>
                <w:szCs w:val="4"/>
              </w:rPr>
            </w:r>
          </w:p>
        </w:tc>
        <w:tc>
          <w:tcPr>
            <w:tcW w:w="180" w:type="dxa"/>
            <w:gridSpan w:val="2"/>
            <w:tcBorders>
              <w:right w:val="dotted" w:sz="6" w:space="0" w:color="000000"/>
            </w:tcBorders>
            <w:shd w:fill="auto" w:val="clear"/>
            <w:tcMar>
              <w:right w:w="28" w:type="dxa"/>
            </w:tcMar>
            <w:vAlign w:val="center"/>
          </w:tcPr>
          <w:p>
            <w:pPr>
              <w:pStyle w:val="TableContents"/>
              <w:spacing w:before="0" w:after="283"/>
              <w:rPr/>
            </w:pPr>
            <w:r>
              <w:rPr/>
              <w:t> </w:t>
            </w:r>
          </w:p>
        </w:tc>
        <w:tc>
          <w:tcPr>
            <w:tcW w:w="785" w:type="dxa"/>
            <w:gridSpan w:val="2"/>
            <w:tcBorders/>
            <w:shd w:fill="auto" w:val="clear"/>
            <w:vAlign w:val="center"/>
          </w:tcPr>
          <w:p>
            <w:pPr>
              <w:pStyle w:val="TableContents"/>
              <w:spacing w:before="0" w:after="283"/>
              <w:rPr>
                <w:sz w:val="4"/>
                <w:szCs w:val="4"/>
              </w:rPr>
            </w:pPr>
            <w:r>
              <w:rPr>
                <w:sz w:val="4"/>
                <w:szCs w:val="4"/>
              </w:rPr>
            </w:r>
          </w:p>
        </w:tc>
        <w:tc>
          <w:tcPr>
            <w:tcW w:w="2840" w:type="dxa"/>
            <w:gridSpan w:val="2"/>
            <w:tcBorders>
              <w:left w:val="dotted" w:sz="6" w:space="0" w:color="000000"/>
              <w:right w:val="single" w:sz="6" w:space="0" w:color="000000"/>
            </w:tcBorders>
            <w:shd w:fill="auto" w:val="clear"/>
            <w:tcMar>
              <w:left w:w="28" w:type="dxa"/>
              <w:right w:w="28" w:type="dxa"/>
            </w:tcMar>
            <w:vAlign w:val="center"/>
          </w:tcPr>
          <w:p>
            <w:pPr>
              <w:pStyle w:val="TableContents"/>
              <w:spacing w:before="0" w:after="283"/>
              <w:rPr/>
            </w:pPr>
            <w:r>
              <w:rPr/>
              <w:t> </w:t>
            </w:r>
          </w:p>
        </w:tc>
      </w:tr>
      <w:tr>
        <w:trPr/>
        <w:tc>
          <w:tcPr>
            <w:tcW w:w="155" w:type="dxa"/>
            <w:tcBorders>
              <w:left w:val="single" w:sz="6" w:space="0" w:color="000000"/>
              <w:bottom w:val="single" w:sz="6" w:space="0" w:color="595959"/>
            </w:tcBorders>
            <w:shd w:fill="auto" w:val="clear"/>
            <w:tcMar>
              <w:left w:w="160" w:type="dxa"/>
              <w:bottom w:w="28" w:type="dxa"/>
            </w:tcMar>
            <w:vAlign w:val="center"/>
          </w:tcPr>
          <w:p>
            <w:pPr>
              <w:pStyle w:val="TableContents"/>
              <w:spacing w:before="0" w:after="0"/>
              <w:rPr/>
            </w:pPr>
            <w:r>
              <w:rPr/>
              <w:drawing>
                <wp:inline distT="0" distB="0" distL="0" distR="0">
                  <wp:extent cx="50165" cy="635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50165" cy="63500"/>
                          </a:xfrm>
                          <a:prstGeom prst="rect">
                            <a:avLst/>
                          </a:prstGeom>
                        </pic:spPr>
                      </pic:pic>
                    </a:graphicData>
                  </a:graphic>
                </wp:inline>
              </w:drawing>
            </w:r>
            <w:r>
              <w:rPr/>
              <w:t xml:space="preserve"> </w:t>
            </w:r>
          </w:p>
          <w:p>
            <w:pPr>
              <w:pStyle w:val="TableContents"/>
              <w:spacing w:before="0" w:after="20"/>
              <w:rPr/>
            </w:pPr>
            <w:r>
              <w:rPr/>
              <w:t> </w:t>
            </w:r>
          </w:p>
        </w:tc>
        <w:tc>
          <w:tcPr>
            <w:tcW w:w="60" w:type="dxa"/>
            <w:tcBorders>
              <w:bottom w:val="single" w:sz="6" w:space="0" w:color="595959"/>
            </w:tcBorders>
            <w:shd w:fill="auto" w:val="clear"/>
            <w:tcMar>
              <w:bottom w:w="28" w:type="dxa"/>
            </w:tcMar>
            <w:vAlign w:val="center"/>
          </w:tcPr>
          <w:p>
            <w:pPr>
              <w:pStyle w:val="TableContents"/>
              <w:spacing w:before="0" w:after="283"/>
              <w:rPr/>
            </w:pPr>
            <w:r>
              <w:rPr/>
              <w:t> </w:t>
            </w:r>
          </w:p>
        </w:tc>
        <w:tc>
          <w:tcPr>
            <w:tcW w:w="6185" w:type="dxa"/>
            <w:tcBorders>
              <w:bottom w:val="single" w:sz="6" w:space="0" w:color="595959"/>
            </w:tcBorders>
            <w:shd w:fill="auto" w:val="clear"/>
            <w:tcMar>
              <w:bottom w:w="28" w:type="dxa"/>
            </w:tcMar>
            <w:vAlign w:val="center"/>
          </w:tcPr>
          <w:p>
            <w:pPr>
              <w:pStyle w:val="TableContents"/>
              <w:spacing w:before="0" w:after="0"/>
              <w:rPr>
                <w:rFonts w:ascii="ARIAL" w:hAnsi="ARIAL"/>
                <w:b/>
                <w:sz w:val="18"/>
              </w:rPr>
            </w:pPr>
            <w:r>
              <w:rPr>
                <w:rFonts w:ascii="ARIAL" w:hAnsi="ARIAL"/>
                <w:b/>
                <w:sz w:val="18"/>
              </w:rPr>
              <w:t>James S. Ely III</w:t>
            </w:r>
          </w:p>
          <w:p>
            <w:pPr>
              <w:pStyle w:val="TableContents"/>
              <w:spacing w:before="0" w:after="20"/>
              <w:rPr>
                <w:rFonts w:ascii="Times New Roman" w:hAnsi="Times New Roman"/>
                <w:sz w:val="16"/>
              </w:rPr>
            </w:pPr>
            <w:r>
              <w:rPr>
                <w:rFonts w:ascii="Times New Roman" w:hAnsi="Times New Roman"/>
                <w:sz w:val="16"/>
              </w:rPr>
              <w:t>Mr. Ely’s extensive experience in the financing industry and in the healthcare sector in particular, provides a needed area of expertise. He is able to assist our Board and management in evaluating financing opportunities, as he has specific experience in financing the types of indebtedness reflected on our balance sheet. Mr. Ely founded PriCap Advisors, LLC, an investment management firm, and currently serves as its chief executive officer.</w:t>
            </w:r>
          </w:p>
        </w:tc>
        <w:tc>
          <w:tcPr>
            <w:tcW w:w="60" w:type="dxa"/>
            <w:tcBorders>
              <w:bottom w:val="single" w:sz="6" w:space="0" w:color="595959"/>
            </w:tcBorders>
            <w:shd w:fill="auto" w:val="clear"/>
            <w:tcMar>
              <w:bottom w:w="28" w:type="dxa"/>
            </w:tcMar>
            <w:vAlign w:val="center"/>
          </w:tcPr>
          <w:p>
            <w:pPr>
              <w:pStyle w:val="TableContents"/>
              <w:spacing w:before="0" w:after="283"/>
              <w:rPr/>
            </w:pPr>
            <w:r>
              <w:rPr/>
              <w:t> </w:t>
            </w:r>
          </w:p>
        </w:tc>
        <w:tc>
          <w:tcPr>
            <w:tcW w:w="120" w:type="dxa"/>
            <w:tcBorders>
              <w:bottom w:val="single" w:sz="6" w:space="0" w:color="595959"/>
              <w:right w:val="dotted" w:sz="6" w:space="0" w:color="000000"/>
            </w:tcBorders>
            <w:shd w:fill="auto" w:val="clear"/>
            <w:tcMar>
              <w:bottom w:w="28" w:type="dxa"/>
              <w:right w:w="28" w:type="dxa"/>
            </w:tcMar>
            <w:vAlign w:val="center"/>
          </w:tcPr>
          <w:p>
            <w:pPr>
              <w:pStyle w:val="TableContents"/>
              <w:spacing w:before="0" w:after="283"/>
              <w:rPr/>
            </w:pPr>
            <w:r>
              <w:rPr/>
              <w:t> </w:t>
            </w:r>
          </w:p>
        </w:tc>
        <w:tc>
          <w:tcPr>
            <w:tcW w:w="60" w:type="dxa"/>
            <w:tcBorders>
              <w:bottom w:val="single" w:sz="6" w:space="0" w:color="595959"/>
            </w:tcBorders>
            <w:shd w:fill="auto" w:val="clear"/>
            <w:tcMar>
              <w:bottom w:w="28" w:type="dxa"/>
            </w:tcMar>
            <w:vAlign w:val="center"/>
          </w:tcPr>
          <w:p>
            <w:pPr>
              <w:pStyle w:val="TableContents"/>
              <w:spacing w:before="0" w:after="283"/>
              <w:rPr/>
            </w:pPr>
            <w:r>
              <w:rPr/>
              <w:t> </w:t>
            </w:r>
          </w:p>
        </w:tc>
        <w:tc>
          <w:tcPr>
            <w:tcW w:w="725" w:type="dxa"/>
            <w:tcBorders>
              <w:bottom w:val="single" w:sz="6" w:space="0" w:color="595959"/>
            </w:tcBorders>
            <w:shd w:fill="auto" w:val="clear"/>
            <w:tcMar>
              <w:bottom w:w="28" w:type="dxa"/>
            </w:tcMar>
            <w:vAlign w:val="center"/>
          </w:tcPr>
          <w:p>
            <w:pPr>
              <w:pStyle w:val="TableContents"/>
              <w:spacing w:before="0" w:after="283"/>
              <w:jc w:val="center"/>
              <w:rPr>
                <w:b/>
              </w:rPr>
            </w:pPr>
            <w:r>
              <w:rPr>
                <w:b/>
              </w:rPr>
              <w:t>2009</w:t>
            </w:r>
          </w:p>
        </w:tc>
        <w:tc>
          <w:tcPr>
            <w:tcW w:w="60" w:type="dxa"/>
            <w:tcBorders>
              <w:left w:val="dotted" w:sz="6" w:space="0" w:color="000000"/>
              <w:bottom w:val="single" w:sz="6" w:space="0" w:color="595959"/>
            </w:tcBorders>
            <w:shd w:fill="auto" w:val="clear"/>
            <w:tcMar>
              <w:left w:w="28" w:type="dxa"/>
              <w:bottom w:w="28" w:type="dxa"/>
            </w:tcMar>
            <w:vAlign w:val="center"/>
          </w:tcPr>
          <w:p>
            <w:pPr>
              <w:pStyle w:val="TableContents"/>
              <w:spacing w:before="0" w:after="283"/>
              <w:rPr/>
            </w:pPr>
            <w:r>
              <w:rPr/>
              <w:t> </w:t>
            </w:r>
          </w:p>
        </w:tc>
        <w:tc>
          <w:tcPr>
            <w:tcW w:w="2780" w:type="dxa"/>
            <w:tcBorders>
              <w:bottom w:val="single" w:sz="6" w:space="0" w:color="595959"/>
              <w:right w:val="single" w:sz="6" w:space="0" w:color="000000"/>
            </w:tcBorders>
            <w:shd w:fill="auto" w:val="clear"/>
            <w:tcMar>
              <w:bottom w:w="28" w:type="dxa"/>
              <w:right w:w="40" w:type="dxa"/>
            </w:tcMar>
            <w:vAlign w:val="center"/>
          </w:tcPr>
          <w:p>
            <w:pPr>
              <w:pStyle w:val="TableContents"/>
              <w:spacing w:before="0" w:after="0"/>
              <w:jc w:val="center"/>
              <w:rPr>
                <w:rFonts w:ascii="ARIAL" w:hAnsi="ARIAL"/>
                <w:b/>
                <w:sz w:val="16"/>
              </w:rPr>
            </w:pPr>
            <w:r>
              <w:rPr>
                <w:rFonts w:ascii="ARIAL" w:hAnsi="ARIAL"/>
                <w:b/>
                <w:sz w:val="16"/>
              </w:rPr>
              <w:t>Compensation*</w:t>
            </w:r>
          </w:p>
          <w:p>
            <w:pPr>
              <w:pStyle w:val="TableContents"/>
              <w:spacing w:before="0" w:after="20"/>
              <w:jc w:val="center"/>
              <w:rPr>
                <w:rFonts w:ascii="ARIAL" w:hAnsi="ARIAL"/>
                <w:b/>
                <w:sz w:val="16"/>
              </w:rPr>
            </w:pPr>
            <w:r>
              <w:rPr>
                <w:rFonts w:ascii="ARIAL" w:hAnsi="ARIAL"/>
                <w:b/>
                <w:sz w:val="16"/>
              </w:rPr>
              <w:t>Audit &amp; Compliance</w:t>
            </w:r>
          </w:p>
        </w:tc>
      </w:tr>
      <w:tr>
        <w:trPr/>
        <w:tc>
          <w:tcPr>
            <w:tcW w:w="155" w:type="dxa"/>
            <w:tcBorders>
              <w:left w:val="single" w:sz="6" w:space="0" w:color="000000"/>
            </w:tcBorders>
            <w:shd w:fill="auto" w:val="clear"/>
            <w:tcMar>
              <w:left w:w="160" w:type="dxa"/>
            </w:tcMar>
            <w:vAlign w:val="center"/>
          </w:tcPr>
          <w:p>
            <w:pPr>
              <w:pStyle w:val="TableContents"/>
              <w:spacing w:before="0" w:after="283"/>
              <w:rPr/>
            </w:pPr>
            <w:r>
              <w:rPr/>
              <w:t> </w:t>
            </w:r>
          </w:p>
        </w:tc>
        <w:tc>
          <w:tcPr>
            <w:tcW w:w="6245" w:type="dxa"/>
            <w:gridSpan w:val="2"/>
            <w:tcBorders/>
            <w:shd w:fill="auto" w:val="clear"/>
            <w:vAlign w:val="center"/>
          </w:tcPr>
          <w:p>
            <w:pPr>
              <w:pStyle w:val="TableContents"/>
              <w:spacing w:before="0" w:after="283"/>
              <w:rPr>
                <w:sz w:val="4"/>
                <w:szCs w:val="4"/>
              </w:rPr>
            </w:pPr>
            <w:r>
              <w:rPr>
                <w:sz w:val="4"/>
                <w:szCs w:val="4"/>
              </w:rPr>
            </w:r>
          </w:p>
        </w:tc>
        <w:tc>
          <w:tcPr>
            <w:tcW w:w="180" w:type="dxa"/>
            <w:gridSpan w:val="2"/>
            <w:tcBorders>
              <w:right w:val="dotted" w:sz="6" w:space="0" w:color="000000"/>
            </w:tcBorders>
            <w:shd w:fill="auto" w:val="clear"/>
            <w:tcMar>
              <w:right w:w="28" w:type="dxa"/>
            </w:tcMar>
            <w:vAlign w:val="center"/>
          </w:tcPr>
          <w:p>
            <w:pPr>
              <w:pStyle w:val="TableContents"/>
              <w:spacing w:before="0" w:after="283"/>
              <w:rPr/>
            </w:pPr>
            <w:r>
              <w:rPr/>
              <w:t> </w:t>
            </w:r>
          </w:p>
        </w:tc>
        <w:tc>
          <w:tcPr>
            <w:tcW w:w="785" w:type="dxa"/>
            <w:gridSpan w:val="2"/>
            <w:tcBorders/>
            <w:shd w:fill="auto" w:val="clear"/>
            <w:vAlign w:val="center"/>
          </w:tcPr>
          <w:p>
            <w:pPr>
              <w:pStyle w:val="TableContents"/>
              <w:spacing w:before="0" w:after="283"/>
              <w:rPr>
                <w:sz w:val="4"/>
                <w:szCs w:val="4"/>
              </w:rPr>
            </w:pPr>
            <w:r>
              <w:rPr>
                <w:sz w:val="4"/>
                <w:szCs w:val="4"/>
              </w:rPr>
            </w:r>
          </w:p>
        </w:tc>
        <w:tc>
          <w:tcPr>
            <w:tcW w:w="2840" w:type="dxa"/>
            <w:gridSpan w:val="2"/>
            <w:tcBorders>
              <w:left w:val="dotted" w:sz="6" w:space="0" w:color="000000"/>
              <w:right w:val="single" w:sz="6" w:space="0" w:color="000000"/>
            </w:tcBorders>
            <w:shd w:fill="auto" w:val="clear"/>
            <w:tcMar>
              <w:left w:w="28" w:type="dxa"/>
              <w:right w:w="28" w:type="dxa"/>
            </w:tcMar>
            <w:vAlign w:val="center"/>
          </w:tcPr>
          <w:p>
            <w:pPr>
              <w:pStyle w:val="TableContents"/>
              <w:spacing w:before="0" w:after="283"/>
              <w:rPr/>
            </w:pPr>
            <w:r>
              <w:rPr/>
              <w:t> </w:t>
            </w:r>
          </w:p>
        </w:tc>
      </w:tr>
      <w:tr>
        <w:trPr/>
        <w:tc>
          <w:tcPr>
            <w:tcW w:w="155" w:type="dxa"/>
            <w:tcBorders>
              <w:left w:val="single" w:sz="6" w:space="0" w:color="000000"/>
              <w:bottom w:val="single" w:sz="6" w:space="0" w:color="595959"/>
            </w:tcBorders>
            <w:shd w:fill="auto" w:val="clear"/>
            <w:tcMar>
              <w:left w:w="160" w:type="dxa"/>
              <w:bottom w:w="40" w:type="dxa"/>
            </w:tcMar>
            <w:vAlign w:val="center"/>
          </w:tcPr>
          <w:p>
            <w:pPr>
              <w:pStyle w:val="TableContents"/>
              <w:spacing w:before="0" w:after="0"/>
              <w:rPr/>
            </w:pPr>
            <w:r>
              <w:rPr/>
              <w:drawing>
                <wp:inline distT="0" distB="0" distL="0" distR="0">
                  <wp:extent cx="50165" cy="635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50165" cy="63500"/>
                          </a:xfrm>
                          <a:prstGeom prst="rect">
                            <a:avLst/>
                          </a:prstGeom>
                        </pic:spPr>
                      </pic:pic>
                    </a:graphicData>
                  </a:graphic>
                </wp:inline>
              </w:drawing>
            </w:r>
            <w:r>
              <w:rPr/>
              <w:t xml:space="preserve"> </w:t>
            </w:r>
          </w:p>
          <w:p>
            <w:pPr>
              <w:pStyle w:val="TableContents"/>
              <w:spacing w:before="0" w:after="20"/>
              <w:rPr/>
            </w:pPr>
            <w:r>
              <w:rPr/>
              <w:t> </w:t>
            </w:r>
          </w:p>
        </w:tc>
        <w:tc>
          <w:tcPr>
            <w:tcW w:w="60" w:type="dxa"/>
            <w:tcBorders>
              <w:bottom w:val="single" w:sz="6" w:space="0" w:color="595959"/>
            </w:tcBorders>
            <w:shd w:fill="auto" w:val="clear"/>
            <w:tcMar>
              <w:bottom w:w="28" w:type="dxa"/>
            </w:tcMar>
            <w:vAlign w:val="center"/>
          </w:tcPr>
          <w:p>
            <w:pPr>
              <w:pStyle w:val="TableContents"/>
              <w:spacing w:before="0" w:after="283"/>
              <w:rPr/>
            </w:pPr>
            <w:r>
              <w:rPr/>
              <w:t> </w:t>
            </w:r>
          </w:p>
        </w:tc>
        <w:tc>
          <w:tcPr>
            <w:tcW w:w="6185" w:type="dxa"/>
            <w:tcBorders>
              <w:bottom w:val="single" w:sz="6" w:space="0" w:color="595959"/>
            </w:tcBorders>
            <w:shd w:fill="auto" w:val="clear"/>
            <w:tcMar>
              <w:bottom w:w="40" w:type="dxa"/>
            </w:tcMar>
            <w:vAlign w:val="center"/>
          </w:tcPr>
          <w:p>
            <w:pPr>
              <w:pStyle w:val="TableContents"/>
              <w:spacing w:before="0" w:after="0"/>
              <w:rPr>
                <w:rFonts w:ascii="ARIAL" w:hAnsi="ARIAL"/>
                <w:b/>
                <w:sz w:val="18"/>
              </w:rPr>
            </w:pPr>
            <w:r>
              <w:rPr>
                <w:rFonts w:ascii="ARIAL" w:hAnsi="ARIAL"/>
                <w:b/>
                <w:sz w:val="18"/>
              </w:rPr>
              <w:t>John A. Fry</w:t>
            </w:r>
          </w:p>
          <w:p>
            <w:pPr>
              <w:pStyle w:val="TableContents"/>
              <w:spacing w:before="0" w:after="0"/>
              <w:rPr/>
            </w:pPr>
            <w:r>
              <w:rPr/>
              <w:t> </w:t>
            </w:r>
          </w:p>
          <w:p>
            <w:pPr>
              <w:pStyle w:val="TableContents"/>
              <w:spacing w:before="0" w:after="20"/>
              <w:rPr>
                <w:rFonts w:ascii="Times New Roman" w:hAnsi="Times New Roman"/>
                <w:sz w:val="16"/>
              </w:rPr>
            </w:pPr>
            <w:r>
              <w:rPr>
                <w:rFonts w:ascii="Times New Roman" w:hAnsi="Times New Roman"/>
                <w:sz w:val="16"/>
              </w:rPr>
              <w:t>Mr. Fry’s experience as the president of an academic institution, experience with the University of Pennsylvania Health System, and service on the boards of non-profit institutions, bring important perspectives to our Board. His familiarity with the issues faced by non-profit organizations assists in understanding the competitive environment. His experience in financial management, financial reporting, audit and compliance, and risk management are valuable skill sets. He is currently the President of Drexel University in Philadelphia, Pennsylvania.</w:t>
            </w:r>
          </w:p>
        </w:tc>
        <w:tc>
          <w:tcPr>
            <w:tcW w:w="60" w:type="dxa"/>
            <w:tcBorders>
              <w:bottom w:val="single" w:sz="6" w:space="0" w:color="595959"/>
            </w:tcBorders>
            <w:shd w:fill="auto" w:val="clear"/>
            <w:tcMar>
              <w:bottom w:w="28" w:type="dxa"/>
            </w:tcMar>
            <w:vAlign w:val="center"/>
          </w:tcPr>
          <w:p>
            <w:pPr>
              <w:pStyle w:val="TableContents"/>
              <w:spacing w:before="0" w:after="283"/>
              <w:rPr/>
            </w:pPr>
            <w:r>
              <w:rPr/>
              <w:t> </w:t>
            </w:r>
          </w:p>
        </w:tc>
        <w:tc>
          <w:tcPr>
            <w:tcW w:w="120" w:type="dxa"/>
            <w:tcBorders>
              <w:bottom w:val="single" w:sz="6" w:space="0" w:color="595959"/>
              <w:right w:val="dotted" w:sz="6" w:space="0" w:color="000000"/>
            </w:tcBorders>
            <w:shd w:fill="auto" w:val="clear"/>
            <w:tcMar>
              <w:bottom w:w="28" w:type="dxa"/>
              <w:right w:w="28" w:type="dxa"/>
            </w:tcMar>
            <w:vAlign w:val="center"/>
          </w:tcPr>
          <w:p>
            <w:pPr>
              <w:pStyle w:val="TableContents"/>
              <w:spacing w:before="0" w:after="283"/>
              <w:rPr/>
            </w:pPr>
            <w:r>
              <w:rPr/>
              <w:t> </w:t>
            </w:r>
          </w:p>
        </w:tc>
        <w:tc>
          <w:tcPr>
            <w:tcW w:w="60" w:type="dxa"/>
            <w:tcBorders>
              <w:bottom w:val="single" w:sz="6" w:space="0" w:color="595959"/>
            </w:tcBorders>
            <w:shd w:fill="auto" w:val="clear"/>
            <w:tcMar>
              <w:bottom w:w="28" w:type="dxa"/>
            </w:tcMar>
            <w:vAlign w:val="center"/>
          </w:tcPr>
          <w:p>
            <w:pPr>
              <w:pStyle w:val="TableContents"/>
              <w:spacing w:before="0" w:after="283"/>
              <w:rPr/>
            </w:pPr>
            <w:r>
              <w:rPr/>
              <w:t> </w:t>
            </w:r>
          </w:p>
        </w:tc>
        <w:tc>
          <w:tcPr>
            <w:tcW w:w="725" w:type="dxa"/>
            <w:tcBorders>
              <w:bottom w:val="single" w:sz="6" w:space="0" w:color="595959"/>
            </w:tcBorders>
            <w:shd w:fill="auto" w:val="clear"/>
            <w:tcMar>
              <w:bottom w:w="40" w:type="dxa"/>
            </w:tcMar>
            <w:vAlign w:val="center"/>
          </w:tcPr>
          <w:p>
            <w:pPr>
              <w:pStyle w:val="TableContents"/>
              <w:spacing w:before="0" w:after="283"/>
              <w:jc w:val="center"/>
              <w:rPr>
                <w:b/>
              </w:rPr>
            </w:pPr>
            <w:r>
              <w:rPr>
                <w:b/>
              </w:rPr>
              <w:t>2004</w:t>
            </w:r>
          </w:p>
        </w:tc>
        <w:tc>
          <w:tcPr>
            <w:tcW w:w="60" w:type="dxa"/>
            <w:tcBorders>
              <w:left w:val="dotted" w:sz="6" w:space="0" w:color="000000"/>
              <w:bottom w:val="single" w:sz="6" w:space="0" w:color="595959"/>
            </w:tcBorders>
            <w:shd w:fill="auto" w:val="clear"/>
            <w:tcMar>
              <w:left w:w="28" w:type="dxa"/>
              <w:bottom w:w="28" w:type="dxa"/>
            </w:tcMar>
            <w:vAlign w:val="center"/>
          </w:tcPr>
          <w:p>
            <w:pPr>
              <w:pStyle w:val="TableContents"/>
              <w:spacing w:before="0" w:after="283"/>
              <w:rPr/>
            </w:pPr>
            <w:r>
              <w:rPr/>
              <w:t> </w:t>
            </w:r>
          </w:p>
        </w:tc>
        <w:tc>
          <w:tcPr>
            <w:tcW w:w="2780" w:type="dxa"/>
            <w:tcBorders>
              <w:bottom w:val="single" w:sz="6" w:space="0" w:color="595959"/>
              <w:right w:val="single" w:sz="6" w:space="0" w:color="000000"/>
            </w:tcBorders>
            <w:shd w:fill="auto" w:val="clear"/>
            <w:tcMar>
              <w:bottom w:w="40" w:type="dxa"/>
              <w:right w:w="40" w:type="dxa"/>
            </w:tcMar>
            <w:vAlign w:val="center"/>
          </w:tcPr>
          <w:p>
            <w:pPr>
              <w:pStyle w:val="TableContents"/>
              <w:spacing w:before="0" w:after="0"/>
              <w:jc w:val="center"/>
              <w:rPr>
                <w:rFonts w:ascii="ARIAL" w:hAnsi="ARIAL"/>
                <w:b/>
                <w:sz w:val="16"/>
              </w:rPr>
            </w:pPr>
            <w:r>
              <w:rPr>
                <w:rFonts w:ascii="ARIAL" w:hAnsi="ARIAL"/>
                <w:b/>
                <w:sz w:val="16"/>
              </w:rPr>
              <w:t>Governance &amp; Nominating*</w:t>
            </w:r>
          </w:p>
          <w:p>
            <w:pPr>
              <w:pStyle w:val="TableContents"/>
              <w:spacing w:before="0" w:after="20"/>
              <w:jc w:val="center"/>
              <w:rPr>
                <w:rFonts w:ascii="ARIAL" w:hAnsi="ARIAL"/>
                <w:b/>
                <w:sz w:val="16"/>
              </w:rPr>
            </w:pPr>
            <w:r>
              <w:rPr>
                <w:rFonts w:ascii="ARIAL" w:hAnsi="ARIAL"/>
                <w:b/>
                <w:sz w:val="16"/>
              </w:rPr>
              <w:t>Compensation</w:t>
            </w:r>
          </w:p>
        </w:tc>
      </w:tr>
      <w:tr>
        <w:trPr/>
        <w:tc>
          <w:tcPr>
            <w:tcW w:w="155" w:type="dxa"/>
            <w:tcBorders>
              <w:left w:val="single" w:sz="6" w:space="0" w:color="000000"/>
            </w:tcBorders>
            <w:shd w:fill="auto" w:val="clear"/>
            <w:tcMar>
              <w:left w:w="160" w:type="dxa"/>
            </w:tcMar>
            <w:vAlign w:val="center"/>
          </w:tcPr>
          <w:p>
            <w:pPr>
              <w:pStyle w:val="TableContents"/>
              <w:spacing w:before="0" w:after="283"/>
              <w:rPr/>
            </w:pPr>
            <w:r>
              <w:rPr/>
              <w:t> </w:t>
            </w:r>
          </w:p>
        </w:tc>
        <w:tc>
          <w:tcPr>
            <w:tcW w:w="6245" w:type="dxa"/>
            <w:gridSpan w:val="2"/>
            <w:tcBorders/>
            <w:shd w:fill="auto" w:val="clear"/>
            <w:vAlign w:val="center"/>
          </w:tcPr>
          <w:p>
            <w:pPr>
              <w:pStyle w:val="TableContents"/>
              <w:spacing w:before="0" w:after="283"/>
              <w:rPr>
                <w:sz w:val="4"/>
                <w:szCs w:val="4"/>
              </w:rPr>
            </w:pPr>
            <w:r>
              <w:rPr>
                <w:sz w:val="4"/>
                <w:szCs w:val="4"/>
              </w:rPr>
            </w:r>
          </w:p>
        </w:tc>
        <w:tc>
          <w:tcPr>
            <w:tcW w:w="180" w:type="dxa"/>
            <w:gridSpan w:val="2"/>
            <w:tcBorders>
              <w:right w:val="dotted" w:sz="6" w:space="0" w:color="000000"/>
            </w:tcBorders>
            <w:shd w:fill="auto" w:val="clear"/>
            <w:tcMar>
              <w:right w:w="28" w:type="dxa"/>
            </w:tcMar>
            <w:vAlign w:val="center"/>
          </w:tcPr>
          <w:p>
            <w:pPr>
              <w:pStyle w:val="TableContents"/>
              <w:spacing w:before="0" w:after="283"/>
              <w:rPr/>
            </w:pPr>
            <w:r>
              <w:rPr/>
              <w:t> </w:t>
            </w:r>
          </w:p>
        </w:tc>
        <w:tc>
          <w:tcPr>
            <w:tcW w:w="785" w:type="dxa"/>
            <w:gridSpan w:val="2"/>
            <w:tcBorders/>
            <w:shd w:fill="auto" w:val="clear"/>
            <w:vAlign w:val="center"/>
          </w:tcPr>
          <w:p>
            <w:pPr>
              <w:pStyle w:val="TableContents"/>
              <w:spacing w:before="0" w:after="283"/>
              <w:rPr>
                <w:sz w:val="4"/>
                <w:szCs w:val="4"/>
              </w:rPr>
            </w:pPr>
            <w:r>
              <w:rPr>
                <w:sz w:val="4"/>
                <w:szCs w:val="4"/>
              </w:rPr>
            </w:r>
          </w:p>
        </w:tc>
        <w:tc>
          <w:tcPr>
            <w:tcW w:w="2840" w:type="dxa"/>
            <w:gridSpan w:val="2"/>
            <w:tcBorders>
              <w:left w:val="dotted" w:sz="6" w:space="0" w:color="000000"/>
              <w:right w:val="single" w:sz="6" w:space="0" w:color="000000"/>
            </w:tcBorders>
            <w:shd w:fill="auto" w:val="clear"/>
            <w:tcMar>
              <w:left w:w="28" w:type="dxa"/>
              <w:right w:w="28" w:type="dxa"/>
            </w:tcMar>
            <w:vAlign w:val="center"/>
          </w:tcPr>
          <w:p>
            <w:pPr>
              <w:pStyle w:val="TableContents"/>
              <w:spacing w:before="0" w:after="283"/>
              <w:rPr/>
            </w:pPr>
            <w:r>
              <w:rPr/>
              <w:t> </w:t>
            </w:r>
          </w:p>
        </w:tc>
      </w:tr>
      <w:tr>
        <w:trPr/>
        <w:tc>
          <w:tcPr>
            <w:tcW w:w="155" w:type="dxa"/>
            <w:tcBorders>
              <w:left w:val="single" w:sz="6" w:space="0" w:color="000000"/>
              <w:bottom w:val="single" w:sz="6" w:space="0" w:color="595959"/>
            </w:tcBorders>
            <w:shd w:fill="auto" w:val="clear"/>
            <w:tcMar>
              <w:left w:w="160" w:type="dxa"/>
              <w:bottom w:w="40" w:type="dxa"/>
            </w:tcMar>
            <w:vAlign w:val="center"/>
          </w:tcPr>
          <w:p>
            <w:pPr>
              <w:pStyle w:val="TableContents"/>
              <w:spacing w:before="0" w:after="0"/>
              <w:rPr/>
            </w:pPr>
            <w:r>
              <w:rPr/>
              <w:drawing>
                <wp:inline distT="0" distB="0" distL="0" distR="0">
                  <wp:extent cx="50800" cy="6286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50800" cy="62865"/>
                          </a:xfrm>
                          <a:prstGeom prst="rect">
                            <a:avLst/>
                          </a:prstGeom>
                        </pic:spPr>
                      </pic:pic>
                    </a:graphicData>
                  </a:graphic>
                </wp:inline>
              </w:drawing>
            </w:r>
            <w:r>
              <w:rPr/>
              <w:t xml:space="preserve"> </w:t>
            </w:r>
          </w:p>
          <w:p>
            <w:pPr>
              <w:pStyle w:val="TableContents"/>
              <w:spacing w:before="0" w:after="20"/>
              <w:rPr/>
            </w:pPr>
            <w:r>
              <w:rPr/>
              <w:t> </w:t>
            </w:r>
          </w:p>
        </w:tc>
        <w:tc>
          <w:tcPr>
            <w:tcW w:w="60" w:type="dxa"/>
            <w:tcBorders>
              <w:bottom w:val="single" w:sz="6" w:space="0" w:color="595959"/>
            </w:tcBorders>
            <w:shd w:fill="auto" w:val="clear"/>
            <w:tcMar>
              <w:bottom w:w="28" w:type="dxa"/>
            </w:tcMar>
            <w:vAlign w:val="center"/>
          </w:tcPr>
          <w:p>
            <w:pPr>
              <w:pStyle w:val="TableContents"/>
              <w:spacing w:before="0" w:after="283"/>
              <w:rPr/>
            </w:pPr>
            <w:r>
              <w:rPr/>
              <w:t> </w:t>
            </w:r>
          </w:p>
        </w:tc>
        <w:tc>
          <w:tcPr>
            <w:tcW w:w="6185" w:type="dxa"/>
            <w:tcBorders>
              <w:bottom w:val="single" w:sz="6" w:space="0" w:color="595959"/>
            </w:tcBorders>
            <w:shd w:fill="auto" w:val="clear"/>
            <w:tcMar>
              <w:bottom w:w="40" w:type="dxa"/>
            </w:tcMar>
            <w:vAlign w:val="center"/>
          </w:tcPr>
          <w:p>
            <w:pPr>
              <w:pStyle w:val="TableContents"/>
              <w:spacing w:before="0" w:after="0"/>
              <w:rPr>
                <w:rFonts w:ascii="ARIAL" w:hAnsi="ARIAL"/>
                <w:b/>
                <w:sz w:val="18"/>
              </w:rPr>
            </w:pPr>
            <w:r>
              <w:rPr>
                <w:rFonts w:ascii="ARIAL" w:hAnsi="ARIAL"/>
                <w:b/>
                <w:sz w:val="18"/>
              </w:rPr>
              <w:t>Joseph A. Hastings, D.M.D.</w:t>
            </w:r>
          </w:p>
          <w:p>
            <w:pPr>
              <w:pStyle w:val="TableContents"/>
              <w:spacing w:before="0" w:after="0"/>
              <w:rPr/>
            </w:pPr>
            <w:r>
              <w:rPr/>
              <w:t> </w:t>
            </w:r>
          </w:p>
          <w:p>
            <w:pPr>
              <w:pStyle w:val="TableContents"/>
              <w:spacing w:before="0" w:after="20"/>
              <w:rPr>
                <w:rFonts w:ascii="Times New Roman" w:hAnsi="Times New Roman"/>
                <w:sz w:val="16"/>
              </w:rPr>
            </w:pPr>
            <w:r>
              <w:rPr>
                <w:rFonts w:ascii="Times New Roman" w:hAnsi="Times New Roman"/>
                <w:sz w:val="16"/>
              </w:rPr>
              <w:t>Dr. Hastings brings the perspective of a health care practitioner as well as previous experience as a board member of a publicly-traded company. His experience in managing a health care practice is similar to that of many of the Company’s affiliated physician practices, and he can provide valuable advice to the Board and management regarding trends in both medicine and the organization and operation of health care practices. Dr. Hastings is a private practice orthodontist in Mobile, Alabama with over 37 years of health care experience.</w:t>
            </w:r>
          </w:p>
        </w:tc>
        <w:tc>
          <w:tcPr>
            <w:tcW w:w="60" w:type="dxa"/>
            <w:tcBorders>
              <w:bottom w:val="single" w:sz="6" w:space="0" w:color="595959"/>
            </w:tcBorders>
            <w:shd w:fill="auto" w:val="clear"/>
            <w:tcMar>
              <w:bottom w:w="28" w:type="dxa"/>
            </w:tcMar>
            <w:vAlign w:val="center"/>
          </w:tcPr>
          <w:p>
            <w:pPr>
              <w:pStyle w:val="TableContents"/>
              <w:spacing w:before="0" w:after="283"/>
              <w:rPr/>
            </w:pPr>
            <w:r>
              <w:rPr/>
              <w:t> </w:t>
            </w:r>
          </w:p>
        </w:tc>
        <w:tc>
          <w:tcPr>
            <w:tcW w:w="120" w:type="dxa"/>
            <w:tcBorders>
              <w:bottom w:val="single" w:sz="6" w:space="0" w:color="595959"/>
              <w:right w:val="dotted" w:sz="6" w:space="0" w:color="000000"/>
            </w:tcBorders>
            <w:shd w:fill="auto" w:val="clear"/>
            <w:tcMar>
              <w:bottom w:w="28" w:type="dxa"/>
              <w:right w:w="28" w:type="dxa"/>
            </w:tcMar>
            <w:vAlign w:val="center"/>
          </w:tcPr>
          <w:p>
            <w:pPr>
              <w:pStyle w:val="TableContents"/>
              <w:spacing w:before="0" w:after="283"/>
              <w:rPr/>
            </w:pPr>
            <w:r>
              <w:rPr/>
              <w:t> </w:t>
            </w:r>
          </w:p>
        </w:tc>
        <w:tc>
          <w:tcPr>
            <w:tcW w:w="60" w:type="dxa"/>
            <w:tcBorders>
              <w:bottom w:val="single" w:sz="6" w:space="0" w:color="595959"/>
            </w:tcBorders>
            <w:shd w:fill="auto" w:val="clear"/>
            <w:tcMar>
              <w:bottom w:w="28" w:type="dxa"/>
            </w:tcMar>
            <w:vAlign w:val="center"/>
          </w:tcPr>
          <w:p>
            <w:pPr>
              <w:pStyle w:val="TableContents"/>
              <w:spacing w:before="0" w:after="283"/>
              <w:rPr/>
            </w:pPr>
            <w:r>
              <w:rPr/>
              <w:t> </w:t>
            </w:r>
          </w:p>
        </w:tc>
        <w:tc>
          <w:tcPr>
            <w:tcW w:w="725" w:type="dxa"/>
            <w:tcBorders>
              <w:bottom w:val="single" w:sz="6" w:space="0" w:color="595959"/>
            </w:tcBorders>
            <w:shd w:fill="auto" w:val="clear"/>
            <w:tcMar>
              <w:bottom w:w="40" w:type="dxa"/>
            </w:tcMar>
            <w:vAlign w:val="center"/>
          </w:tcPr>
          <w:p>
            <w:pPr>
              <w:pStyle w:val="TableContents"/>
              <w:spacing w:before="0" w:after="283"/>
              <w:jc w:val="center"/>
              <w:rPr>
                <w:b/>
              </w:rPr>
            </w:pPr>
            <w:r>
              <w:rPr>
                <w:b/>
              </w:rPr>
              <w:t>2021</w:t>
            </w:r>
          </w:p>
        </w:tc>
        <w:tc>
          <w:tcPr>
            <w:tcW w:w="60" w:type="dxa"/>
            <w:tcBorders>
              <w:left w:val="dotted" w:sz="6" w:space="0" w:color="000000"/>
              <w:bottom w:val="single" w:sz="6" w:space="0" w:color="595959"/>
            </w:tcBorders>
            <w:shd w:fill="auto" w:val="clear"/>
            <w:tcMar>
              <w:left w:w="28" w:type="dxa"/>
              <w:bottom w:w="28" w:type="dxa"/>
            </w:tcMar>
            <w:vAlign w:val="center"/>
          </w:tcPr>
          <w:p>
            <w:pPr>
              <w:pStyle w:val="TableContents"/>
              <w:spacing w:before="0" w:after="283"/>
              <w:rPr/>
            </w:pPr>
            <w:r>
              <w:rPr/>
              <w:t> </w:t>
            </w:r>
          </w:p>
        </w:tc>
        <w:tc>
          <w:tcPr>
            <w:tcW w:w="2780" w:type="dxa"/>
            <w:tcBorders>
              <w:bottom w:val="single" w:sz="6" w:space="0" w:color="595959"/>
              <w:right w:val="single" w:sz="6" w:space="0" w:color="000000"/>
            </w:tcBorders>
            <w:shd w:fill="auto" w:val="clear"/>
            <w:tcMar>
              <w:bottom w:w="40" w:type="dxa"/>
              <w:right w:w="40" w:type="dxa"/>
            </w:tcMar>
            <w:vAlign w:val="center"/>
          </w:tcPr>
          <w:p>
            <w:pPr>
              <w:pStyle w:val="TableContents"/>
              <w:spacing w:before="0" w:after="283"/>
              <w:jc w:val="center"/>
              <w:rPr>
                <w:b/>
              </w:rPr>
            </w:pPr>
            <w:r>
              <w:rPr>
                <w:b/>
              </w:rPr>
              <w:t>Governance &amp; Nominating</w:t>
            </w:r>
          </w:p>
        </w:tc>
      </w:tr>
      <w:tr>
        <w:trPr/>
        <w:tc>
          <w:tcPr>
            <w:tcW w:w="155" w:type="dxa"/>
            <w:tcBorders>
              <w:left w:val="single" w:sz="6" w:space="0" w:color="000000"/>
            </w:tcBorders>
            <w:shd w:fill="auto" w:val="clear"/>
            <w:tcMar>
              <w:left w:w="160" w:type="dxa"/>
            </w:tcMar>
            <w:vAlign w:val="center"/>
          </w:tcPr>
          <w:p>
            <w:pPr>
              <w:pStyle w:val="TableContents"/>
              <w:spacing w:before="0" w:after="283"/>
              <w:rPr/>
            </w:pPr>
            <w:r>
              <w:rPr/>
              <w:t> </w:t>
            </w:r>
          </w:p>
        </w:tc>
        <w:tc>
          <w:tcPr>
            <w:tcW w:w="6245" w:type="dxa"/>
            <w:gridSpan w:val="2"/>
            <w:tcBorders/>
            <w:shd w:fill="auto" w:val="clear"/>
            <w:vAlign w:val="center"/>
          </w:tcPr>
          <w:p>
            <w:pPr>
              <w:pStyle w:val="TableContents"/>
              <w:spacing w:before="0" w:after="283"/>
              <w:rPr>
                <w:sz w:val="4"/>
                <w:szCs w:val="4"/>
              </w:rPr>
            </w:pPr>
            <w:r>
              <w:rPr>
                <w:sz w:val="4"/>
                <w:szCs w:val="4"/>
              </w:rPr>
            </w:r>
          </w:p>
        </w:tc>
        <w:tc>
          <w:tcPr>
            <w:tcW w:w="180" w:type="dxa"/>
            <w:gridSpan w:val="2"/>
            <w:tcBorders>
              <w:right w:val="dotted" w:sz="6" w:space="0" w:color="000000"/>
            </w:tcBorders>
            <w:shd w:fill="auto" w:val="clear"/>
            <w:tcMar>
              <w:right w:w="28" w:type="dxa"/>
            </w:tcMar>
            <w:vAlign w:val="center"/>
          </w:tcPr>
          <w:p>
            <w:pPr>
              <w:pStyle w:val="TableContents"/>
              <w:spacing w:before="0" w:after="283"/>
              <w:rPr/>
            </w:pPr>
            <w:r>
              <w:rPr/>
              <w:t> </w:t>
            </w:r>
          </w:p>
        </w:tc>
        <w:tc>
          <w:tcPr>
            <w:tcW w:w="785" w:type="dxa"/>
            <w:gridSpan w:val="2"/>
            <w:tcBorders/>
            <w:shd w:fill="auto" w:val="clear"/>
            <w:vAlign w:val="center"/>
          </w:tcPr>
          <w:p>
            <w:pPr>
              <w:pStyle w:val="TableContents"/>
              <w:spacing w:before="0" w:after="283"/>
              <w:rPr>
                <w:sz w:val="4"/>
                <w:szCs w:val="4"/>
              </w:rPr>
            </w:pPr>
            <w:r>
              <w:rPr>
                <w:sz w:val="4"/>
                <w:szCs w:val="4"/>
              </w:rPr>
            </w:r>
          </w:p>
        </w:tc>
        <w:tc>
          <w:tcPr>
            <w:tcW w:w="2840" w:type="dxa"/>
            <w:gridSpan w:val="2"/>
            <w:tcBorders>
              <w:left w:val="dotted" w:sz="6" w:space="0" w:color="000000"/>
              <w:right w:val="single" w:sz="6" w:space="0" w:color="000000"/>
            </w:tcBorders>
            <w:shd w:fill="auto" w:val="clear"/>
            <w:tcMar>
              <w:left w:w="28" w:type="dxa"/>
              <w:right w:w="28" w:type="dxa"/>
            </w:tcMar>
            <w:vAlign w:val="center"/>
          </w:tcPr>
          <w:p>
            <w:pPr>
              <w:pStyle w:val="TableContents"/>
              <w:spacing w:before="0" w:after="283"/>
              <w:rPr/>
            </w:pPr>
            <w:r>
              <w:rPr/>
              <w:t> </w:t>
            </w:r>
          </w:p>
        </w:tc>
      </w:tr>
      <w:tr>
        <w:trPr/>
        <w:tc>
          <w:tcPr>
            <w:tcW w:w="155" w:type="dxa"/>
            <w:tcBorders>
              <w:left w:val="single" w:sz="6" w:space="0" w:color="000000"/>
              <w:bottom w:val="single" w:sz="6" w:space="0" w:color="000000"/>
            </w:tcBorders>
            <w:shd w:fill="auto" w:val="clear"/>
            <w:tcMar>
              <w:left w:w="160" w:type="dxa"/>
              <w:bottom w:w="40" w:type="dxa"/>
            </w:tcMar>
            <w:vAlign w:val="center"/>
          </w:tcPr>
          <w:p>
            <w:pPr>
              <w:pStyle w:val="TableContents"/>
              <w:spacing w:before="0" w:after="0"/>
              <w:rPr/>
            </w:pPr>
            <w:r>
              <w:rPr/>
              <w:drawing>
                <wp:inline distT="0" distB="0" distL="0" distR="0">
                  <wp:extent cx="50165" cy="635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50165" cy="63500"/>
                          </a:xfrm>
                          <a:prstGeom prst="rect">
                            <a:avLst/>
                          </a:prstGeom>
                        </pic:spPr>
                      </pic:pic>
                    </a:graphicData>
                  </a:graphic>
                </wp:inline>
              </w:drawing>
            </w:r>
            <w:r>
              <w:rPr/>
              <w:t xml:space="preserve"> </w:t>
            </w:r>
          </w:p>
          <w:p>
            <w:pPr>
              <w:pStyle w:val="TableContents"/>
              <w:spacing w:before="0" w:after="20"/>
              <w:rPr/>
            </w:pPr>
            <w:r>
              <w:rPr/>
              <w:t> </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6185" w:type="dxa"/>
            <w:tcBorders>
              <w:bottom w:val="single" w:sz="6" w:space="0" w:color="000000"/>
            </w:tcBorders>
            <w:shd w:fill="auto" w:val="clear"/>
            <w:tcMar>
              <w:bottom w:w="40" w:type="dxa"/>
            </w:tcMar>
            <w:vAlign w:val="center"/>
          </w:tcPr>
          <w:p>
            <w:pPr>
              <w:pStyle w:val="TableContents"/>
              <w:spacing w:before="0" w:after="0"/>
              <w:rPr>
                <w:rFonts w:ascii="ARIAL" w:hAnsi="ARIAL"/>
                <w:b/>
                <w:sz w:val="18"/>
              </w:rPr>
            </w:pPr>
            <w:r>
              <w:rPr>
                <w:rFonts w:ascii="ARIAL" w:hAnsi="ARIAL"/>
                <w:b/>
                <w:sz w:val="18"/>
              </w:rPr>
              <w:t>Tim L. Hingtgen</w:t>
            </w:r>
          </w:p>
          <w:p>
            <w:pPr>
              <w:pStyle w:val="TableContents"/>
              <w:spacing w:before="0" w:after="0"/>
              <w:rPr/>
            </w:pPr>
            <w:r>
              <w:rPr/>
              <w:t> </w:t>
            </w:r>
          </w:p>
          <w:p>
            <w:pPr>
              <w:pStyle w:val="TableContents"/>
              <w:spacing w:before="0" w:after="20"/>
              <w:rPr>
                <w:rFonts w:ascii="Times New Roman" w:hAnsi="Times New Roman"/>
                <w:sz w:val="16"/>
              </w:rPr>
            </w:pPr>
            <w:r>
              <w:rPr>
                <w:rFonts w:ascii="Times New Roman" w:hAnsi="Times New Roman"/>
                <w:sz w:val="16"/>
              </w:rPr>
              <w:t>Mr. Hingtgen is our Chief Executive Officer. He is responsible for strategic and operational priorities and provides oversight and direction to senior corporate and regional operations leaders who directly support our health systems. He is a highly accomplished hospital operator with a track record of successfully optimizing hospital operations and developing regional healthcare networks. Prior to joining CHS in 2008, Mr. Hingtgen served as a chief executive officer and chief operating officer of hospitals affiliated with other for-profit hospital systems.</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120" w:type="dxa"/>
            <w:tcBorders>
              <w:bottom w:val="single" w:sz="6" w:space="0" w:color="000000"/>
              <w:right w:val="dotted" w:sz="6" w:space="0" w:color="000000"/>
            </w:tcBorders>
            <w:shd w:fill="auto" w:val="clear"/>
            <w:tcMar>
              <w:bottom w:w="28" w:type="dxa"/>
              <w:right w:w="28" w:type="dxa"/>
            </w:tcMar>
            <w:vAlign w:val="center"/>
          </w:tcPr>
          <w:p>
            <w:pPr>
              <w:pStyle w:val="TableContents"/>
              <w:spacing w:before="0" w:after="283"/>
              <w:rPr/>
            </w:pPr>
            <w:r>
              <w:rPr/>
              <w:t> </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725" w:type="dxa"/>
            <w:tcBorders>
              <w:bottom w:val="single" w:sz="6" w:space="0" w:color="000000"/>
            </w:tcBorders>
            <w:shd w:fill="auto" w:val="clear"/>
            <w:tcMar>
              <w:bottom w:w="40" w:type="dxa"/>
            </w:tcMar>
            <w:vAlign w:val="center"/>
          </w:tcPr>
          <w:p>
            <w:pPr>
              <w:pStyle w:val="TableContents"/>
              <w:spacing w:before="0" w:after="283"/>
              <w:jc w:val="center"/>
              <w:rPr>
                <w:b/>
              </w:rPr>
            </w:pPr>
            <w:r>
              <w:rPr>
                <w:b/>
              </w:rPr>
              <w:t>2017</w:t>
            </w:r>
          </w:p>
        </w:tc>
        <w:tc>
          <w:tcPr>
            <w:tcW w:w="60" w:type="dxa"/>
            <w:tcBorders>
              <w:left w:val="dotted" w:sz="6" w:space="0" w:color="000000"/>
              <w:bottom w:val="single" w:sz="6" w:space="0" w:color="000000"/>
            </w:tcBorders>
            <w:shd w:fill="auto" w:val="clear"/>
            <w:tcMar>
              <w:left w:w="28" w:type="dxa"/>
              <w:bottom w:w="28" w:type="dxa"/>
            </w:tcMar>
            <w:vAlign w:val="center"/>
          </w:tcPr>
          <w:p>
            <w:pPr>
              <w:pStyle w:val="TableContents"/>
              <w:spacing w:before="0" w:after="283"/>
              <w:rPr/>
            </w:pPr>
            <w:r>
              <w:rPr/>
              <w:t> </w:t>
            </w:r>
          </w:p>
        </w:tc>
        <w:tc>
          <w:tcPr>
            <w:tcW w:w="2780" w:type="dxa"/>
            <w:tcBorders>
              <w:bottom w:val="single" w:sz="6" w:space="0" w:color="000000"/>
              <w:right w:val="single" w:sz="6" w:space="0" w:color="000000"/>
            </w:tcBorders>
            <w:shd w:fill="auto" w:val="clear"/>
            <w:tcMar>
              <w:bottom w:w="28" w:type="dxa"/>
              <w:right w:w="40" w:type="dxa"/>
            </w:tcMar>
            <w:vAlign w:val="center"/>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rPr/>
      </w:pPr>
      <w:r>
        <w:rPr/>
      </w:r>
    </w:p>
    <w:tbl>
      <w:tblPr>
        <w:tblW w:w="1049" w:type="dxa"/>
        <w:jc w:val="left"/>
        <w:tblInd w:w="0" w:type="dxa"/>
        <w:tblCellMar>
          <w:top w:w="0" w:type="dxa"/>
          <w:left w:w="0" w:type="dxa"/>
          <w:bottom w:w="0" w:type="dxa"/>
          <w:right w:w="0" w:type="dxa"/>
        </w:tblCellMar>
      </w:tblPr>
      <w:tblGrid>
        <w:gridCol w:w="38"/>
        <w:gridCol w:w="60"/>
        <w:gridCol w:w="23"/>
        <w:gridCol w:w="60"/>
        <w:gridCol w:w="23"/>
        <w:gridCol w:w="60"/>
        <w:gridCol w:w="23"/>
        <w:gridCol w:w="60"/>
        <w:gridCol w:w="23"/>
        <w:gridCol w:w="60"/>
        <w:gridCol w:w="23"/>
        <w:gridCol w:w="60"/>
        <w:gridCol w:w="23"/>
        <w:gridCol w:w="60"/>
        <w:gridCol w:w="23"/>
        <w:gridCol w:w="60"/>
        <w:gridCol w:w="23"/>
        <w:gridCol w:w="60"/>
        <w:gridCol w:w="23"/>
        <w:gridCol w:w="60"/>
        <w:gridCol w:w="23"/>
        <w:gridCol w:w="60"/>
        <w:gridCol w:w="23"/>
        <w:gridCol w:w="60"/>
        <w:gridCol w:w="38"/>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E0DDCC" w:val="clear"/>
            <w:vAlign w:val="center"/>
          </w:tcPr>
          <w:p>
            <w:pPr>
              <w:pStyle w:val="TableContents"/>
              <w:spacing w:before="0" w:after="283"/>
              <w:rPr/>
            </w:pPr>
            <w:r>
              <w:rPr/>
              <w:t> </w:t>
            </w:r>
          </w:p>
        </w:tc>
        <w:tc>
          <w:tcPr>
            <w:tcW w:w="23" w:type="dxa"/>
            <w:tcBorders/>
            <w:shd w:fill="E0DDCC"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E0DDCC" w:val="clear"/>
            <w:vAlign w:val="center"/>
          </w:tcPr>
          <w:p>
            <w:pPr>
              <w:pStyle w:val="TableContents"/>
              <w:spacing w:before="0" w:after="283"/>
              <w:rPr/>
            </w:pPr>
            <w:r>
              <w:rPr/>
              <w:t> </w:t>
            </w:r>
          </w:p>
        </w:tc>
        <w:tc>
          <w:tcPr>
            <w:tcW w:w="23" w:type="dxa"/>
            <w:tcBorders/>
            <w:shd w:fill="E0DDCC"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E0DDCC" w:val="clear"/>
            <w:vAlign w:val="center"/>
          </w:tcPr>
          <w:p>
            <w:pPr>
              <w:pStyle w:val="TableContents"/>
              <w:spacing w:before="0" w:after="283"/>
              <w:rPr/>
            </w:pPr>
            <w:r>
              <w:rPr/>
              <w:t> </w:t>
            </w:r>
          </w:p>
        </w:tc>
        <w:tc>
          <w:tcPr>
            <w:tcW w:w="23" w:type="dxa"/>
            <w:tcBorders/>
            <w:shd w:fill="E0DDCC"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E0DDCC" w:val="clear"/>
            <w:vAlign w:val="center"/>
          </w:tcPr>
          <w:p>
            <w:pPr>
              <w:pStyle w:val="TableContents"/>
              <w:spacing w:before="0" w:after="283"/>
              <w:rPr/>
            </w:pPr>
            <w:r>
              <w:rPr/>
              <w:t> </w:t>
            </w:r>
          </w:p>
        </w:tc>
        <w:tc>
          <w:tcPr>
            <w:tcW w:w="23" w:type="dxa"/>
            <w:tcBorders/>
            <w:shd w:fill="E0DDCC"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E0DDCC" w:val="clear"/>
            <w:vAlign w:val="center"/>
          </w:tcPr>
          <w:p>
            <w:pPr>
              <w:pStyle w:val="TableContents"/>
              <w:spacing w:before="0" w:after="283"/>
              <w:rPr/>
            </w:pPr>
            <w:r>
              <w:rPr/>
              <w:t> </w:t>
            </w:r>
          </w:p>
        </w:tc>
        <w:tc>
          <w:tcPr>
            <w:tcW w:w="23" w:type="dxa"/>
            <w:tcBorders/>
            <w:shd w:fill="E0DDCC"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E0DDCC" w:val="clear"/>
            <w:vAlign w:val="center"/>
          </w:tcPr>
          <w:p>
            <w:pPr>
              <w:pStyle w:val="TableContents"/>
              <w:spacing w:before="0" w:after="283"/>
              <w:rPr/>
            </w:pPr>
            <w:r>
              <w:rPr/>
              <w:t> </w:t>
            </w:r>
          </w:p>
        </w:tc>
        <w:tc>
          <w:tcPr>
            <w:tcW w:w="23" w:type="dxa"/>
            <w:tcBorders/>
            <w:shd w:fill="E0DDCC"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left"/>
        <w:rPr/>
      </w:pPr>
      <w:r>
        <w:rPr/>
        <w:t> </w:t>
      </w:r>
    </w:p>
    <w:p>
      <w:pPr>
        <w:pStyle w:val="TextBody"/>
        <w:pBdr>
          <w:bottom w:val="single" w:sz="8" w:space="1" w:color="000000"/>
        </w:pBdr>
        <w:spacing w:lineRule="atLeast" w:line="141" w:before="0" w:after="40"/>
        <w:jc w:val="left"/>
        <w:rPr/>
      </w:pPr>
      <w:r>
        <w:rPr/>
        <w:t>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01"/>
        <w:gridCol w:w="60"/>
        <w:gridCol w:w="6132"/>
        <w:gridCol w:w="60"/>
        <w:gridCol w:w="120"/>
        <w:gridCol w:w="60"/>
        <w:gridCol w:w="725"/>
        <w:gridCol w:w="60"/>
        <w:gridCol w:w="2887"/>
      </w:tblGrid>
      <w:tr>
        <w:trPr/>
        <w:tc>
          <w:tcPr>
            <w:tcW w:w="10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1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2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887" w:type="dxa"/>
            <w:tcBorders/>
            <w:shd w:fill="auto" w:val="clear"/>
            <w:vAlign w:val="center"/>
          </w:tcPr>
          <w:p>
            <w:pPr>
              <w:pStyle w:val="TableContents"/>
              <w:spacing w:before="0" w:after="283"/>
              <w:rPr>
                <w:sz w:val="4"/>
                <w:szCs w:val="4"/>
              </w:rPr>
            </w:pPr>
            <w:r>
              <w:rPr>
                <w:sz w:val="4"/>
                <w:szCs w:val="4"/>
              </w:rPr>
            </w:r>
          </w:p>
        </w:tc>
      </w:tr>
      <w:tr>
        <w:trPr/>
        <w:tc>
          <w:tcPr>
            <w:tcW w:w="6293" w:type="dxa"/>
            <w:gridSpan w:val="3"/>
            <w:tcBorders>
              <w:top w:val="single" w:sz="6" w:space="0" w:color="000000"/>
              <w:left w:val="single" w:sz="6" w:space="0" w:color="000000"/>
              <w:bottom w:val="single" w:sz="6" w:space="0" w:color="595959"/>
            </w:tcBorders>
            <w:shd w:fill="auto" w:val="clear"/>
            <w:tcMar>
              <w:top w:w="28" w:type="dxa"/>
              <w:left w:w="160" w:type="dxa"/>
              <w:bottom w:w="28" w:type="dxa"/>
            </w:tcMar>
            <w:vAlign w:val="center"/>
          </w:tcPr>
          <w:p>
            <w:pPr>
              <w:pStyle w:val="TableContents"/>
              <w:spacing w:before="0" w:after="0"/>
              <w:rPr/>
            </w:pPr>
            <w:r>
              <w:rPr/>
              <w:t> </w:t>
            </w:r>
          </w:p>
          <w:p>
            <w:pPr>
              <w:pStyle w:val="TableContents"/>
              <w:spacing w:before="0" w:after="20"/>
              <w:rPr>
                <w:color w:val="02197A"/>
              </w:rPr>
            </w:pPr>
            <w:r>
              <w:rPr>
                <w:color w:val="02197A"/>
              </w:rPr>
              <w:t>                </w:t>
            </w:r>
            <w:r>
              <w:rPr>
                <w:rFonts w:ascii="ARIAL" w:hAnsi="ARIAL"/>
                <w:b/>
                <w:color w:val="02197A"/>
                <w:sz w:val="18"/>
              </w:rPr>
              <w:t>Name/Experience/Occupation</w:t>
            </w:r>
          </w:p>
        </w:tc>
        <w:tc>
          <w:tcPr>
            <w:tcW w:w="60" w:type="dxa"/>
            <w:tcBorders>
              <w:top w:val="single" w:sz="6" w:space="0" w:color="000000"/>
              <w:bottom w:val="single" w:sz="6" w:space="0" w:color="595959"/>
            </w:tcBorders>
            <w:shd w:fill="auto" w:val="clear"/>
            <w:tcMar>
              <w:top w:w="28" w:type="dxa"/>
              <w:bottom w:w="28" w:type="dxa"/>
            </w:tcMar>
            <w:vAlign w:val="center"/>
          </w:tcPr>
          <w:p>
            <w:pPr>
              <w:pStyle w:val="TableContents"/>
              <w:spacing w:before="0" w:after="283"/>
              <w:rPr/>
            </w:pPr>
            <w:r>
              <w:rPr/>
              <w:t> </w:t>
            </w:r>
          </w:p>
        </w:tc>
        <w:tc>
          <w:tcPr>
            <w:tcW w:w="120" w:type="dxa"/>
            <w:tcBorders>
              <w:top w:val="single" w:sz="6" w:space="0" w:color="000000"/>
              <w:bottom w:val="single" w:sz="6" w:space="0" w:color="595959"/>
              <w:right w:val="dotted" w:sz="6" w:space="0" w:color="000000"/>
            </w:tcBorders>
            <w:shd w:fill="auto" w:val="clear"/>
            <w:tcMar>
              <w:top w:w="28" w:type="dxa"/>
              <w:bottom w:w="28" w:type="dxa"/>
              <w:right w:w="28" w:type="dxa"/>
            </w:tcMar>
            <w:vAlign w:val="center"/>
          </w:tcPr>
          <w:p>
            <w:pPr>
              <w:pStyle w:val="TableContents"/>
              <w:spacing w:before="0" w:after="283"/>
              <w:rPr/>
            </w:pPr>
            <w:r>
              <w:rPr/>
              <w:t>  </w:t>
            </w:r>
          </w:p>
        </w:tc>
        <w:tc>
          <w:tcPr>
            <w:tcW w:w="60" w:type="dxa"/>
            <w:tcBorders>
              <w:top w:val="single" w:sz="6" w:space="0" w:color="000000"/>
              <w:bottom w:val="single" w:sz="6" w:space="0" w:color="595959"/>
            </w:tcBorders>
            <w:shd w:fill="auto" w:val="clear"/>
            <w:tcMar>
              <w:top w:w="28" w:type="dxa"/>
              <w:bottom w:w="28" w:type="dxa"/>
            </w:tcMar>
            <w:vAlign w:val="center"/>
          </w:tcPr>
          <w:p>
            <w:pPr>
              <w:pStyle w:val="TableContents"/>
              <w:spacing w:before="0" w:after="283"/>
              <w:rPr/>
            </w:pPr>
            <w:r>
              <w:rPr/>
              <w:t> </w:t>
            </w:r>
          </w:p>
        </w:tc>
        <w:tc>
          <w:tcPr>
            <w:tcW w:w="725" w:type="dxa"/>
            <w:tcBorders>
              <w:top w:val="single" w:sz="6" w:space="0" w:color="000000"/>
              <w:bottom w:val="single" w:sz="6" w:space="0" w:color="595959"/>
            </w:tcBorders>
            <w:shd w:fill="auto" w:val="clear"/>
            <w:tcMar>
              <w:top w:w="28" w:type="dxa"/>
              <w:bottom w:w="28" w:type="dxa"/>
            </w:tcMar>
            <w:vAlign w:val="center"/>
          </w:tcPr>
          <w:p>
            <w:pPr>
              <w:pStyle w:val="TableContents"/>
              <w:spacing w:before="0" w:after="0"/>
              <w:jc w:val="center"/>
              <w:rPr>
                <w:rFonts w:ascii="ARIAL" w:hAnsi="ARIAL"/>
                <w:b/>
                <w:color w:val="02197A"/>
                <w:sz w:val="18"/>
              </w:rPr>
            </w:pPr>
            <w:r>
              <w:rPr>
                <w:rFonts w:ascii="ARIAL" w:hAnsi="ARIAL"/>
                <w:b/>
                <w:color w:val="02197A"/>
                <w:sz w:val="18"/>
              </w:rPr>
              <w:t>Director</w:t>
            </w:r>
          </w:p>
          <w:p>
            <w:pPr>
              <w:pStyle w:val="TableContents"/>
              <w:spacing w:before="0" w:after="20"/>
              <w:jc w:val="center"/>
              <w:rPr>
                <w:rFonts w:ascii="ARIAL" w:hAnsi="ARIAL"/>
                <w:b/>
                <w:color w:val="02197A"/>
                <w:sz w:val="18"/>
              </w:rPr>
            </w:pPr>
            <w:r>
              <w:rPr>
                <w:rFonts w:ascii="ARIAL" w:hAnsi="ARIAL"/>
                <w:b/>
                <w:color w:val="02197A"/>
                <w:sz w:val="18"/>
              </w:rPr>
              <w:t>Since</w:t>
            </w:r>
          </w:p>
        </w:tc>
        <w:tc>
          <w:tcPr>
            <w:tcW w:w="60" w:type="dxa"/>
            <w:tcBorders>
              <w:top w:val="single" w:sz="6" w:space="0" w:color="000000"/>
              <w:left w:val="dotted" w:sz="6" w:space="0" w:color="000000"/>
              <w:bottom w:val="single" w:sz="6" w:space="0" w:color="595959"/>
            </w:tcBorders>
            <w:shd w:fill="auto" w:val="clear"/>
            <w:tcMar>
              <w:top w:w="28" w:type="dxa"/>
              <w:left w:w="28" w:type="dxa"/>
              <w:bottom w:w="28" w:type="dxa"/>
            </w:tcMar>
            <w:vAlign w:val="center"/>
          </w:tcPr>
          <w:p>
            <w:pPr>
              <w:pStyle w:val="TableContents"/>
              <w:spacing w:before="0" w:after="283"/>
              <w:rPr/>
            </w:pPr>
            <w:r>
              <w:rPr/>
              <w:t> </w:t>
            </w:r>
          </w:p>
        </w:tc>
        <w:tc>
          <w:tcPr>
            <w:tcW w:w="2887" w:type="dxa"/>
            <w:tcBorders>
              <w:top w:val="single" w:sz="6" w:space="0" w:color="000000"/>
              <w:bottom w:val="single" w:sz="6" w:space="0" w:color="595959"/>
              <w:right w:val="single" w:sz="6" w:space="0" w:color="000000"/>
            </w:tcBorders>
            <w:shd w:fill="auto" w:val="clear"/>
            <w:tcMar>
              <w:top w:w="28" w:type="dxa"/>
              <w:bottom w:w="28" w:type="dxa"/>
              <w:right w:w="40" w:type="dxa"/>
            </w:tcMar>
            <w:vAlign w:val="center"/>
          </w:tcPr>
          <w:p>
            <w:pPr>
              <w:pStyle w:val="TableContents"/>
              <w:spacing w:before="0" w:after="283"/>
              <w:jc w:val="center"/>
              <w:rPr>
                <w:b/>
                <w:color w:val="02197A"/>
              </w:rPr>
            </w:pPr>
            <w:r>
              <w:rPr>
                <w:b/>
                <w:color w:val="02197A"/>
              </w:rPr>
              <w:t>Committee</w:t>
              <w:br/>
              <w:t>Memberships</w:t>
            </w:r>
          </w:p>
        </w:tc>
      </w:tr>
      <w:tr>
        <w:trPr/>
        <w:tc>
          <w:tcPr>
            <w:tcW w:w="101" w:type="dxa"/>
            <w:tcBorders>
              <w:left w:val="single" w:sz="6" w:space="0" w:color="000000"/>
            </w:tcBorders>
            <w:shd w:fill="auto" w:val="clear"/>
            <w:tcMar>
              <w:left w:w="160" w:type="dxa"/>
            </w:tcMar>
            <w:vAlign w:val="center"/>
          </w:tcPr>
          <w:p>
            <w:pPr>
              <w:pStyle w:val="TableContents"/>
              <w:spacing w:before="0" w:after="283"/>
              <w:rPr/>
            </w:pPr>
            <w:r>
              <w:rPr/>
              <w:t> </w:t>
            </w:r>
          </w:p>
        </w:tc>
        <w:tc>
          <w:tcPr>
            <w:tcW w:w="6192" w:type="dxa"/>
            <w:gridSpan w:val="2"/>
            <w:tcBorders/>
            <w:shd w:fill="auto" w:val="clear"/>
            <w:vAlign w:val="center"/>
          </w:tcPr>
          <w:p>
            <w:pPr>
              <w:pStyle w:val="TableContents"/>
              <w:spacing w:before="0" w:after="283"/>
              <w:rPr>
                <w:sz w:val="4"/>
                <w:szCs w:val="4"/>
              </w:rPr>
            </w:pPr>
            <w:r>
              <w:rPr>
                <w:sz w:val="4"/>
                <w:szCs w:val="4"/>
              </w:rPr>
            </w:r>
          </w:p>
        </w:tc>
        <w:tc>
          <w:tcPr>
            <w:tcW w:w="180" w:type="dxa"/>
            <w:gridSpan w:val="2"/>
            <w:tcBorders>
              <w:right w:val="dotted" w:sz="6" w:space="0" w:color="000000"/>
            </w:tcBorders>
            <w:shd w:fill="auto" w:val="clear"/>
            <w:tcMar>
              <w:right w:w="28" w:type="dxa"/>
            </w:tcMar>
            <w:vAlign w:val="center"/>
          </w:tcPr>
          <w:p>
            <w:pPr>
              <w:pStyle w:val="TableContents"/>
              <w:spacing w:before="0" w:after="283"/>
              <w:rPr/>
            </w:pPr>
            <w:r>
              <w:rPr/>
              <w:t> </w:t>
            </w:r>
          </w:p>
        </w:tc>
        <w:tc>
          <w:tcPr>
            <w:tcW w:w="785" w:type="dxa"/>
            <w:gridSpan w:val="2"/>
            <w:tcBorders/>
            <w:shd w:fill="auto" w:val="clear"/>
            <w:vAlign w:val="center"/>
          </w:tcPr>
          <w:p>
            <w:pPr>
              <w:pStyle w:val="TableContents"/>
              <w:spacing w:before="0" w:after="283"/>
              <w:rPr>
                <w:sz w:val="4"/>
                <w:szCs w:val="4"/>
              </w:rPr>
            </w:pPr>
            <w:r>
              <w:rPr>
                <w:sz w:val="4"/>
                <w:szCs w:val="4"/>
              </w:rPr>
            </w:r>
          </w:p>
        </w:tc>
        <w:tc>
          <w:tcPr>
            <w:tcW w:w="2947" w:type="dxa"/>
            <w:gridSpan w:val="2"/>
            <w:tcBorders>
              <w:left w:val="dotted" w:sz="6" w:space="0" w:color="000000"/>
              <w:right w:val="single" w:sz="6" w:space="0" w:color="000000"/>
            </w:tcBorders>
            <w:shd w:fill="auto" w:val="clear"/>
            <w:tcMar>
              <w:left w:w="28" w:type="dxa"/>
              <w:right w:w="28" w:type="dxa"/>
            </w:tcMar>
            <w:vAlign w:val="center"/>
          </w:tcPr>
          <w:p>
            <w:pPr>
              <w:pStyle w:val="TableContents"/>
              <w:spacing w:before="0" w:after="283"/>
              <w:rPr/>
            </w:pPr>
            <w:r>
              <w:rPr/>
              <w:t> </w:t>
            </w:r>
          </w:p>
        </w:tc>
      </w:tr>
      <w:tr>
        <w:trPr/>
        <w:tc>
          <w:tcPr>
            <w:tcW w:w="101" w:type="dxa"/>
            <w:tcBorders>
              <w:left w:val="single" w:sz="6" w:space="0" w:color="000000"/>
              <w:bottom w:val="single" w:sz="6" w:space="0" w:color="595959"/>
            </w:tcBorders>
            <w:shd w:fill="auto" w:val="clear"/>
            <w:tcMar>
              <w:left w:w="160" w:type="dxa"/>
              <w:bottom w:w="60" w:type="dxa"/>
            </w:tcMar>
            <w:vAlign w:val="center"/>
          </w:tcPr>
          <w:p>
            <w:pPr>
              <w:pStyle w:val="TableContents"/>
              <w:spacing w:before="0" w:after="20"/>
              <w:rPr/>
            </w:pPr>
            <w:r>
              <w:rPr/>
              <w:drawing>
                <wp:inline distT="0" distB="0" distL="0" distR="0">
                  <wp:extent cx="50165" cy="635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50165" cy="63500"/>
                          </a:xfrm>
                          <a:prstGeom prst="rect">
                            <a:avLst/>
                          </a:prstGeom>
                        </pic:spPr>
                      </pic:pic>
                    </a:graphicData>
                  </a:graphic>
                </wp:inline>
              </w:drawing>
            </w:r>
            <w:r>
              <w:rPr/>
              <w:t xml:space="preserve"> </w:t>
            </w:r>
          </w:p>
        </w:tc>
        <w:tc>
          <w:tcPr>
            <w:tcW w:w="60" w:type="dxa"/>
            <w:tcBorders>
              <w:bottom w:val="single" w:sz="6" w:space="0" w:color="595959"/>
            </w:tcBorders>
            <w:shd w:fill="auto" w:val="clear"/>
            <w:tcMar>
              <w:bottom w:w="28" w:type="dxa"/>
            </w:tcMar>
            <w:vAlign w:val="center"/>
          </w:tcPr>
          <w:p>
            <w:pPr>
              <w:pStyle w:val="TableContents"/>
              <w:spacing w:before="0" w:after="283"/>
              <w:rPr/>
            </w:pPr>
            <w:r>
              <w:rPr/>
              <w:t> </w:t>
            </w:r>
          </w:p>
        </w:tc>
        <w:tc>
          <w:tcPr>
            <w:tcW w:w="6132" w:type="dxa"/>
            <w:tcBorders>
              <w:bottom w:val="single" w:sz="6" w:space="0" w:color="595959"/>
            </w:tcBorders>
            <w:shd w:fill="auto" w:val="clear"/>
            <w:tcMar>
              <w:bottom w:w="60" w:type="dxa"/>
            </w:tcMar>
            <w:vAlign w:val="center"/>
          </w:tcPr>
          <w:p>
            <w:pPr>
              <w:pStyle w:val="TableContents"/>
              <w:spacing w:before="0" w:after="0"/>
              <w:rPr>
                <w:rFonts w:ascii="ARIAL" w:hAnsi="ARIAL"/>
                <w:b/>
                <w:sz w:val="18"/>
              </w:rPr>
            </w:pPr>
            <w:r>
              <w:rPr>
                <w:rFonts w:ascii="ARIAL" w:hAnsi="ARIAL"/>
                <w:b/>
                <w:sz w:val="18"/>
              </w:rPr>
              <w:t>Elizabeth T. Hirsch</w:t>
            </w:r>
          </w:p>
          <w:p>
            <w:pPr>
              <w:pStyle w:val="TableContents"/>
              <w:spacing w:before="0" w:after="0"/>
              <w:rPr/>
            </w:pPr>
            <w:r>
              <w:rPr/>
              <w:t> </w:t>
            </w:r>
          </w:p>
          <w:p>
            <w:pPr>
              <w:pStyle w:val="TableContents"/>
              <w:spacing w:before="0" w:after="20"/>
              <w:rPr>
                <w:rFonts w:ascii="Times New Roman" w:hAnsi="Times New Roman"/>
                <w:sz w:val="16"/>
              </w:rPr>
            </w:pPr>
            <w:r>
              <w:rPr>
                <w:rFonts w:ascii="Times New Roman" w:hAnsi="Times New Roman"/>
                <w:sz w:val="16"/>
              </w:rPr>
              <w:t>Ms. Hirsch’s experience as an accounting and finance executive in a large publicly-traded corporation provides the Board with valuable insight, including financial statement preparation, internal controls, SEC reporting, and debt financings. She also brings investor relations expertise and an understanding of the perspective of institutional investors. She is currently retired, but most recently served as vice president and controller of Praxair.</w:t>
            </w:r>
          </w:p>
        </w:tc>
        <w:tc>
          <w:tcPr>
            <w:tcW w:w="60" w:type="dxa"/>
            <w:tcBorders>
              <w:bottom w:val="single" w:sz="6" w:space="0" w:color="595959"/>
            </w:tcBorders>
            <w:shd w:fill="auto" w:val="clear"/>
            <w:tcMar>
              <w:bottom w:w="28" w:type="dxa"/>
            </w:tcMar>
            <w:vAlign w:val="center"/>
          </w:tcPr>
          <w:p>
            <w:pPr>
              <w:pStyle w:val="TableContents"/>
              <w:spacing w:before="0" w:after="283"/>
              <w:rPr/>
            </w:pPr>
            <w:r>
              <w:rPr/>
              <w:t> </w:t>
            </w:r>
          </w:p>
        </w:tc>
        <w:tc>
          <w:tcPr>
            <w:tcW w:w="120" w:type="dxa"/>
            <w:tcBorders>
              <w:bottom w:val="single" w:sz="6" w:space="0" w:color="595959"/>
              <w:right w:val="dotted" w:sz="6" w:space="0" w:color="000000"/>
            </w:tcBorders>
            <w:shd w:fill="auto" w:val="clear"/>
            <w:tcMar>
              <w:bottom w:w="28" w:type="dxa"/>
              <w:right w:w="28" w:type="dxa"/>
            </w:tcMar>
            <w:vAlign w:val="center"/>
          </w:tcPr>
          <w:p>
            <w:pPr>
              <w:pStyle w:val="TableContents"/>
              <w:spacing w:before="0" w:after="283"/>
              <w:rPr/>
            </w:pPr>
            <w:r>
              <w:rPr/>
              <w:t> </w:t>
            </w:r>
          </w:p>
        </w:tc>
        <w:tc>
          <w:tcPr>
            <w:tcW w:w="60" w:type="dxa"/>
            <w:tcBorders>
              <w:bottom w:val="single" w:sz="6" w:space="0" w:color="595959"/>
            </w:tcBorders>
            <w:shd w:fill="auto" w:val="clear"/>
            <w:tcMar>
              <w:bottom w:w="28" w:type="dxa"/>
            </w:tcMar>
            <w:vAlign w:val="center"/>
          </w:tcPr>
          <w:p>
            <w:pPr>
              <w:pStyle w:val="TableContents"/>
              <w:spacing w:before="0" w:after="283"/>
              <w:rPr/>
            </w:pPr>
            <w:r>
              <w:rPr/>
              <w:t> </w:t>
            </w:r>
          </w:p>
        </w:tc>
        <w:tc>
          <w:tcPr>
            <w:tcW w:w="725" w:type="dxa"/>
            <w:tcBorders>
              <w:bottom w:val="single" w:sz="6" w:space="0" w:color="595959"/>
            </w:tcBorders>
            <w:shd w:fill="auto" w:val="clear"/>
            <w:tcMar>
              <w:bottom w:w="60" w:type="dxa"/>
            </w:tcMar>
            <w:vAlign w:val="center"/>
          </w:tcPr>
          <w:p>
            <w:pPr>
              <w:pStyle w:val="TableContents"/>
              <w:spacing w:before="0" w:after="283"/>
              <w:jc w:val="center"/>
              <w:rPr>
                <w:b/>
              </w:rPr>
            </w:pPr>
            <w:r>
              <w:rPr>
                <w:b/>
              </w:rPr>
              <w:t>2018</w:t>
            </w:r>
          </w:p>
        </w:tc>
        <w:tc>
          <w:tcPr>
            <w:tcW w:w="60" w:type="dxa"/>
            <w:tcBorders>
              <w:left w:val="dotted" w:sz="6" w:space="0" w:color="000000"/>
              <w:bottom w:val="single" w:sz="6" w:space="0" w:color="595959"/>
            </w:tcBorders>
            <w:shd w:fill="auto" w:val="clear"/>
            <w:tcMar>
              <w:left w:w="28" w:type="dxa"/>
              <w:bottom w:w="28" w:type="dxa"/>
            </w:tcMar>
            <w:vAlign w:val="center"/>
          </w:tcPr>
          <w:p>
            <w:pPr>
              <w:pStyle w:val="TableContents"/>
              <w:spacing w:before="0" w:after="283"/>
              <w:rPr/>
            </w:pPr>
            <w:r>
              <w:rPr/>
              <w:t> </w:t>
            </w:r>
          </w:p>
        </w:tc>
        <w:tc>
          <w:tcPr>
            <w:tcW w:w="2887" w:type="dxa"/>
            <w:tcBorders>
              <w:bottom w:val="single" w:sz="6" w:space="0" w:color="595959"/>
              <w:right w:val="single" w:sz="6" w:space="0" w:color="000000"/>
            </w:tcBorders>
            <w:shd w:fill="auto" w:val="clear"/>
            <w:tcMar>
              <w:bottom w:w="60" w:type="dxa"/>
              <w:right w:w="40" w:type="dxa"/>
            </w:tcMar>
            <w:vAlign w:val="center"/>
          </w:tcPr>
          <w:p>
            <w:pPr>
              <w:pStyle w:val="TableContents"/>
              <w:spacing w:before="0" w:after="0"/>
              <w:jc w:val="center"/>
              <w:rPr>
                <w:rFonts w:ascii="ARIAL" w:hAnsi="ARIAL"/>
                <w:b/>
                <w:sz w:val="16"/>
              </w:rPr>
            </w:pPr>
            <w:r>
              <w:rPr>
                <w:rFonts w:ascii="ARIAL" w:hAnsi="ARIAL"/>
                <w:b/>
                <w:sz w:val="16"/>
              </w:rPr>
              <w:t>Audit &amp; Compliance</w:t>
            </w:r>
          </w:p>
          <w:p>
            <w:pPr>
              <w:pStyle w:val="TableContents"/>
              <w:spacing w:before="0" w:after="20"/>
              <w:jc w:val="center"/>
              <w:rPr>
                <w:rFonts w:ascii="ARIAL" w:hAnsi="ARIAL"/>
                <w:b/>
                <w:sz w:val="16"/>
              </w:rPr>
            </w:pPr>
            <w:r>
              <w:rPr>
                <w:rFonts w:ascii="ARIAL" w:hAnsi="ARIAL"/>
                <w:b/>
                <w:sz w:val="16"/>
              </w:rPr>
              <w:t>Compensation</w:t>
            </w:r>
          </w:p>
        </w:tc>
      </w:tr>
      <w:tr>
        <w:trPr/>
        <w:tc>
          <w:tcPr>
            <w:tcW w:w="101" w:type="dxa"/>
            <w:tcBorders>
              <w:left w:val="single" w:sz="6" w:space="0" w:color="000000"/>
            </w:tcBorders>
            <w:shd w:fill="auto" w:val="clear"/>
            <w:tcMar>
              <w:left w:w="160" w:type="dxa"/>
            </w:tcMar>
            <w:vAlign w:val="center"/>
          </w:tcPr>
          <w:p>
            <w:pPr>
              <w:pStyle w:val="TableContents"/>
              <w:spacing w:before="0" w:after="283"/>
              <w:rPr/>
            </w:pPr>
            <w:r>
              <w:rPr/>
              <w:t> </w:t>
            </w:r>
          </w:p>
        </w:tc>
        <w:tc>
          <w:tcPr>
            <w:tcW w:w="6192" w:type="dxa"/>
            <w:gridSpan w:val="2"/>
            <w:tcBorders/>
            <w:shd w:fill="auto" w:val="clear"/>
            <w:vAlign w:val="center"/>
          </w:tcPr>
          <w:p>
            <w:pPr>
              <w:pStyle w:val="TableContents"/>
              <w:spacing w:before="0" w:after="283"/>
              <w:rPr>
                <w:sz w:val="4"/>
                <w:szCs w:val="4"/>
              </w:rPr>
            </w:pPr>
            <w:r>
              <w:rPr>
                <w:sz w:val="4"/>
                <w:szCs w:val="4"/>
              </w:rPr>
            </w:r>
          </w:p>
        </w:tc>
        <w:tc>
          <w:tcPr>
            <w:tcW w:w="180" w:type="dxa"/>
            <w:gridSpan w:val="2"/>
            <w:tcBorders>
              <w:right w:val="dotted" w:sz="6" w:space="0" w:color="000000"/>
            </w:tcBorders>
            <w:shd w:fill="auto" w:val="clear"/>
            <w:tcMar>
              <w:right w:w="28" w:type="dxa"/>
            </w:tcMar>
            <w:vAlign w:val="center"/>
          </w:tcPr>
          <w:p>
            <w:pPr>
              <w:pStyle w:val="TableContents"/>
              <w:spacing w:before="0" w:after="283"/>
              <w:rPr/>
            </w:pPr>
            <w:r>
              <w:rPr/>
              <w:t> </w:t>
            </w:r>
          </w:p>
        </w:tc>
        <w:tc>
          <w:tcPr>
            <w:tcW w:w="785" w:type="dxa"/>
            <w:gridSpan w:val="2"/>
            <w:tcBorders/>
            <w:shd w:fill="auto" w:val="clear"/>
            <w:vAlign w:val="center"/>
          </w:tcPr>
          <w:p>
            <w:pPr>
              <w:pStyle w:val="TableContents"/>
              <w:spacing w:before="0" w:after="283"/>
              <w:rPr>
                <w:sz w:val="4"/>
                <w:szCs w:val="4"/>
              </w:rPr>
            </w:pPr>
            <w:r>
              <w:rPr>
                <w:sz w:val="4"/>
                <w:szCs w:val="4"/>
              </w:rPr>
            </w:r>
          </w:p>
        </w:tc>
        <w:tc>
          <w:tcPr>
            <w:tcW w:w="2947" w:type="dxa"/>
            <w:gridSpan w:val="2"/>
            <w:tcBorders>
              <w:left w:val="dotted" w:sz="6" w:space="0" w:color="000000"/>
              <w:right w:val="single" w:sz="6" w:space="0" w:color="000000"/>
            </w:tcBorders>
            <w:shd w:fill="auto" w:val="clear"/>
            <w:tcMar>
              <w:left w:w="28" w:type="dxa"/>
              <w:right w:w="28" w:type="dxa"/>
            </w:tcMar>
            <w:vAlign w:val="center"/>
          </w:tcPr>
          <w:p>
            <w:pPr>
              <w:pStyle w:val="TableContents"/>
              <w:spacing w:before="0" w:after="283"/>
              <w:rPr/>
            </w:pPr>
            <w:r>
              <w:rPr/>
              <w:t> </w:t>
            </w:r>
          </w:p>
        </w:tc>
      </w:tr>
      <w:tr>
        <w:trPr/>
        <w:tc>
          <w:tcPr>
            <w:tcW w:w="101" w:type="dxa"/>
            <w:tcBorders>
              <w:left w:val="single" w:sz="6" w:space="0" w:color="000000"/>
              <w:bottom w:val="single" w:sz="6" w:space="0" w:color="595959"/>
            </w:tcBorders>
            <w:shd w:fill="auto" w:val="clear"/>
            <w:tcMar>
              <w:left w:w="160" w:type="dxa"/>
              <w:bottom w:w="60" w:type="dxa"/>
            </w:tcMar>
            <w:vAlign w:val="center"/>
          </w:tcPr>
          <w:p>
            <w:pPr>
              <w:pStyle w:val="TableContents"/>
              <w:spacing w:before="0" w:after="0"/>
              <w:rPr/>
            </w:pPr>
            <w:r>
              <w:rPr/>
              <w:drawing>
                <wp:inline distT="0" distB="0" distL="0" distR="0">
                  <wp:extent cx="50165" cy="635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50165" cy="63500"/>
                          </a:xfrm>
                          <a:prstGeom prst="rect">
                            <a:avLst/>
                          </a:prstGeom>
                        </pic:spPr>
                      </pic:pic>
                    </a:graphicData>
                  </a:graphic>
                </wp:inline>
              </w:drawing>
            </w:r>
            <w:r>
              <w:rPr/>
              <w:t xml:space="preserve"> </w:t>
            </w:r>
          </w:p>
          <w:p>
            <w:pPr>
              <w:pStyle w:val="TableContents"/>
              <w:spacing w:before="0" w:after="20"/>
              <w:rPr/>
            </w:pPr>
            <w:r>
              <w:rPr/>
              <w:t> </w:t>
            </w:r>
          </w:p>
        </w:tc>
        <w:tc>
          <w:tcPr>
            <w:tcW w:w="60" w:type="dxa"/>
            <w:tcBorders>
              <w:bottom w:val="single" w:sz="6" w:space="0" w:color="595959"/>
            </w:tcBorders>
            <w:shd w:fill="auto" w:val="clear"/>
            <w:tcMar>
              <w:bottom w:w="28" w:type="dxa"/>
            </w:tcMar>
            <w:vAlign w:val="center"/>
          </w:tcPr>
          <w:p>
            <w:pPr>
              <w:pStyle w:val="TableContents"/>
              <w:spacing w:before="0" w:after="283"/>
              <w:rPr/>
            </w:pPr>
            <w:r>
              <w:rPr/>
              <w:t> </w:t>
            </w:r>
          </w:p>
        </w:tc>
        <w:tc>
          <w:tcPr>
            <w:tcW w:w="6132" w:type="dxa"/>
            <w:tcBorders>
              <w:bottom w:val="single" w:sz="6" w:space="0" w:color="595959"/>
            </w:tcBorders>
            <w:shd w:fill="auto" w:val="clear"/>
            <w:tcMar>
              <w:bottom w:w="60" w:type="dxa"/>
            </w:tcMar>
            <w:vAlign w:val="center"/>
          </w:tcPr>
          <w:p>
            <w:pPr>
              <w:pStyle w:val="TableContents"/>
              <w:spacing w:before="0" w:after="0"/>
              <w:rPr>
                <w:rFonts w:ascii="ARIAL" w:hAnsi="ARIAL"/>
                <w:b/>
                <w:sz w:val="18"/>
              </w:rPr>
            </w:pPr>
            <w:r>
              <w:rPr>
                <w:rFonts w:ascii="ARIAL" w:hAnsi="ARIAL"/>
                <w:b/>
                <w:sz w:val="18"/>
              </w:rPr>
              <w:t>William Norris Jennings, M.D.</w:t>
            </w:r>
          </w:p>
          <w:p>
            <w:pPr>
              <w:pStyle w:val="TableContents"/>
              <w:spacing w:before="0" w:after="0"/>
              <w:rPr/>
            </w:pPr>
            <w:r>
              <w:rPr/>
              <w:t> </w:t>
            </w:r>
          </w:p>
          <w:p>
            <w:pPr>
              <w:pStyle w:val="TableContents"/>
              <w:spacing w:before="0" w:after="20"/>
              <w:rPr>
                <w:rFonts w:ascii="Times New Roman" w:hAnsi="Times New Roman"/>
                <w:sz w:val="16"/>
              </w:rPr>
            </w:pPr>
            <w:r>
              <w:rPr>
                <w:rFonts w:ascii="Times New Roman" w:hAnsi="Times New Roman"/>
                <w:sz w:val="16"/>
              </w:rPr>
              <w:t>Dr. Jennings brings the perspective of a physician to the Board. He provides advice about trends in medicine and his experience managing large physician practices, with focus on risk and quality oversight, offers a physician’s viewpoint to the Board in these areas. He also brings practitioner insight to quality measures and reporting, electronic health record implementation, and federal regulation of practitioner-hospital relationships. Dr. Jennings is currently retired.</w:t>
            </w:r>
          </w:p>
        </w:tc>
        <w:tc>
          <w:tcPr>
            <w:tcW w:w="60" w:type="dxa"/>
            <w:tcBorders>
              <w:bottom w:val="single" w:sz="6" w:space="0" w:color="595959"/>
            </w:tcBorders>
            <w:shd w:fill="auto" w:val="clear"/>
            <w:tcMar>
              <w:bottom w:w="28" w:type="dxa"/>
            </w:tcMar>
            <w:vAlign w:val="center"/>
          </w:tcPr>
          <w:p>
            <w:pPr>
              <w:pStyle w:val="TableContents"/>
              <w:spacing w:before="0" w:after="283"/>
              <w:rPr/>
            </w:pPr>
            <w:r>
              <w:rPr/>
              <w:t> </w:t>
            </w:r>
          </w:p>
        </w:tc>
        <w:tc>
          <w:tcPr>
            <w:tcW w:w="120" w:type="dxa"/>
            <w:tcBorders>
              <w:bottom w:val="single" w:sz="6" w:space="0" w:color="595959"/>
              <w:right w:val="dotted" w:sz="6" w:space="0" w:color="000000"/>
            </w:tcBorders>
            <w:shd w:fill="auto" w:val="clear"/>
            <w:tcMar>
              <w:bottom w:w="28" w:type="dxa"/>
              <w:right w:w="28" w:type="dxa"/>
            </w:tcMar>
            <w:vAlign w:val="center"/>
          </w:tcPr>
          <w:p>
            <w:pPr>
              <w:pStyle w:val="TableContents"/>
              <w:spacing w:before="0" w:after="283"/>
              <w:rPr/>
            </w:pPr>
            <w:r>
              <w:rPr/>
              <w:t> </w:t>
            </w:r>
          </w:p>
        </w:tc>
        <w:tc>
          <w:tcPr>
            <w:tcW w:w="60" w:type="dxa"/>
            <w:tcBorders>
              <w:bottom w:val="single" w:sz="6" w:space="0" w:color="595959"/>
            </w:tcBorders>
            <w:shd w:fill="auto" w:val="clear"/>
            <w:tcMar>
              <w:bottom w:w="28" w:type="dxa"/>
            </w:tcMar>
            <w:vAlign w:val="center"/>
          </w:tcPr>
          <w:p>
            <w:pPr>
              <w:pStyle w:val="TableContents"/>
              <w:spacing w:before="0" w:after="283"/>
              <w:rPr/>
            </w:pPr>
            <w:r>
              <w:rPr/>
              <w:t> </w:t>
            </w:r>
          </w:p>
        </w:tc>
        <w:tc>
          <w:tcPr>
            <w:tcW w:w="725" w:type="dxa"/>
            <w:tcBorders>
              <w:bottom w:val="single" w:sz="6" w:space="0" w:color="595959"/>
            </w:tcBorders>
            <w:shd w:fill="auto" w:val="clear"/>
            <w:tcMar>
              <w:bottom w:w="60" w:type="dxa"/>
            </w:tcMar>
            <w:vAlign w:val="center"/>
          </w:tcPr>
          <w:p>
            <w:pPr>
              <w:pStyle w:val="TableContents"/>
              <w:spacing w:before="0" w:after="283"/>
              <w:jc w:val="center"/>
              <w:rPr>
                <w:b/>
              </w:rPr>
            </w:pPr>
            <w:r>
              <w:rPr>
                <w:b/>
              </w:rPr>
              <w:t>2008</w:t>
            </w:r>
          </w:p>
        </w:tc>
        <w:tc>
          <w:tcPr>
            <w:tcW w:w="60" w:type="dxa"/>
            <w:tcBorders>
              <w:left w:val="dotted" w:sz="6" w:space="0" w:color="000000"/>
              <w:bottom w:val="single" w:sz="6" w:space="0" w:color="595959"/>
            </w:tcBorders>
            <w:shd w:fill="auto" w:val="clear"/>
            <w:tcMar>
              <w:left w:w="28" w:type="dxa"/>
              <w:bottom w:w="28" w:type="dxa"/>
            </w:tcMar>
            <w:vAlign w:val="center"/>
          </w:tcPr>
          <w:p>
            <w:pPr>
              <w:pStyle w:val="TableContents"/>
              <w:spacing w:before="0" w:after="283"/>
              <w:rPr/>
            </w:pPr>
            <w:r>
              <w:rPr/>
              <w:t> </w:t>
            </w:r>
          </w:p>
        </w:tc>
        <w:tc>
          <w:tcPr>
            <w:tcW w:w="2887" w:type="dxa"/>
            <w:tcBorders>
              <w:bottom w:val="single" w:sz="6" w:space="0" w:color="595959"/>
              <w:right w:val="single" w:sz="6" w:space="0" w:color="000000"/>
            </w:tcBorders>
            <w:shd w:fill="auto" w:val="clear"/>
            <w:tcMar>
              <w:bottom w:w="60" w:type="dxa"/>
              <w:right w:w="40" w:type="dxa"/>
            </w:tcMar>
            <w:vAlign w:val="center"/>
          </w:tcPr>
          <w:p>
            <w:pPr>
              <w:pStyle w:val="TableContents"/>
              <w:spacing w:before="0" w:after="283"/>
              <w:jc w:val="center"/>
              <w:rPr>
                <w:b/>
              </w:rPr>
            </w:pPr>
            <w:r>
              <w:rPr>
                <w:b/>
              </w:rPr>
              <w:t>Governance &amp; Nominating</w:t>
            </w:r>
          </w:p>
        </w:tc>
      </w:tr>
      <w:tr>
        <w:trPr/>
        <w:tc>
          <w:tcPr>
            <w:tcW w:w="101" w:type="dxa"/>
            <w:tcBorders>
              <w:left w:val="single" w:sz="6" w:space="0" w:color="000000"/>
            </w:tcBorders>
            <w:shd w:fill="auto" w:val="clear"/>
            <w:tcMar>
              <w:left w:w="160" w:type="dxa"/>
            </w:tcMar>
            <w:vAlign w:val="center"/>
          </w:tcPr>
          <w:p>
            <w:pPr>
              <w:pStyle w:val="TableContents"/>
              <w:spacing w:before="0" w:after="283"/>
              <w:rPr/>
            </w:pPr>
            <w:r>
              <w:rPr/>
              <w:t> </w:t>
            </w:r>
          </w:p>
        </w:tc>
        <w:tc>
          <w:tcPr>
            <w:tcW w:w="6192" w:type="dxa"/>
            <w:gridSpan w:val="2"/>
            <w:tcBorders/>
            <w:shd w:fill="auto" w:val="clear"/>
            <w:vAlign w:val="center"/>
          </w:tcPr>
          <w:p>
            <w:pPr>
              <w:pStyle w:val="TableContents"/>
              <w:spacing w:before="0" w:after="283"/>
              <w:rPr>
                <w:sz w:val="4"/>
                <w:szCs w:val="4"/>
              </w:rPr>
            </w:pPr>
            <w:r>
              <w:rPr>
                <w:sz w:val="4"/>
                <w:szCs w:val="4"/>
              </w:rPr>
            </w:r>
          </w:p>
        </w:tc>
        <w:tc>
          <w:tcPr>
            <w:tcW w:w="180" w:type="dxa"/>
            <w:gridSpan w:val="2"/>
            <w:tcBorders>
              <w:right w:val="dotted" w:sz="6" w:space="0" w:color="000000"/>
            </w:tcBorders>
            <w:shd w:fill="auto" w:val="clear"/>
            <w:tcMar>
              <w:right w:w="28" w:type="dxa"/>
            </w:tcMar>
            <w:vAlign w:val="center"/>
          </w:tcPr>
          <w:p>
            <w:pPr>
              <w:pStyle w:val="TableContents"/>
              <w:spacing w:before="0" w:after="283"/>
              <w:rPr/>
            </w:pPr>
            <w:r>
              <w:rPr/>
              <w:t> </w:t>
            </w:r>
          </w:p>
        </w:tc>
        <w:tc>
          <w:tcPr>
            <w:tcW w:w="785" w:type="dxa"/>
            <w:gridSpan w:val="2"/>
            <w:tcBorders/>
            <w:shd w:fill="auto" w:val="clear"/>
            <w:vAlign w:val="center"/>
          </w:tcPr>
          <w:p>
            <w:pPr>
              <w:pStyle w:val="TableContents"/>
              <w:spacing w:before="0" w:after="283"/>
              <w:rPr>
                <w:sz w:val="4"/>
                <w:szCs w:val="4"/>
              </w:rPr>
            </w:pPr>
            <w:r>
              <w:rPr>
                <w:sz w:val="4"/>
                <w:szCs w:val="4"/>
              </w:rPr>
            </w:r>
          </w:p>
        </w:tc>
        <w:tc>
          <w:tcPr>
            <w:tcW w:w="2947" w:type="dxa"/>
            <w:gridSpan w:val="2"/>
            <w:tcBorders>
              <w:left w:val="dotted" w:sz="6" w:space="0" w:color="000000"/>
              <w:right w:val="single" w:sz="6" w:space="0" w:color="000000"/>
            </w:tcBorders>
            <w:shd w:fill="auto" w:val="clear"/>
            <w:tcMar>
              <w:left w:w="28" w:type="dxa"/>
              <w:right w:w="28" w:type="dxa"/>
            </w:tcMar>
            <w:vAlign w:val="center"/>
          </w:tcPr>
          <w:p>
            <w:pPr>
              <w:pStyle w:val="TableContents"/>
              <w:spacing w:before="0" w:after="283"/>
              <w:rPr/>
            </w:pPr>
            <w:r>
              <w:rPr/>
              <w:t> </w:t>
            </w:r>
          </w:p>
        </w:tc>
      </w:tr>
      <w:tr>
        <w:trPr/>
        <w:tc>
          <w:tcPr>
            <w:tcW w:w="101" w:type="dxa"/>
            <w:tcBorders>
              <w:left w:val="single" w:sz="6" w:space="0" w:color="000000"/>
              <w:bottom w:val="single" w:sz="6" w:space="0" w:color="595959"/>
            </w:tcBorders>
            <w:shd w:fill="auto" w:val="clear"/>
            <w:tcMar>
              <w:left w:w="160" w:type="dxa"/>
              <w:bottom w:w="40" w:type="dxa"/>
            </w:tcMar>
            <w:vAlign w:val="center"/>
          </w:tcPr>
          <w:p>
            <w:pPr>
              <w:pStyle w:val="TableContents"/>
              <w:spacing w:before="0" w:after="0"/>
              <w:rPr/>
            </w:pPr>
            <w:r>
              <w:rPr/>
              <w:drawing>
                <wp:inline distT="0" distB="0" distL="0" distR="0">
                  <wp:extent cx="50165" cy="635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50165" cy="63500"/>
                          </a:xfrm>
                          <a:prstGeom prst="rect">
                            <a:avLst/>
                          </a:prstGeom>
                        </pic:spPr>
                      </pic:pic>
                    </a:graphicData>
                  </a:graphic>
                </wp:inline>
              </w:drawing>
            </w:r>
            <w:r>
              <w:rPr/>
              <w:t xml:space="preserve"> </w:t>
            </w:r>
          </w:p>
          <w:p>
            <w:pPr>
              <w:pStyle w:val="TableContents"/>
              <w:spacing w:before="0" w:after="0"/>
              <w:rPr/>
            </w:pPr>
            <w:r>
              <w:rPr/>
              <w:t> </w:t>
            </w:r>
          </w:p>
          <w:p>
            <w:pPr>
              <w:pStyle w:val="TableContents"/>
              <w:spacing w:before="0" w:after="20"/>
              <w:rPr/>
            </w:pPr>
            <w:r>
              <w:rPr/>
              <w:t> </w:t>
            </w:r>
          </w:p>
        </w:tc>
        <w:tc>
          <w:tcPr>
            <w:tcW w:w="60" w:type="dxa"/>
            <w:tcBorders>
              <w:bottom w:val="single" w:sz="6" w:space="0" w:color="595959"/>
            </w:tcBorders>
            <w:shd w:fill="auto" w:val="clear"/>
            <w:tcMar>
              <w:bottom w:w="28" w:type="dxa"/>
            </w:tcMar>
            <w:vAlign w:val="center"/>
          </w:tcPr>
          <w:p>
            <w:pPr>
              <w:pStyle w:val="TableContents"/>
              <w:spacing w:before="0" w:after="283"/>
              <w:rPr/>
            </w:pPr>
            <w:r>
              <w:rPr/>
              <w:t> </w:t>
            </w:r>
          </w:p>
        </w:tc>
        <w:tc>
          <w:tcPr>
            <w:tcW w:w="6132" w:type="dxa"/>
            <w:tcBorders>
              <w:bottom w:val="single" w:sz="6" w:space="0" w:color="595959"/>
            </w:tcBorders>
            <w:shd w:fill="auto" w:val="clear"/>
            <w:tcMar>
              <w:bottom w:w="40" w:type="dxa"/>
            </w:tcMar>
            <w:vAlign w:val="center"/>
          </w:tcPr>
          <w:p>
            <w:pPr>
              <w:pStyle w:val="TableContents"/>
              <w:spacing w:before="0" w:after="0"/>
              <w:rPr>
                <w:rFonts w:ascii="ARIAL" w:hAnsi="ARIAL"/>
                <w:b/>
                <w:sz w:val="18"/>
              </w:rPr>
            </w:pPr>
            <w:r>
              <w:rPr>
                <w:rFonts w:ascii="ARIAL" w:hAnsi="ARIAL"/>
                <w:b/>
                <w:sz w:val="18"/>
              </w:rPr>
              <w:t>K. Ranga Krishnan, MBBS</w:t>
            </w:r>
          </w:p>
          <w:p>
            <w:pPr>
              <w:pStyle w:val="TableContents"/>
              <w:spacing w:before="0" w:after="0"/>
              <w:rPr/>
            </w:pPr>
            <w:r>
              <w:rPr/>
              <w:t> </w:t>
            </w:r>
          </w:p>
          <w:p>
            <w:pPr>
              <w:pStyle w:val="TableContents"/>
              <w:spacing w:before="0" w:after="20"/>
              <w:rPr>
                <w:rFonts w:ascii="Times New Roman" w:hAnsi="Times New Roman"/>
                <w:sz w:val="16"/>
              </w:rPr>
            </w:pPr>
            <w:r>
              <w:rPr>
                <w:rFonts w:ascii="Times New Roman" w:hAnsi="Times New Roman"/>
                <w:sz w:val="16"/>
              </w:rPr>
              <w:t>Dr. Krishnan’s service as an executive and administrator at a large medical center and as the dean of two medical schools provides the Board with valuable experience in the management of physician practices and in maintaining compliance with the complex regulatory requirements of the hospital and healthcare industries. From 2019 to 2022, Dr. Krishnan served as chief executive officer of Rush University System for Health, where he currently serves as executive vice chairman and senior advisor. He is also a professor of psychiatry at Rush Medical College.</w:t>
            </w:r>
          </w:p>
        </w:tc>
        <w:tc>
          <w:tcPr>
            <w:tcW w:w="60" w:type="dxa"/>
            <w:tcBorders>
              <w:bottom w:val="single" w:sz="6" w:space="0" w:color="595959"/>
            </w:tcBorders>
            <w:shd w:fill="auto" w:val="clear"/>
            <w:tcMar>
              <w:bottom w:w="28" w:type="dxa"/>
            </w:tcMar>
            <w:vAlign w:val="center"/>
          </w:tcPr>
          <w:p>
            <w:pPr>
              <w:pStyle w:val="TableContents"/>
              <w:spacing w:before="0" w:after="283"/>
              <w:rPr/>
            </w:pPr>
            <w:r>
              <w:rPr/>
              <w:t> </w:t>
            </w:r>
          </w:p>
        </w:tc>
        <w:tc>
          <w:tcPr>
            <w:tcW w:w="120" w:type="dxa"/>
            <w:tcBorders>
              <w:bottom w:val="single" w:sz="6" w:space="0" w:color="595959"/>
              <w:right w:val="dotted" w:sz="6" w:space="0" w:color="000000"/>
            </w:tcBorders>
            <w:shd w:fill="auto" w:val="clear"/>
            <w:tcMar>
              <w:bottom w:w="28" w:type="dxa"/>
              <w:right w:w="28" w:type="dxa"/>
            </w:tcMar>
            <w:vAlign w:val="center"/>
          </w:tcPr>
          <w:p>
            <w:pPr>
              <w:pStyle w:val="TableContents"/>
              <w:spacing w:before="0" w:after="283"/>
              <w:rPr/>
            </w:pPr>
            <w:r>
              <w:rPr/>
              <w:t> </w:t>
            </w:r>
          </w:p>
        </w:tc>
        <w:tc>
          <w:tcPr>
            <w:tcW w:w="60" w:type="dxa"/>
            <w:tcBorders>
              <w:bottom w:val="single" w:sz="6" w:space="0" w:color="595959"/>
            </w:tcBorders>
            <w:shd w:fill="auto" w:val="clear"/>
            <w:tcMar>
              <w:bottom w:w="28" w:type="dxa"/>
            </w:tcMar>
            <w:vAlign w:val="center"/>
          </w:tcPr>
          <w:p>
            <w:pPr>
              <w:pStyle w:val="TableContents"/>
              <w:spacing w:before="0" w:after="283"/>
              <w:rPr/>
            </w:pPr>
            <w:r>
              <w:rPr/>
              <w:t> </w:t>
            </w:r>
          </w:p>
        </w:tc>
        <w:tc>
          <w:tcPr>
            <w:tcW w:w="725" w:type="dxa"/>
            <w:tcBorders>
              <w:bottom w:val="single" w:sz="6" w:space="0" w:color="595959"/>
            </w:tcBorders>
            <w:shd w:fill="auto" w:val="clear"/>
            <w:tcMar>
              <w:bottom w:w="40" w:type="dxa"/>
            </w:tcMar>
            <w:vAlign w:val="center"/>
          </w:tcPr>
          <w:p>
            <w:pPr>
              <w:pStyle w:val="TableContents"/>
              <w:spacing w:before="0" w:after="283"/>
              <w:jc w:val="center"/>
              <w:rPr>
                <w:b/>
              </w:rPr>
            </w:pPr>
            <w:r>
              <w:rPr>
                <w:b/>
              </w:rPr>
              <w:t>2017</w:t>
            </w:r>
          </w:p>
        </w:tc>
        <w:tc>
          <w:tcPr>
            <w:tcW w:w="60" w:type="dxa"/>
            <w:tcBorders>
              <w:left w:val="dotted" w:sz="6" w:space="0" w:color="000000"/>
              <w:bottom w:val="single" w:sz="6" w:space="0" w:color="595959"/>
            </w:tcBorders>
            <w:shd w:fill="auto" w:val="clear"/>
            <w:tcMar>
              <w:left w:w="28" w:type="dxa"/>
              <w:bottom w:w="28" w:type="dxa"/>
            </w:tcMar>
            <w:vAlign w:val="center"/>
          </w:tcPr>
          <w:p>
            <w:pPr>
              <w:pStyle w:val="TableContents"/>
              <w:spacing w:before="0" w:after="283"/>
              <w:rPr/>
            </w:pPr>
            <w:r>
              <w:rPr/>
              <w:t> </w:t>
            </w:r>
          </w:p>
        </w:tc>
        <w:tc>
          <w:tcPr>
            <w:tcW w:w="2887" w:type="dxa"/>
            <w:tcBorders>
              <w:bottom w:val="single" w:sz="6" w:space="0" w:color="595959"/>
              <w:right w:val="single" w:sz="6" w:space="0" w:color="000000"/>
            </w:tcBorders>
            <w:shd w:fill="auto" w:val="clear"/>
            <w:tcMar>
              <w:bottom w:w="40" w:type="dxa"/>
              <w:right w:w="40" w:type="dxa"/>
            </w:tcMar>
            <w:vAlign w:val="center"/>
          </w:tcPr>
          <w:p>
            <w:pPr>
              <w:pStyle w:val="TableContents"/>
              <w:spacing w:before="0" w:after="283"/>
              <w:jc w:val="center"/>
              <w:rPr>
                <w:b/>
              </w:rPr>
            </w:pPr>
            <w:r>
              <w:rPr>
                <w:b/>
              </w:rPr>
              <w:t>Governance &amp; Nominating</w:t>
            </w:r>
          </w:p>
        </w:tc>
      </w:tr>
      <w:tr>
        <w:trPr/>
        <w:tc>
          <w:tcPr>
            <w:tcW w:w="101" w:type="dxa"/>
            <w:tcBorders>
              <w:left w:val="single" w:sz="6" w:space="0" w:color="000000"/>
            </w:tcBorders>
            <w:shd w:fill="auto" w:val="clear"/>
            <w:tcMar>
              <w:left w:w="160" w:type="dxa"/>
            </w:tcMar>
            <w:vAlign w:val="center"/>
          </w:tcPr>
          <w:p>
            <w:pPr>
              <w:pStyle w:val="TableContents"/>
              <w:spacing w:before="0" w:after="283"/>
              <w:rPr/>
            </w:pPr>
            <w:r>
              <w:rPr/>
              <w:t> </w:t>
            </w:r>
          </w:p>
        </w:tc>
        <w:tc>
          <w:tcPr>
            <w:tcW w:w="6192" w:type="dxa"/>
            <w:gridSpan w:val="2"/>
            <w:tcBorders/>
            <w:shd w:fill="auto" w:val="clear"/>
            <w:vAlign w:val="center"/>
          </w:tcPr>
          <w:p>
            <w:pPr>
              <w:pStyle w:val="TableContents"/>
              <w:spacing w:before="0" w:after="283"/>
              <w:rPr>
                <w:sz w:val="4"/>
                <w:szCs w:val="4"/>
              </w:rPr>
            </w:pPr>
            <w:r>
              <w:rPr>
                <w:sz w:val="4"/>
                <w:szCs w:val="4"/>
              </w:rPr>
            </w:r>
          </w:p>
        </w:tc>
        <w:tc>
          <w:tcPr>
            <w:tcW w:w="180" w:type="dxa"/>
            <w:gridSpan w:val="2"/>
            <w:tcBorders>
              <w:right w:val="dotted" w:sz="6" w:space="0" w:color="000000"/>
            </w:tcBorders>
            <w:shd w:fill="auto" w:val="clear"/>
            <w:tcMar>
              <w:right w:w="28" w:type="dxa"/>
            </w:tcMar>
            <w:vAlign w:val="center"/>
          </w:tcPr>
          <w:p>
            <w:pPr>
              <w:pStyle w:val="TableContents"/>
              <w:spacing w:before="0" w:after="283"/>
              <w:rPr/>
            </w:pPr>
            <w:r>
              <w:rPr/>
              <w:t> </w:t>
            </w:r>
          </w:p>
        </w:tc>
        <w:tc>
          <w:tcPr>
            <w:tcW w:w="785" w:type="dxa"/>
            <w:gridSpan w:val="2"/>
            <w:tcBorders/>
            <w:shd w:fill="auto" w:val="clear"/>
            <w:vAlign w:val="center"/>
          </w:tcPr>
          <w:p>
            <w:pPr>
              <w:pStyle w:val="TableContents"/>
              <w:spacing w:before="0" w:after="283"/>
              <w:rPr>
                <w:sz w:val="4"/>
                <w:szCs w:val="4"/>
              </w:rPr>
            </w:pPr>
            <w:r>
              <w:rPr>
                <w:sz w:val="4"/>
                <w:szCs w:val="4"/>
              </w:rPr>
            </w:r>
          </w:p>
        </w:tc>
        <w:tc>
          <w:tcPr>
            <w:tcW w:w="2947" w:type="dxa"/>
            <w:gridSpan w:val="2"/>
            <w:tcBorders>
              <w:left w:val="dotted" w:sz="6" w:space="0" w:color="000000"/>
              <w:right w:val="single" w:sz="6" w:space="0" w:color="000000"/>
            </w:tcBorders>
            <w:shd w:fill="auto" w:val="clear"/>
            <w:tcMar>
              <w:left w:w="28" w:type="dxa"/>
              <w:right w:w="28" w:type="dxa"/>
            </w:tcMar>
            <w:vAlign w:val="center"/>
          </w:tcPr>
          <w:p>
            <w:pPr>
              <w:pStyle w:val="TableContents"/>
              <w:spacing w:before="0" w:after="283"/>
              <w:rPr/>
            </w:pPr>
            <w:r>
              <w:rPr/>
              <w:t> </w:t>
            </w:r>
          </w:p>
        </w:tc>
      </w:tr>
      <w:tr>
        <w:trPr/>
        <w:tc>
          <w:tcPr>
            <w:tcW w:w="101" w:type="dxa"/>
            <w:tcBorders>
              <w:left w:val="single" w:sz="6" w:space="0" w:color="000000"/>
              <w:bottom w:val="single" w:sz="6" w:space="0" w:color="595959"/>
            </w:tcBorders>
            <w:shd w:fill="auto" w:val="clear"/>
            <w:tcMar>
              <w:left w:w="160" w:type="dxa"/>
              <w:bottom w:w="40" w:type="dxa"/>
            </w:tcMar>
            <w:vAlign w:val="center"/>
          </w:tcPr>
          <w:p>
            <w:pPr>
              <w:pStyle w:val="TableContents"/>
              <w:spacing w:before="0" w:after="0"/>
              <w:rPr/>
            </w:pPr>
            <w:r>
              <w:rPr/>
              <w:drawing>
                <wp:inline distT="0" distB="0" distL="0" distR="0">
                  <wp:extent cx="50165" cy="635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50165" cy="63500"/>
                          </a:xfrm>
                          <a:prstGeom prst="rect">
                            <a:avLst/>
                          </a:prstGeom>
                        </pic:spPr>
                      </pic:pic>
                    </a:graphicData>
                  </a:graphic>
                </wp:inline>
              </w:drawing>
            </w:r>
            <w:r>
              <w:rPr/>
              <w:t xml:space="preserve"> </w:t>
            </w:r>
          </w:p>
          <w:p>
            <w:pPr>
              <w:pStyle w:val="TableContents"/>
              <w:spacing w:before="0" w:after="0"/>
              <w:rPr/>
            </w:pPr>
            <w:r>
              <w:rPr/>
              <w:t> </w:t>
            </w:r>
          </w:p>
          <w:p>
            <w:pPr>
              <w:pStyle w:val="TableContents"/>
              <w:spacing w:before="0" w:after="20"/>
              <w:rPr/>
            </w:pPr>
            <w:r>
              <w:rPr/>
              <w:t> </w:t>
            </w:r>
          </w:p>
        </w:tc>
        <w:tc>
          <w:tcPr>
            <w:tcW w:w="60" w:type="dxa"/>
            <w:tcBorders>
              <w:bottom w:val="single" w:sz="6" w:space="0" w:color="595959"/>
            </w:tcBorders>
            <w:shd w:fill="auto" w:val="clear"/>
            <w:tcMar>
              <w:bottom w:w="28" w:type="dxa"/>
            </w:tcMar>
            <w:vAlign w:val="center"/>
          </w:tcPr>
          <w:p>
            <w:pPr>
              <w:pStyle w:val="TableContents"/>
              <w:spacing w:before="0" w:after="283"/>
              <w:rPr/>
            </w:pPr>
            <w:r>
              <w:rPr/>
              <w:t> </w:t>
            </w:r>
          </w:p>
        </w:tc>
        <w:tc>
          <w:tcPr>
            <w:tcW w:w="6132" w:type="dxa"/>
            <w:tcBorders>
              <w:bottom w:val="single" w:sz="6" w:space="0" w:color="595959"/>
            </w:tcBorders>
            <w:shd w:fill="auto" w:val="clear"/>
            <w:tcMar>
              <w:bottom w:w="40" w:type="dxa"/>
            </w:tcMar>
            <w:vAlign w:val="center"/>
          </w:tcPr>
          <w:p>
            <w:pPr>
              <w:pStyle w:val="TableContents"/>
              <w:spacing w:before="0" w:after="0"/>
              <w:rPr>
                <w:rFonts w:ascii="ARIAL" w:hAnsi="ARIAL"/>
                <w:b/>
                <w:sz w:val="18"/>
              </w:rPr>
            </w:pPr>
            <w:r>
              <w:rPr>
                <w:rFonts w:ascii="ARIAL" w:hAnsi="ARIAL"/>
                <w:b/>
                <w:sz w:val="18"/>
              </w:rPr>
              <w:t>Wayne T. Smith</w:t>
            </w:r>
          </w:p>
          <w:p>
            <w:pPr>
              <w:pStyle w:val="TableContents"/>
              <w:spacing w:before="0" w:after="0"/>
              <w:rPr/>
            </w:pPr>
            <w:r>
              <w:rPr/>
              <w:t> </w:t>
            </w:r>
          </w:p>
          <w:p>
            <w:pPr>
              <w:pStyle w:val="TableContents"/>
              <w:spacing w:before="0" w:after="20"/>
              <w:rPr>
                <w:rFonts w:ascii="Times New Roman" w:hAnsi="Times New Roman"/>
                <w:sz w:val="16"/>
              </w:rPr>
            </w:pPr>
            <w:r>
              <w:rPr>
                <w:rFonts w:ascii="Times New Roman" w:hAnsi="Times New Roman"/>
                <w:sz w:val="16"/>
              </w:rPr>
              <w:t>Mr. Smith is the Chairman of the Board of Directors. He retired as an executive of the Company effective January 1, 2023. At the time of his retirement, he was one of the most tenured executives in the hospital industry and had led the Company to become one of the largest publicly-traded providers of healthcare services in the nation. He is the past-chair of the board of the Federation of American Hospitals, past-chair and former board member of both the Nashville Area Chamber of Commerce and Nashville Health Care Council and serves on the board of trustees of Auburn University.</w:t>
            </w:r>
          </w:p>
        </w:tc>
        <w:tc>
          <w:tcPr>
            <w:tcW w:w="60" w:type="dxa"/>
            <w:tcBorders>
              <w:bottom w:val="single" w:sz="6" w:space="0" w:color="595959"/>
            </w:tcBorders>
            <w:shd w:fill="auto" w:val="clear"/>
            <w:tcMar>
              <w:bottom w:w="28" w:type="dxa"/>
            </w:tcMar>
            <w:vAlign w:val="center"/>
          </w:tcPr>
          <w:p>
            <w:pPr>
              <w:pStyle w:val="TableContents"/>
              <w:spacing w:before="0" w:after="283"/>
              <w:rPr/>
            </w:pPr>
            <w:r>
              <w:rPr/>
              <w:t> </w:t>
            </w:r>
          </w:p>
        </w:tc>
        <w:tc>
          <w:tcPr>
            <w:tcW w:w="120" w:type="dxa"/>
            <w:tcBorders>
              <w:bottom w:val="single" w:sz="6" w:space="0" w:color="595959"/>
              <w:right w:val="dotted" w:sz="6" w:space="0" w:color="000000"/>
            </w:tcBorders>
            <w:shd w:fill="auto" w:val="clear"/>
            <w:tcMar>
              <w:bottom w:w="28" w:type="dxa"/>
              <w:right w:w="28" w:type="dxa"/>
            </w:tcMar>
            <w:vAlign w:val="center"/>
          </w:tcPr>
          <w:p>
            <w:pPr>
              <w:pStyle w:val="TableContents"/>
              <w:spacing w:before="0" w:after="283"/>
              <w:rPr/>
            </w:pPr>
            <w:r>
              <w:rPr/>
              <w:t> </w:t>
            </w:r>
          </w:p>
        </w:tc>
        <w:tc>
          <w:tcPr>
            <w:tcW w:w="60" w:type="dxa"/>
            <w:tcBorders>
              <w:bottom w:val="single" w:sz="6" w:space="0" w:color="595959"/>
            </w:tcBorders>
            <w:shd w:fill="auto" w:val="clear"/>
            <w:tcMar>
              <w:bottom w:w="28" w:type="dxa"/>
            </w:tcMar>
            <w:vAlign w:val="center"/>
          </w:tcPr>
          <w:p>
            <w:pPr>
              <w:pStyle w:val="TableContents"/>
              <w:spacing w:before="0" w:after="283"/>
              <w:rPr/>
            </w:pPr>
            <w:r>
              <w:rPr/>
              <w:t> </w:t>
            </w:r>
          </w:p>
        </w:tc>
        <w:tc>
          <w:tcPr>
            <w:tcW w:w="725" w:type="dxa"/>
            <w:tcBorders>
              <w:bottom w:val="single" w:sz="6" w:space="0" w:color="595959"/>
            </w:tcBorders>
            <w:shd w:fill="auto" w:val="clear"/>
            <w:tcMar>
              <w:bottom w:w="40" w:type="dxa"/>
            </w:tcMar>
            <w:vAlign w:val="center"/>
          </w:tcPr>
          <w:p>
            <w:pPr>
              <w:pStyle w:val="TableContents"/>
              <w:spacing w:before="0" w:after="283"/>
              <w:jc w:val="center"/>
              <w:rPr>
                <w:b/>
              </w:rPr>
            </w:pPr>
            <w:r>
              <w:rPr>
                <w:b/>
              </w:rPr>
              <w:t>1997</w:t>
            </w:r>
          </w:p>
        </w:tc>
        <w:tc>
          <w:tcPr>
            <w:tcW w:w="60" w:type="dxa"/>
            <w:tcBorders>
              <w:left w:val="dotted" w:sz="6" w:space="0" w:color="000000"/>
              <w:bottom w:val="single" w:sz="6" w:space="0" w:color="595959"/>
            </w:tcBorders>
            <w:shd w:fill="auto" w:val="clear"/>
            <w:tcMar>
              <w:left w:w="28" w:type="dxa"/>
              <w:bottom w:w="28" w:type="dxa"/>
            </w:tcMar>
            <w:vAlign w:val="center"/>
          </w:tcPr>
          <w:p>
            <w:pPr>
              <w:pStyle w:val="TableContents"/>
              <w:spacing w:before="0" w:after="283"/>
              <w:rPr/>
            </w:pPr>
            <w:r>
              <w:rPr/>
              <w:t> </w:t>
            </w:r>
          </w:p>
        </w:tc>
        <w:tc>
          <w:tcPr>
            <w:tcW w:w="2887" w:type="dxa"/>
            <w:tcBorders>
              <w:bottom w:val="single" w:sz="6" w:space="0" w:color="595959"/>
              <w:right w:val="single" w:sz="6" w:space="0" w:color="000000"/>
            </w:tcBorders>
            <w:shd w:fill="auto" w:val="clear"/>
            <w:tcMar>
              <w:bottom w:w="40" w:type="dxa"/>
              <w:right w:w="40" w:type="dxa"/>
            </w:tcMar>
            <w:vAlign w:val="center"/>
          </w:tcPr>
          <w:p>
            <w:pPr>
              <w:pStyle w:val="TableContents"/>
              <w:spacing w:before="0" w:after="283"/>
              <w:jc w:val="center"/>
              <w:rPr>
                <w:b/>
              </w:rPr>
            </w:pPr>
            <w:r>
              <w:rPr>
                <w:b/>
              </w:rPr>
              <w:t>Chairman of the Board of Directors</w:t>
            </w:r>
          </w:p>
        </w:tc>
      </w:tr>
      <w:tr>
        <w:trPr/>
        <w:tc>
          <w:tcPr>
            <w:tcW w:w="101" w:type="dxa"/>
            <w:tcBorders>
              <w:left w:val="single" w:sz="6" w:space="0" w:color="000000"/>
            </w:tcBorders>
            <w:shd w:fill="auto" w:val="clear"/>
            <w:tcMar>
              <w:left w:w="160" w:type="dxa"/>
            </w:tcMar>
            <w:vAlign w:val="center"/>
          </w:tcPr>
          <w:p>
            <w:pPr>
              <w:pStyle w:val="TableContents"/>
              <w:spacing w:before="0" w:after="283"/>
              <w:rPr/>
            </w:pPr>
            <w:r>
              <w:rPr/>
              <w:t> </w:t>
            </w:r>
          </w:p>
        </w:tc>
        <w:tc>
          <w:tcPr>
            <w:tcW w:w="6192" w:type="dxa"/>
            <w:gridSpan w:val="2"/>
            <w:tcBorders/>
            <w:shd w:fill="auto" w:val="clear"/>
            <w:vAlign w:val="center"/>
          </w:tcPr>
          <w:p>
            <w:pPr>
              <w:pStyle w:val="TableContents"/>
              <w:spacing w:before="0" w:after="283"/>
              <w:rPr>
                <w:sz w:val="4"/>
                <w:szCs w:val="4"/>
              </w:rPr>
            </w:pPr>
            <w:r>
              <w:rPr>
                <w:sz w:val="4"/>
                <w:szCs w:val="4"/>
              </w:rPr>
            </w:r>
          </w:p>
        </w:tc>
        <w:tc>
          <w:tcPr>
            <w:tcW w:w="180" w:type="dxa"/>
            <w:gridSpan w:val="2"/>
            <w:tcBorders>
              <w:right w:val="dotted" w:sz="6" w:space="0" w:color="000000"/>
            </w:tcBorders>
            <w:shd w:fill="auto" w:val="clear"/>
            <w:tcMar>
              <w:right w:w="28" w:type="dxa"/>
            </w:tcMar>
            <w:vAlign w:val="center"/>
          </w:tcPr>
          <w:p>
            <w:pPr>
              <w:pStyle w:val="TableContents"/>
              <w:spacing w:before="0" w:after="283"/>
              <w:rPr/>
            </w:pPr>
            <w:r>
              <w:rPr/>
              <w:t> </w:t>
            </w:r>
          </w:p>
        </w:tc>
        <w:tc>
          <w:tcPr>
            <w:tcW w:w="785" w:type="dxa"/>
            <w:gridSpan w:val="2"/>
            <w:tcBorders/>
            <w:shd w:fill="auto" w:val="clear"/>
            <w:vAlign w:val="center"/>
          </w:tcPr>
          <w:p>
            <w:pPr>
              <w:pStyle w:val="TableContents"/>
              <w:spacing w:before="0" w:after="283"/>
              <w:rPr>
                <w:sz w:val="4"/>
                <w:szCs w:val="4"/>
              </w:rPr>
            </w:pPr>
            <w:r>
              <w:rPr>
                <w:sz w:val="4"/>
                <w:szCs w:val="4"/>
              </w:rPr>
            </w:r>
          </w:p>
        </w:tc>
        <w:tc>
          <w:tcPr>
            <w:tcW w:w="2947" w:type="dxa"/>
            <w:gridSpan w:val="2"/>
            <w:tcBorders>
              <w:left w:val="dotted" w:sz="6" w:space="0" w:color="000000"/>
              <w:right w:val="single" w:sz="6" w:space="0" w:color="000000"/>
            </w:tcBorders>
            <w:shd w:fill="auto" w:val="clear"/>
            <w:tcMar>
              <w:left w:w="28" w:type="dxa"/>
              <w:right w:w="28" w:type="dxa"/>
            </w:tcMar>
            <w:vAlign w:val="center"/>
          </w:tcPr>
          <w:p>
            <w:pPr>
              <w:pStyle w:val="TableContents"/>
              <w:spacing w:before="0" w:after="283"/>
              <w:rPr/>
            </w:pPr>
            <w:r>
              <w:rPr/>
              <w:t> </w:t>
            </w:r>
          </w:p>
        </w:tc>
      </w:tr>
      <w:tr>
        <w:trPr/>
        <w:tc>
          <w:tcPr>
            <w:tcW w:w="101" w:type="dxa"/>
            <w:tcBorders>
              <w:left w:val="single" w:sz="6" w:space="0" w:color="000000"/>
              <w:bottom w:val="single" w:sz="6" w:space="0" w:color="000000"/>
            </w:tcBorders>
            <w:shd w:fill="auto" w:val="clear"/>
            <w:tcMar>
              <w:left w:w="160" w:type="dxa"/>
              <w:bottom w:w="40" w:type="dxa"/>
            </w:tcMar>
            <w:vAlign w:val="center"/>
          </w:tcPr>
          <w:p>
            <w:pPr>
              <w:pStyle w:val="TableContents"/>
              <w:spacing w:before="0" w:after="0"/>
              <w:rPr/>
            </w:pPr>
            <w:r>
              <w:rPr/>
              <w:drawing>
                <wp:inline distT="0" distB="0" distL="0" distR="0">
                  <wp:extent cx="50165" cy="635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50165" cy="63500"/>
                          </a:xfrm>
                          <a:prstGeom prst="rect">
                            <a:avLst/>
                          </a:prstGeom>
                        </pic:spPr>
                      </pic:pic>
                    </a:graphicData>
                  </a:graphic>
                </wp:inline>
              </w:drawing>
            </w:r>
            <w:r>
              <w:rPr/>
              <w:t xml:space="preserve"> </w:t>
            </w:r>
          </w:p>
          <w:p>
            <w:pPr>
              <w:pStyle w:val="TableContents"/>
              <w:spacing w:before="0" w:after="0"/>
              <w:rPr/>
            </w:pPr>
            <w:r>
              <w:rPr/>
              <w:t> </w:t>
            </w:r>
          </w:p>
          <w:p>
            <w:pPr>
              <w:pStyle w:val="TableContents"/>
              <w:spacing w:before="0" w:after="20"/>
              <w:rPr/>
            </w:pPr>
            <w:r>
              <w:rPr/>
              <w:t> </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6132" w:type="dxa"/>
            <w:tcBorders>
              <w:bottom w:val="single" w:sz="6" w:space="0" w:color="000000"/>
            </w:tcBorders>
            <w:shd w:fill="auto" w:val="clear"/>
            <w:tcMar>
              <w:bottom w:w="40" w:type="dxa"/>
            </w:tcMar>
            <w:vAlign w:val="center"/>
          </w:tcPr>
          <w:p>
            <w:pPr>
              <w:pStyle w:val="TableContents"/>
              <w:spacing w:before="0" w:after="0"/>
              <w:rPr>
                <w:rFonts w:ascii="ARIAL" w:hAnsi="ARIAL"/>
                <w:b/>
                <w:sz w:val="18"/>
              </w:rPr>
            </w:pPr>
            <w:r>
              <w:rPr>
                <w:rFonts w:ascii="ARIAL" w:hAnsi="ARIAL"/>
                <w:b/>
                <w:sz w:val="18"/>
              </w:rPr>
              <w:t>H. James Williams, Ph.D.</w:t>
            </w:r>
          </w:p>
          <w:p>
            <w:pPr>
              <w:pStyle w:val="TableContents"/>
              <w:spacing w:before="0" w:after="0"/>
              <w:rPr/>
            </w:pPr>
            <w:r>
              <w:rPr/>
              <w:t> </w:t>
            </w:r>
          </w:p>
          <w:p>
            <w:pPr>
              <w:pStyle w:val="TableContents"/>
              <w:spacing w:before="0" w:after="20"/>
              <w:rPr>
                <w:rFonts w:ascii="Times New Roman" w:hAnsi="Times New Roman"/>
                <w:sz w:val="16"/>
              </w:rPr>
            </w:pPr>
            <w:r>
              <w:rPr>
                <w:rFonts w:ascii="Times New Roman" w:hAnsi="Times New Roman"/>
                <w:sz w:val="16"/>
              </w:rPr>
              <w:t>Dr. Williams’ extensive teaching experience provides accounting expertise to the Board. Additionally, his diverse experience, including serving as president of academic institutions and service on the boards of a number of non-profit institutions and a bank, bring a unique perspective to the Board. Dr. Williams currently serves as president of Mount St. Joseph University in Cincinnati, Ohio. Prior to that, he served as president of Fisk University in Nashville, Tennessee.</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120" w:type="dxa"/>
            <w:tcBorders>
              <w:bottom w:val="single" w:sz="6" w:space="0" w:color="000000"/>
              <w:right w:val="dotted" w:sz="6" w:space="0" w:color="000000"/>
            </w:tcBorders>
            <w:shd w:fill="auto" w:val="clear"/>
            <w:tcMar>
              <w:bottom w:w="28" w:type="dxa"/>
              <w:right w:w="28" w:type="dxa"/>
            </w:tcMar>
            <w:vAlign w:val="center"/>
          </w:tcPr>
          <w:p>
            <w:pPr>
              <w:pStyle w:val="TableContents"/>
              <w:spacing w:before="0" w:after="283"/>
              <w:rPr/>
            </w:pPr>
            <w:r>
              <w:rPr/>
              <w:t> </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725" w:type="dxa"/>
            <w:tcBorders>
              <w:bottom w:val="single" w:sz="6" w:space="0" w:color="000000"/>
            </w:tcBorders>
            <w:shd w:fill="auto" w:val="clear"/>
            <w:tcMar>
              <w:bottom w:w="40" w:type="dxa"/>
            </w:tcMar>
            <w:vAlign w:val="center"/>
          </w:tcPr>
          <w:p>
            <w:pPr>
              <w:pStyle w:val="TableContents"/>
              <w:spacing w:before="0" w:after="283"/>
              <w:jc w:val="center"/>
              <w:rPr>
                <w:b/>
              </w:rPr>
            </w:pPr>
            <w:r>
              <w:rPr>
                <w:b/>
              </w:rPr>
              <w:t>2015</w:t>
            </w:r>
          </w:p>
        </w:tc>
        <w:tc>
          <w:tcPr>
            <w:tcW w:w="60" w:type="dxa"/>
            <w:tcBorders>
              <w:left w:val="dotted" w:sz="6" w:space="0" w:color="000000"/>
              <w:bottom w:val="single" w:sz="6" w:space="0" w:color="000000"/>
            </w:tcBorders>
            <w:shd w:fill="auto" w:val="clear"/>
            <w:tcMar>
              <w:left w:w="28" w:type="dxa"/>
              <w:bottom w:w="28" w:type="dxa"/>
            </w:tcMar>
            <w:vAlign w:val="center"/>
          </w:tcPr>
          <w:p>
            <w:pPr>
              <w:pStyle w:val="TableContents"/>
              <w:spacing w:before="0" w:after="283"/>
              <w:rPr/>
            </w:pPr>
            <w:r>
              <w:rPr/>
              <w:t> </w:t>
            </w:r>
          </w:p>
        </w:tc>
        <w:tc>
          <w:tcPr>
            <w:tcW w:w="2887" w:type="dxa"/>
            <w:tcBorders>
              <w:bottom w:val="single" w:sz="6" w:space="0" w:color="000000"/>
              <w:right w:val="single" w:sz="6" w:space="0" w:color="000000"/>
            </w:tcBorders>
            <w:shd w:fill="auto" w:val="clear"/>
            <w:tcMar>
              <w:bottom w:w="40" w:type="dxa"/>
              <w:right w:w="40" w:type="dxa"/>
            </w:tcMar>
            <w:vAlign w:val="center"/>
          </w:tcPr>
          <w:p>
            <w:pPr>
              <w:pStyle w:val="TableContents"/>
              <w:spacing w:before="0" w:after="283"/>
              <w:jc w:val="center"/>
              <w:rPr>
                <w:b/>
              </w:rPr>
            </w:pPr>
            <w:r>
              <w:rPr>
                <w:b/>
              </w:rPr>
              <w:t>Audit &amp; Compliance</w:t>
            </w:r>
          </w:p>
        </w:tc>
      </w:tr>
    </w:tbl>
    <w:p>
      <w:pPr>
        <w:pStyle w:val="TextBody"/>
        <w:spacing w:before="0" w:after="0"/>
        <w:jc w:val="right"/>
        <w:rPr>
          <w:rFonts w:ascii="Times New Roman" w:hAnsi="Times New Roman"/>
          <w:i/>
          <w:sz w:val="14"/>
        </w:rPr>
      </w:pPr>
      <w:r>
        <w:rPr>
          <w:rFonts w:ascii="Times New Roman" w:hAnsi="Times New Roman"/>
          <w:i/>
          <w:sz w:val="14"/>
        </w:rPr>
        <w:t xml:space="preserve">* Committee Chair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rPr/>
      </w:pPr>
      <w:r>
        <w:rPr/>
      </w:r>
    </w:p>
    <w:tbl>
      <w:tblPr>
        <w:tblW w:w="1049" w:type="dxa"/>
        <w:jc w:val="left"/>
        <w:tblInd w:w="0" w:type="dxa"/>
        <w:tblCellMar>
          <w:top w:w="0" w:type="dxa"/>
          <w:left w:w="0" w:type="dxa"/>
          <w:bottom w:w="0" w:type="dxa"/>
          <w:right w:w="0" w:type="dxa"/>
        </w:tblCellMar>
      </w:tblPr>
      <w:tblGrid>
        <w:gridCol w:w="38"/>
        <w:gridCol w:w="60"/>
        <w:gridCol w:w="23"/>
        <w:gridCol w:w="60"/>
        <w:gridCol w:w="23"/>
        <w:gridCol w:w="60"/>
        <w:gridCol w:w="23"/>
        <w:gridCol w:w="60"/>
        <w:gridCol w:w="23"/>
        <w:gridCol w:w="60"/>
        <w:gridCol w:w="23"/>
        <w:gridCol w:w="60"/>
        <w:gridCol w:w="23"/>
        <w:gridCol w:w="60"/>
        <w:gridCol w:w="23"/>
        <w:gridCol w:w="60"/>
        <w:gridCol w:w="23"/>
        <w:gridCol w:w="60"/>
        <w:gridCol w:w="23"/>
        <w:gridCol w:w="60"/>
        <w:gridCol w:w="23"/>
        <w:gridCol w:w="60"/>
        <w:gridCol w:w="23"/>
        <w:gridCol w:w="60"/>
        <w:gridCol w:w="38"/>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E0DDCC" w:val="clear"/>
            <w:vAlign w:val="center"/>
          </w:tcPr>
          <w:p>
            <w:pPr>
              <w:pStyle w:val="TableContents"/>
              <w:spacing w:before="0" w:after="283"/>
              <w:rPr/>
            </w:pPr>
            <w:r>
              <w:rPr/>
              <w:t> </w:t>
            </w:r>
          </w:p>
        </w:tc>
        <w:tc>
          <w:tcPr>
            <w:tcW w:w="23" w:type="dxa"/>
            <w:tcBorders/>
            <w:shd w:fill="E0DDCC"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E0DDCC" w:val="clear"/>
            <w:vAlign w:val="center"/>
          </w:tcPr>
          <w:p>
            <w:pPr>
              <w:pStyle w:val="TableContents"/>
              <w:spacing w:before="0" w:after="283"/>
              <w:rPr/>
            </w:pPr>
            <w:r>
              <w:rPr/>
              <w:t> </w:t>
            </w:r>
          </w:p>
        </w:tc>
        <w:tc>
          <w:tcPr>
            <w:tcW w:w="23" w:type="dxa"/>
            <w:tcBorders/>
            <w:shd w:fill="E0DDCC"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E0DDCC" w:val="clear"/>
            <w:vAlign w:val="center"/>
          </w:tcPr>
          <w:p>
            <w:pPr>
              <w:pStyle w:val="TableContents"/>
              <w:spacing w:before="0" w:after="283"/>
              <w:rPr/>
            </w:pPr>
            <w:r>
              <w:rPr/>
              <w:t> </w:t>
            </w:r>
          </w:p>
        </w:tc>
        <w:tc>
          <w:tcPr>
            <w:tcW w:w="23" w:type="dxa"/>
            <w:tcBorders/>
            <w:shd w:fill="E0DDCC"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E0DDCC" w:val="clear"/>
            <w:vAlign w:val="center"/>
          </w:tcPr>
          <w:p>
            <w:pPr>
              <w:pStyle w:val="TableContents"/>
              <w:spacing w:before="0" w:after="283"/>
              <w:rPr/>
            </w:pPr>
            <w:r>
              <w:rPr/>
              <w:t> </w:t>
            </w:r>
          </w:p>
        </w:tc>
        <w:tc>
          <w:tcPr>
            <w:tcW w:w="23" w:type="dxa"/>
            <w:tcBorders/>
            <w:shd w:fill="E0DDCC"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E0DDCC" w:val="clear"/>
            <w:vAlign w:val="center"/>
          </w:tcPr>
          <w:p>
            <w:pPr>
              <w:pStyle w:val="TableContents"/>
              <w:spacing w:before="0" w:after="283"/>
              <w:rPr/>
            </w:pPr>
            <w:r>
              <w:rPr/>
              <w:t> </w:t>
            </w:r>
          </w:p>
        </w:tc>
        <w:tc>
          <w:tcPr>
            <w:tcW w:w="23" w:type="dxa"/>
            <w:tcBorders/>
            <w:shd w:fill="E0DDCC"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E0DDCC" w:val="clear"/>
            <w:vAlign w:val="center"/>
          </w:tcPr>
          <w:p>
            <w:pPr>
              <w:pStyle w:val="TableContents"/>
              <w:spacing w:before="0" w:after="283"/>
              <w:rPr/>
            </w:pPr>
            <w:r>
              <w:rPr/>
              <w:t> </w:t>
            </w:r>
          </w:p>
        </w:tc>
        <w:tc>
          <w:tcPr>
            <w:tcW w:w="23" w:type="dxa"/>
            <w:tcBorders/>
            <w:shd w:fill="E0DDCC"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left"/>
        <w:rPr/>
      </w:pPr>
      <w:r>
        <w:rPr/>
        <w:t> </w:t>
      </w:r>
    </w:p>
    <w:p>
      <w:pPr>
        <w:pStyle w:val="TextBody"/>
        <w:pBdr>
          <w:bottom w:val="single" w:sz="8" w:space="1" w:color="000000"/>
        </w:pBdr>
        <w:spacing w:lineRule="atLeast" w:line="141" w:before="0" w:after="40"/>
        <w:jc w:val="left"/>
        <w:rPr/>
      </w:pPr>
      <w:r>
        <w:rPr/>
        <w:t> </w:t>
      </w:r>
    </w:p>
    <w:p>
      <w:pPr>
        <w:pStyle w:val="TextBody"/>
        <w:spacing w:before="0" w:after="0"/>
        <w:jc w:val="left"/>
        <w:rPr/>
      </w:pPr>
      <w:r>
        <w:rPr/>
        <w:t> </w:t>
      </w:r>
    </w:p>
    <w:p>
      <w:pPr>
        <w:pStyle w:val="TextBody"/>
        <w:spacing w:before="0" w:after="0"/>
        <w:jc w:val="left"/>
        <w:rPr>
          <w:rFonts w:ascii="ARIAL" w:hAnsi="ARIAL"/>
          <w:color w:val="02197A"/>
          <w:sz w:val="30"/>
        </w:rPr>
      </w:pPr>
      <w:r>
        <w:rPr>
          <w:rFonts w:ascii="ARIAL" w:hAnsi="ARIAL"/>
          <w:color w:val="02197A"/>
          <w:sz w:val="30"/>
        </w:rPr>
        <w:t xml:space="preserve">CORPORATE GOVERNANCE HIGHLIGHTS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3374"/>
        <w:gridCol w:w="60"/>
        <w:gridCol w:w="3377"/>
        <w:gridCol w:w="60"/>
        <w:gridCol w:w="3334"/>
      </w:tblGrid>
      <w:tr>
        <w:trPr/>
        <w:tc>
          <w:tcPr>
            <w:tcW w:w="337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37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334" w:type="dxa"/>
            <w:tcBorders/>
            <w:shd w:fill="auto" w:val="clear"/>
            <w:vAlign w:val="center"/>
          </w:tcPr>
          <w:p>
            <w:pPr>
              <w:pStyle w:val="TableContents"/>
              <w:spacing w:before="0" w:after="283"/>
              <w:rPr>
                <w:sz w:val="4"/>
                <w:szCs w:val="4"/>
              </w:rPr>
            </w:pPr>
            <w:r>
              <w:rPr>
                <w:sz w:val="4"/>
                <w:szCs w:val="4"/>
              </w:rPr>
            </w:r>
          </w:p>
        </w:tc>
      </w:tr>
      <w:tr>
        <w:trPr/>
        <w:tc>
          <w:tcPr>
            <w:tcW w:w="3374" w:type="dxa"/>
            <w:tcBorders>
              <w:top w:val="single" w:sz="6" w:space="0" w:color="000000"/>
              <w:left w:val="single" w:sz="6" w:space="0" w:color="000000"/>
              <w:bottom w:val="single" w:sz="6" w:space="0" w:color="000000"/>
            </w:tcBorders>
            <w:shd w:fill="F7F7F2" w:val="clear"/>
            <w:tcMar>
              <w:top w:w="28" w:type="dxa"/>
              <w:left w:w="160" w:type="dxa"/>
              <w:bottom w:w="28" w:type="dxa"/>
            </w:tcMar>
            <w:vAlign w:val="center"/>
          </w:tcPr>
          <w:p>
            <w:pPr>
              <w:pStyle w:val="TableContents"/>
              <w:spacing w:before="0" w:after="0"/>
              <w:rPr/>
            </w:pPr>
            <w:r>
              <w:rPr/>
              <w:t>•  </w:t>
            </w:r>
            <w:r>
              <w:rPr>
                <w:rFonts w:ascii="Times New Roman" w:hAnsi="Times New Roman"/>
                <w:sz w:val="19"/>
              </w:rPr>
              <w:t>Annual election of directors</w:t>
            </w:r>
          </w:p>
          <w:p>
            <w:pPr>
              <w:pStyle w:val="TableContents"/>
              <w:spacing w:before="0" w:after="0"/>
              <w:rPr/>
            </w:pPr>
            <w:r>
              <w:rPr/>
              <w:t> </w:t>
            </w:r>
          </w:p>
          <w:p>
            <w:pPr>
              <w:pStyle w:val="TableContents"/>
              <w:spacing w:before="0" w:after="0"/>
              <w:rPr/>
            </w:pPr>
            <w:r>
              <w:rPr/>
              <w:t>•  </w:t>
            </w:r>
            <w:r>
              <w:rPr>
                <w:rFonts w:ascii="Times New Roman" w:hAnsi="Times New Roman"/>
                <w:sz w:val="19"/>
              </w:rPr>
              <w:t>Directors elected by majority vote</w:t>
            </w:r>
          </w:p>
          <w:p>
            <w:pPr>
              <w:pStyle w:val="TableContents"/>
              <w:spacing w:before="0" w:after="0"/>
              <w:rPr/>
            </w:pPr>
            <w:r>
              <w:rPr/>
              <w:t> </w:t>
            </w:r>
          </w:p>
          <w:p>
            <w:pPr>
              <w:pStyle w:val="TableContents"/>
              <w:spacing w:before="0" w:after="0"/>
              <w:rPr/>
            </w:pPr>
            <w:r>
              <w:rPr/>
              <w:t>•  </w:t>
            </w:r>
            <w:r>
              <w:rPr>
                <w:rFonts w:ascii="Times New Roman" w:hAnsi="Times New Roman"/>
                <w:sz w:val="19"/>
              </w:rPr>
              <w:t>Proxy access</w:t>
            </w:r>
          </w:p>
          <w:p>
            <w:pPr>
              <w:pStyle w:val="TableContents"/>
              <w:spacing w:before="0" w:after="0"/>
              <w:rPr/>
            </w:pPr>
            <w:r>
              <w:rPr/>
              <w:t> </w:t>
            </w:r>
          </w:p>
          <w:p>
            <w:pPr>
              <w:pStyle w:val="TableContents"/>
              <w:spacing w:before="0" w:after="0"/>
              <w:rPr/>
            </w:pPr>
            <w:r>
              <w:rPr/>
              <w:t>•  </w:t>
            </w:r>
            <w:r>
              <w:rPr>
                <w:rFonts w:ascii="Times New Roman" w:hAnsi="Times New Roman"/>
                <w:sz w:val="19"/>
              </w:rPr>
              <w:t>Board includes five members who are diverse based on gender or race/ethnicity</w:t>
            </w:r>
          </w:p>
          <w:p>
            <w:pPr>
              <w:pStyle w:val="TableContents"/>
              <w:spacing w:before="0" w:after="0"/>
              <w:rPr/>
            </w:pPr>
            <w:r>
              <w:rPr/>
              <w:t> </w:t>
            </w:r>
          </w:p>
          <w:p>
            <w:pPr>
              <w:pStyle w:val="TableContents"/>
              <w:spacing w:before="0" w:after="0"/>
              <w:rPr/>
            </w:pPr>
            <w:r>
              <w:rPr/>
              <w:t>•  </w:t>
            </w:r>
            <w:r>
              <w:rPr>
                <w:rFonts w:ascii="Times New Roman" w:hAnsi="Times New Roman"/>
                <w:sz w:val="19"/>
              </w:rPr>
              <w:t>Independent directors comprise super-majority of the Board</w:t>
            </w:r>
          </w:p>
          <w:p>
            <w:pPr>
              <w:pStyle w:val="TableContents"/>
              <w:spacing w:before="0" w:after="0"/>
              <w:rPr/>
            </w:pPr>
            <w:r>
              <w:rPr/>
              <w:t> </w:t>
            </w:r>
          </w:p>
          <w:p>
            <w:pPr>
              <w:pStyle w:val="TableContents"/>
              <w:spacing w:before="0" w:after="0"/>
              <w:rPr/>
            </w:pPr>
            <w:r>
              <w:rPr/>
              <w:t>•  </w:t>
            </w:r>
            <w:r>
              <w:rPr>
                <w:rFonts w:ascii="Times New Roman" w:hAnsi="Times New Roman"/>
                <w:sz w:val="19"/>
              </w:rPr>
              <w:t>Comprehensive Code of Conduct and Corporate Governance Guidelines, which are reviewed annually</w:t>
            </w:r>
          </w:p>
          <w:p>
            <w:pPr>
              <w:pStyle w:val="TableContents"/>
              <w:spacing w:before="0" w:after="0"/>
              <w:rPr/>
            </w:pPr>
            <w:r>
              <w:rPr/>
              <w:t> </w:t>
            </w:r>
          </w:p>
          <w:p>
            <w:pPr>
              <w:pStyle w:val="TableContents"/>
              <w:spacing w:before="0" w:after="0"/>
              <w:rPr/>
            </w:pPr>
            <w:r>
              <w:rPr/>
              <w:t>•  </w:t>
            </w:r>
            <w:r>
              <w:rPr>
                <w:rFonts w:ascii="Times New Roman" w:hAnsi="Times New Roman"/>
                <w:sz w:val="19"/>
              </w:rPr>
              <w:t>Written charters for all Board Committees, which are reviewed annually</w:t>
            </w:r>
          </w:p>
          <w:p>
            <w:pPr>
              <w:pStyle w:val="TableContents"/>
              <w:spacing w:before="0" w:after="0"/>
              <w:rPr/>
            </w:pPr>
            <w:r>
              <w:rPr/>
              <w:t> </w:t>
            </w:r>
          </w:p>
          <w:p>
            <w:pPr>
              <w:pStyle w:val="TableContents"/>
              <w:spacing w:before="0" w:after="0"/>
              <w:rPr/>
            </w:pPr>
            <w:r>
              <w:rPr/>
              <w:t>•  </w:t>
            </w:r>
            <w:r>
              <w:rPr>
                <w:rFonts w:ascii="Times New Roman" w:hAnsi="Times New Roman"/>
                <w:sz w:val="19"/>
              </w:rPr>
              <w:t>Limits on the number of other public company boards on which our directors may serve</w:t>
            </w:r>
          </w:p>
          <w:p>
            <w:pPr>
              <w:pStyle w:val="TableContents"/>
              <w:spacing w:before="0" w:after="0"/>
              <w:rPr/>
            </w:pPr>
            <w:r>
              <w:rPr/>
              <w:t> </w:t>
            </w:r>
          </w:p>
          <w:p>
            <w:pPr>
              <w:pStyle w:val="TableContents"/>
              <w:spacing w:before="0" w:after="0"/>
              <w:rPr/>
            </w:pPr>
            <w:r>
              <w:rPr/>
              <w:t>•  </w:t>
            </w:r>
            <w:r>
              <w:rPr>
                <w:rFonts w:ascii="Times New Roman" w:hAnsi="Times New Roman"/>
                <w:sz w:val="19"/>
              </w:rPr>
              <w:t>Separate non-executive Board Chair and Chief Executive Officer</w:t>
            </w:r>
          </w:p>
          <w:p>
            <w:pPr>
              <w:pStyle w:val="TableContents"/>
              <w:spacing w:before="0" w:after="20"/>
              <w:rPr/>
            </w:pPr>
            <w:r>
              <w:rPr/>
              <w:t> </w:t>
            </w:r>
          </w:p>
        </w:tc>
        <w:tc>
          <w:tcPr>
            <w:tcW w:w="60" w:type="dxa"/>
            <w:tcBorders>
              <w:top w:val="single" w:sz="6" w:space="0" w:color="000000"/>
              <w:bottom w:val="single" w:sz="6" w:space="0" w:color="000000"/>
            </w:tcBorders>
            <w:shd w:fill="auto" w:val="clear"/>
            <w:tcMar>
              <w:top w:w="28" w:type="dxa"/>
              <w:bottom w:w="28" w:type="dxa"/>
            </w:tcMar>
            <w:vAlign w:val="center"/>
          </w:tcPr>
          <w:p>
            <w:pPr>
              <w:pStyle w:val="TableContents"/>
              <w:spacing w:before="0" w:after="283"/>
              <w:rPr/>
            </w:pPr>
            <w:r>
              <w:rPr/>
              <w:t> </w:t>
            </w:r>
          </w:p>
        </w:tc>
        <w:tc>
          <w:tcPr>
            <w:tcW w:w="3377" w:type="dxa"/>
            <w:tcBorders>
              <w:top w:val="single" w:sz="6" w:space="0" w:color="000000"/>
              <w:bottom w:val="single" w:sz="6" w:space="0" w:color="000000"/>
            </w:tcBorders>
            <w:shd w:fill="auto" w:val="clear"/>
            <w:tcMar>
              <w:top w:w="28" w:type="dxa"/>
              <w:bottom w:w="28" w:type="dxa"/>
            </w:tcMar>
            <w:vAlign w:val="center"/>
          </w:tcPr>
          <w:p>
            <w:pPr>
              <w:pStyle w:val="TableContents"/>
              <w:spacing w:before="0" w:after="0"/>
              <w:rPr/>
            </w:pPr>
            <w:r>
              <w:rPr/>
              <w:t>•  </w:t>
            </w:r>
            <w:r>
              <w:rPr>
                <w:rFonts w:ascii="Times New Roman" w:hAnsi="Times New Roman"/>
                <w:sz w:val="19"/>
              </w:rPr>
              <w:t>Risk oversight by full Board and Board Committees</w:t>
            </w:r>
          </w:p>
          <w:p>
            <w:pPr>
              <w:pStyle w:val="TableContents"/>
              <w:spacing w:before="0" w:after="0"/>
              <w:rPr/>
            </w:pPr>
            <w:r>
              <w:rPr/>
              <w:t> </w:t>
            </w:r>
          </w:p>
          <w:p>
            <w:pPr>
              <w:pStyle w:val="TableContents"/>
              <w:spacing w:before="0" w:after="0"/>
              <w:rPr/>
            </w:pPr>
            <w:r>
              <w:rPr/>
              <w:t>•  </w:t>
            </w:r>
            <w:r>
              <w:rPr>
                <w:rFonts w:ascii="Times New Roman" w:hAnsi="Times New Roman"/>
                <w:sz w:val="19"/>
              </w:rPr>
              <w:t>Equity ownership guidelines for directors and executive officers aligned with industry standards</w:t>
            </w:r>
          </w:p>
          <w:p>
            <w:pPr>
              <w:pStyle w:val="TableContents"/>
              <w:spacing w:before="0" w:after="0"/>
              <w:rPr/>
            </w:pPr>
            <w:r>
              <w:rPr/>
              <w:t> </w:t>
            </w:r>
          </w:p>
          <w:p>
            <w:pPr>
              <w:pStyle w:val="TableContents"/>
              <w:spacing w:before="0" w:after="0"/>
              <w:rPr/>
            </w:pPr>
            <w:r>
              <w:rPr/>
              <w:t>•  </w:t>
            </w:r>
            <w:r>
              <w:rPr>
                <w:rFonts w:ascii="Times New Roman" w:hAnsi="Times New Roman"/>
                <w:sz w:val="19"/>
              </w:rPr>
              <w:t>Policy prohibiting pledging and hedging of our stock</w:t>
            </w:r>
          </w:p>
          <w:p>
            <w:pPr>
              <w:pStyle w:val="TableContents"/>
              <w:spacing w:before="0" w:after="0"/>
              <w:rPr/>
            </w:pPr>
            <w:r>
              <w:rPr/>
              <w:t> </w:t>
            </w:r>
          </w:p>
          <w:p>
            <w:pPr>
              <w:pStyle w:val="TableContents"/>
              <w:spacing w:before="0" w:after="0"/>
              <w:rPr/>
            </w:pPr>
            <w:r>
              <w:rPr/>
              <w:t>•  </w:t>
            </w:r>
            <w:r>
              <w:rPr>
                <w:rFonts w:ascii="Times New Roman" w:hAnsi="Times New Roman"/>
                <w:sz w:val="19"/>
              </w:rPr>
              <w:t>Strong compliance program</w:t>
            </w:r>
          </w:p>
          <w:p>
            <w:pPr>
              <w:pStyle w:val="TableContents"/>
              <w:spacing w:before="0" w:after="0"/>
              <w:rPr/>
            </w:pPr>
            <w:r>
              <w:rPr/>
              <w:t> </w:t>
            </w:r>
          </w:p>
          <w:p>
            <w:pPr>
              <w:pStyle w:val="TableContents"/>
              <w:spacing w:before="0" w:after="0"/>
              <w:rPr/>
            </w:pPr>
            <w:r>
              <w:rPr/>
              <w:t>•  </w:t>
            </w:r>
            <w:r>
              <w:rPr>
                <w:rFonts w:ascii="Times New Roman" w:hAnsi="Times New Roman"/>
                <w:sz w:val="19"/>
              </w:rPr>
              <w:t>Resignation policy for directors who do not receive more votes “for” than “against” their election</w:t>
            </w:r>
          </w:p>
          <w:p>
            <w:pPr>
              <w:pStyle w:val="TableContents"/>
              <w:spacing w:before="0" w:after="0"/>
              <w:rPr/>
            </w:pPr>
            <w:r>
              <w:rPr/>
              <w:t> </w:t>
            </w:r>
          </w:p>
          <w:p>
            <w:pPr>
              <w:pStyle w:val="TableContents"/>
              <w:spacing w:before="0" w:after="0"/>
              <w:rPr/>
            </w:pPr>
            <w:r>
              <w:rPr/>
              <w:t>•  </w:t>
            </w:r>
            <w:r>
              <w:rPr>
                <w:rFonts w:ascii="Times New Roman" w:hAnsi="Times New Roman"/>
                <w:sz w:val="19"/>
              </w:rPr>
              <w:t>All Board Committees consist solely of independent directors</w:t>
            </w:r>
          </w:p>
          <w:p>
            <w:pPr>
              <w:pStyle w:val="TableContents"/>
              <w:spacing w:before="0" w:after="0"/>
              <w:rPr/>
            </w:pPr>
            <w:r>
              <w:rPr/>
              <w:t> </w:t>
            </w:r>
          </w:p>
          <w:p>
            <w:pPr>
              <w:pStyle w:val="TableContents"/>
              <w:spacing w:before="0" w:after="0"/>
              <w:rPr/>
            </w:pPr>
            <w:r>
              <w:rPr/>
              <w:t>•  </w:t>
            </w:r>
            <w:r>
              <w:rPr>
                <w:rFonts w:ascii="Times New Roman" w:hAnsi="Times New Roman"/>
                <w:sz w:val="19"/>
              </w:rPr>
              <w:t>Robust Independent Lead Director role</w:t>
            </w:r>
          </w:p>
          <w:p>
            <w:pPr>
              <w:pStyle w:val="TableContents"/>
              <w:spacing w:before="0" w:after="0"/>
              <w:rPr/>
            </w:pPr>
            <w:r>
              <w:rPr/>
              <w:t> </w:t>
            </w:r>
          </w:p>
          <w:p>
            <w:pPr>
              <w:pStyle w:val="TableContents"/>
              <w:spacing w:before="0" w:after="20"/>
              <w:rPr/>
            </w:pPr>
            <w:r>
              <w:rPr/>
              <w:t>•  </w:t>
            </w:r>
            <w:r>
              <w:rPr>
                <w:rFonts w:ascii="Times New Roman" w:hAnsi="Times New Roman"/>
                <w:sz w:val="19"/>
              </w:rPr>
              <w:t>Non-management directors meet regularly in executive sessions</w:t>
            </w:r>
          </w:p>
        </w:tc>
        <w:tc>
          <w:tcPr>
            <w:tcW w:w="60" w:type="dxa"/>
            <w:tcBorders>
              <w:top w:val="single" w:sz="6" w:space="0" w:color="000000"/>
              <w:bottom w:val="single" w:sz="6" w:space="0" w:color="000000"/>
            </w:tcBorders>
            <w:shd w:fill="F7F7F2" w:val="clear"/>
            <w:tcMar>
              <w:top w:w="28" w:type="dxa"/>
              <w:bottom w:w="28" w:type="dxa"/>
            </w:tcMar>
            <w:vAlign w:val="center"/>
          </w:tcPr>
          <w:p>
            <w:pPr>
              <w:pStyle w:val="TableContents"/>
              <w:spacing w:before="0" w:after="283"/>
              <w:rPr/>
            </w:pPr>
            <w:r>
              <w:rPr/>
              <w:t> </w:t>
            </w:r>
          </w:p>
        </w:tc>
        <w:tc>
          <w:tcPr>
            <w:tcW w:w="3334" w:type="dxa"/>
            <w:tcBorders>
              <w:top w:val="single" w:sz="6" w:space="0" w:color="000000"/>
              <w:bottom w:val="single" w:sz="6" w:space="0" w:color="000000"/>
              <w:right w:val="single" w:sz="6" w:space="0" w:color="000000"/>
            </w:tcBorders>
            <w:shd w:fill="F7F7F2" w:val="clear"/>
            <w:tcMar>
              <w:top w:w="28" w:type="dxa"/>
              <w:bottom w:w="28" w:type="dxa"/>
              <w:right w:w="40" w:type="dxa"/>
            </w:tcMar>
            <w:vAlign w:val="center"/>
          </w:tcPr>
          <w:p>
            <w:pPr>
              <w:pStyle w:val="TableContents"/>
              <w:spacing w:before="0" w:after="0"/>
              <w:rPr/>
            </w:pPr>
            <w:r>
              <w:rPr/>
              <w:t>•  </w:t>
            </w:r>
            <w:r>
              <w:rPr>
                <w:rFonts w:ascii="Times New Roman" w:hAnsi="Times New Roman"/>
                <w:sz w:val="19"/>
              </w:rPr>
              <w:t>Approximately 99% Board and Board Committee meeting attendance in 2022</w:t>
            </w:r>
          </w:p>
          <w:p>
            <w:pPr>
              <w:pStyle w:val="TableContents"/>
              <w:spacing w:before="0" w:after="0"/>
              <w:rPr/>
            </w:pPr>
            <w:r>
              <w:rPr/>
              <w:t> </w:t>
            </w:r>
          </w:p>
          <w:p>
            <w:pPr>
              <w:pStyle w:val="TableContents"/>
              <w:spacing w:before="0" w:after="0"/>
              <w:rPr/>
            </w:pPr>
            <w:r>
              <w:rPr/>
              <w:t>•  </w:t>
            </w:r>
            <w:r>
              <w:rPr>
                <w:rFonts w:ascii="Times New Roman" w:hAnsi="Times New Roman"/>
                <w:sz w:val="19"/>
              </w:rPr>
              <w:t>Annual Board and Board Committee self-evaluations</w:t>
            </w:r>
          </w:p>
          <w:p>
            <w:pPr>
              <w:pStyle w:val="TableContents"/>
              <w:spacing w:before="0" w:after="0"/>
              <w:rPr/>
            </w:pPr>
            <w:r>
              <w:rPr/>
              <w:t> </w:t>
            </w:r>
          </w:p>
          <w:p>
            <w:pPr>
              <w:pStyle w:val="TableContents"/>
              <w:spacing w:before="0" w:after="0"/>
              <w:rPr/>
            </w:pPr>
            <w:r>
              <w:rPr/>
              <w:t>•  </w:t>
            </w:r>
            <w:r>
              <w:rPr>
                <w:rFonts w:ascii="Times New Roman" w:hAnsi="Times New Roman"/>
                <w:sz w:val="19"/>
              </w:rPr>
              <w:t>Board participation in executive succession planning sessions</w:t>
            </w:r>
          </w:p>
          <w:p>
            <w:pPr>
              <w:pStyle w:val="TableContents"/>
              <w:spacing w:before="0" w:after="0"/>
              <w:rPr/>
            </w:pPr>
            <w:r>
              <w:rPr/>
              <w:t> </w:t>
            </w:r>
          </w:p>
          <w:p>
            <w:pPr>
              <w:pStyle w:val="TableContents"/>
              <w:spacing w:before="0" w:after="0"/>
              <w:rPr/>
            </w:pPr>
            <w:r>
              <w:rPr/>
              <w:t>•  </w:t>
            </w:r>
            <w:r>
              <w:rPr>
                <w:rFonts w:ascii="Times New Roman" w:hAnsi="Times New Roman"/>
                <w:sz w:val="19"/>
              </w:rPr>
              <w:t>Compensation “clawback” policy</w:t>
            </w:r>
          </w:p>
          <w:p>
            <w:pPr>
              <w:pStyle w:val="TableContents"/>
              <w:spacing w:before="0" w:after="0"/>
              <w:rPr/>
            </w:pPr>
            <w:r>
              <w:rPr/>
              <w:t> </w:t>
            </w:r>
          </w:p>
          <w:p>
            <w:pPr>
              <w:pStyle w:val="TableContents"/>
              <w:spacing w:before="0" w:after="0"/>
              <w:rPr/>
            </w:pPr>
            <w:r>
              <w:rPr/>
              <w:t>•  </w:t>
            </w:r>
            <w:r>
              <w:rPr>
                <w:rFonts w:ascii="Times New Roman" w:hAnsi="Times New Roman"/>
                <w:sz w:val="19"/>
              </w:rPr>
              <w:t>Strong pay-for-performance philosophy</w:t>
            </w:r>
          </w:p>
          <w:p>
            <w:pPr>
              <w:pStyle w:val="TableContents"/>
              <w:spacing w:before="0" w:after="0"/>
              <w:rPr/>
            </w:pPr>
            <w:r>
              <w:rPr/>
              <w:t> </w:t>
            </w:r>
          </w:p>
          <w:p>
            <w:pPr>
              <w:pStyle w:val="TableContents"/>
              <w:spacing w:before="0" w:after="0"/>
              <w:rPr/>
            </w:pPr>
            <w:r>
              <w:rPr/>
              <w:t>•  </w:t>
            </w:r>
            <w:r>
              <w:rPr>
                <w:rFonts w:ascii="Times New Roman" w:hAnsi="Times New Roman"/>
                <w:sz w:val="19"/>
              </w:rPr>
              <w:t>Longstanding commitment to corporate responsibility and sustainability</w:t>
            </w:r>
          </w:p>
          <w:p>
            <w:pPr>
              <w:pStyle w:val="TableContents"/>
              <w:spacing w:before="0" w:after="0"/>
              <w:rPr/>
            </w:pPr>
            <w:r>
              <w:rPr/>
              <w:t> </w:t>
            </w:r>
          </w:p>
          <w:p>
            <w:pPr>
              <w:pStyle w:val="TableContents"/>
              <w:spacing w:before="0" w:after="0"/>
              <w:rPr/>
            </w:pPr>
            <w:r>
              <w:rPr/>
              <w:t>•  </w:t>
            </w:r>
            <w:r>
              <w:rPr>
                <w:rFonts w:ascii="Times New Roman" w:hAnsi="Times New Roman"/>
                <w:sz w:val="19"/>
              </w:rPr>
              <w:t>Robust stockholder engagement</w:t>
            </w:r>
          </w:p>
          <w:p>
            <w:pPr>
              <w:pStyle w:val="TableContents"/>
              <w:spacing w:before="0" w:after="0"/>
              <w:rPr/>
            </w:pPr>
            <w:r>
              <w:rPr/>
              <w:t> </w:t>
            </w:r>
          </w:p>
          <w:p>
            <w:pPr>
              <w:pStyle w:val="TableContents"/>
              <w:spacing w:before="0" w:after="0"/>
              <w:rPr/>
            </w:pPr>
            <w:r>
              <w:rPr/>
              <w:t>•  </w:t>
            </w:r>
            <w:r>
              <w:rPr>
                <w:rFonts w:ascii="Times New Roman" w:hAnsi="Times New Roman"/>
                <w:sz w:val="19"/>
              </w:rPr>
              <w:t>One class of voting shares outstanding</w:t>
            </w:r>
          </w:p>
          <w:p>
            <w:pPr>
              <w:pStyle w:val="TableContents"/>
              <w:spacing w:before="0" w:after="0"/>
              <w:rPr/>
            </w:pPr>
            <w:r>
              <w:rPr/>
              <w:t> </w:t>
            </w:r>
          </w:p>
          <w:p>
            <w:pPr>
              <w:pStyle w:val="TableContents"/>
              <w:spacing w:before="0" w:after="0"/>
              <w:rPr/>
            </w:pPr>
            <w:r>
              <w:rPr/>
              <w:t>•  </w:t>
            </w:r>
            <w:r>
              <w:rPr>
                <w:rFonts w:ascii="Times New Roman" w:hAnsi="Times New Roman"/>
                <w:sz w:val="19"/>
              </w:rPr>
              <w:t>No supermajority stockholder voting requirements in our certificate of incorporation or bylaws</w:t>
            </w:r>
          </w:p>
          <w:p>
            <w:pPr>
              <w:pStyle w:val="TableContents"/>
              <w:spacing w:before="0" w:after="20"/>
              <w:rPr/>
            </w:pPr>
            <w:r>
              <w:rPr/>
              <w:t> </w:t>
            </w:r>
          </w:p>
        </w:tc>
      </w:tr>
      <w:tr>
        <w:trPr/>
        <w:tc>
          <w:tcPr>
            <w:tcW w:w="10205" w:type="dxa"/>
            <w:gridSpan w:val="5"/>
            <w:tcBorders>
              <w:bottom w:val="dotted" w:sz="6" w:space="0" w:color="000000"/>
            </w:tcBorders>
            <w:shd w:fill="auto" w:val="clear"/>
            <w:tcMar>
              <w:bottom w:w="28" w:type="dxa"/>
            </w:tcMar>
            <w:vAlign w:val="center"/>
          </w:tcPr>
          <w:p>
            <w:pPr>
              <w:pStyle w:val="TableContents"/>
              <w:spacing w:before="0" w:after="283"/>
              <w:rPr/>
            </w:pPr>
            <w:r>
              <w:rPr/>
              <w:t> </w:t>
            </w:r>
          </w:p>
        </w:tc>
      </w:tr>
    </w:tbl>
    <w:p>
      <w:pPr>
        <w:pStyle w:val="TextBody"/>
        <w:spacing w:before="240" w:after="0"/>
        <w:jc w:val="left"/>
        <w:rPr>
          <w:rFonts w:ascii="ARIAL" w:hAnsi="ARIAL"/>
          <w:color w:val="02197A"/>
          <w:sz w:val="30"/>
        </w:rPr>
      </w:pPr>
      <w:r>
        <w:rPr>
          <w:rFonts w:ascii="ARIAL" w:hAnsi="ARIAL"/>
          <w:color w:val="02197A"/>
          <w:sz w:val="30"/>
        </w:rPr>
        <w:t xml:space="preserve">STOCKHOLDER ENGAGEMENT </w:t>
      </w:r>
    </w:p>
    <w:p>
      <w:pPr>
        <w:pStyle w:val="TextBody"/>
        <w:spacing w:before="120" w:after="0"/>
        <w:jc w:val="left"/>
        <w:rPr>
          <w:rFonts w:ascii="Times New Roman" w:hAnsi="Times New Roman"/>
          <w:sz w:val="20"/>
        </w:rPr>
      </w:pPr>
      <w:r>
        <w:rPr>
          <w:rFonts w:ascii="Times New Roman" w:hAnsi="Times New Roman"/>
          <w:sz w:val="20"/>
        </w:rPr>
        <w:t>We value our stockholders’ perspective on our business and each year we interact with stockholders through a variety of stockholder engagement activities. In 2022, our key stockholder engagement activities included in-person or virtual attendance at seven investor conferences, three large group investor and prospective investor meetings at our corporate offices, and our 2022 Annual Meeting of Stockholders. Our Investor Relations department is the contact point for stockholder interaction with the Company. Stockholders may also access investor information about the Company through our website (</w:t>
      </w:r>
      <w:r>
        <w:rPr>
          <w:rFonts w:ascii="Times New Roman" w:hAnsi="Times New Roman"/>
          <w:sz w:val="20"/>
          <w:u w:val="single"/>
        </w:rPr>
        <w:t>www.chs.net/investor-relations/</w:t>
      </w:r>
      <w:r>
        <w:rPr>
          <w:rFonts w:ascii="Times New Roman" w:hAnsi="Times New Roman"/>
          <w:sz w:val="20"/>
        </w:rPr>
        <w:t>). For questions concerning Investor Relations, you may call (615) 465-7000 or email us from the Contact Us section on our website (</w:t>
      </w:r>
      <w:r>
        <w:rPr>
          <w:rFonts w:ascii="Times New Roman" w:hAnsi="Times New Roman"/>
          <w:sz w:val="20"/>
          <w:u w:val="single"/>
        </w:rPr>
        <w:t>www.chs.net/contact-us/</w:t>
      </w:r>
      <w:r>
        <w:rPr>
          <w:rFonts w:ascii="Times New Roman" w:hAnsi="Times New Roman"/>
          <w:sz w:val="20"/>
        </w:rPr>
        <w:t xml:space="preserve">). </w:t>
      </w:r>
    </w:p>
    <w:p>
      <w:pPr>
        <w:pStyle w:val="TextBody"/>
        <w:spacing w:before="240" w:after="0"/>
        <w:jc w:val="left"/>
        <w:rPr>
          <w:rFonts w:ascii="ARIAL" w:hAnsi="ARIAL"/>
          <w:color w:val="02197A"/>
          <w:sz w:val="30"/>
        </w:rPr>
      </w:pPr>
      <w:r>
        <w:rPr>
          <w:rFonts w:ascii="ARIAL" w:hAnsi="ARIAL"/>
          <w:color w:val="02197A"/>
          <w:sz w:val="30"/>
        </w:rPr>
        <w:t xml:space="preserve">ALIGNING PAY AND PERFORMANCE </w:t>
      </w:r>
    </w:p>
    <w:p>
      <w:pPr>
        <w:pStyle w:val="TextBody"/>
        <w:spacing w:before="120" w:after="0"/>
        <w:jc w:val="left"/>
        <w:rPr>
          <w:rFonts w:ascii="ARIAL" w:hAnsi="ARIAL"/>
          <w:b/>
          <w:color w:val="02197A"/>
          <w:sz w:val="26"/>
        </w:rPr>
      </w:pPr>
      <w:r>
        <w:rPr>
          <w:rFonts w:ascii="ARIAL" w:hAnsi="ARIAL"/>
          <w:b/>
          <w:color w:val="02197A"/>
          <w:sz w:val="26"/>
        </w:rPr>
        <w:t xml:space="preserve">2022 Executive Compensation </w:t>
      </w:r>
    </w:p>
    <w:p>
      <w:pPr>
        <w:pStyle w:val="TextBody"/>
        <w:spacing w:before="200" w:after="0"/>
        <w:jc w:val="left"/>
        <w:rPr>
          <w:rFonts w:ascii="Times New Roman" w:hAnsi="Times New Roman"/>
          <w:sz w:val="20"/>
        </w:rPr>
      </w:pPr>
      <w:r>
        <w:rPr>
          <w:rFonts w:ascii="Times New Roman" w:hAnsi="Times New Roman"/>
          <w:sz w:val="20"/>
        </w:rPr>
        <w:t xml:space="preserve">At our 2022 Annual Meeting of Stockholders, approximately 98% of the votes cast by our stockholders, excluding broker non-votes, were voted in favor of the Company’s advisory Say-on-Pay proposal with respect to the compensation of our named executive officers as described in our 2022 Proxy Statement. As our Compensation Committee has continued to review our compensation practices, it is mindful of the level of support received from our stockholders with respect to this Say-on-Pay proposal.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rPr/>
      </w:pPr>
      <w:r>
        <w:rPr/>
      </w:r>
    </w:p>
    <w:tbl>
      <w:tblPr>
        <w:tblW w:w="1049" w:type="dxa"/>
        <w:jc w:val="left"/>
        <w:tblInd w:w="0" w:type="dxa"/>
        <w:tblCellMar>
          <w:top w:w="0" w:type="dxa"/>
          <w:left w:w="0" w:type="dxa"/>
          <w:bottom w:w="0" w:type="dxa"/>
          <w:right w:w="0" w:type="dxa"/>
        </w:tblCellMar>
      </w:tblPr>
      <w:tblGrid>
        <w:gridCol w:w="38"/>
        <w:gridCol w:w="60"/>
        <w:gridCol w:w="23"/>
        <w:gridCol w:w="60"/>
        <w:gridCol w:w="23"/>
        <w:gridCol w:w="60"/>
        <w:gridCol w:w="23"/>
        <w:gridCol w:w="60"/>
        <w:gridCol w:w="23"/>
        <w:gridCol w:w="60"/>
        <w:gridCol w:w="23"/>
        <w:gridCol w:w="60"/>
        <w:gridCol w:w="23"/>
        <w:gridCol w:w="60"/>
        <w:gridCol w:w="23"/>
        <w:gridCol w:w="60"/>
        <w:gridCol w:w="23"/>
        <w:gridCol w:w="60"/>
        <w:gridCol w:w="23"/>
        <w:gridCol w:w="60"/>
        <w:gridCol w:w="23"/>
        <w:gridCol w:w="60"/>
        <w:gridCol w:w="23"/>
        <w:gridCol w:w="60"/>
        <w:gridCol w:w="38"/>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E0DDCC" w:val="clear"/>
            <w:vAlign w:val="center"/>
          </w:tcPr>
          <w:p>
            <w:pPr>
              <w:pStyle w:val="TableContents"/>
              <w:spacing w:before="0" w:after="283"/>
              <w:rPr/>
            </w:pPr>
            <w:r>
              <w:rPr/>
              <w:t> </w:t>
            </w:r>
          </w:p>
        </w:tc>
        <w:tc>
          <w:tcPr>
            <w:tcW w:w="23" w:type="dxa"/>
            <w:tcBorders/>
            <w:shd w:fill="E0DDCC"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E0DDCC" w:val="clear"/>
            <w:vAlign w:val="center"/>
          </w:tcPr>
          <w:p>
            <w:pPr>
              <w:pStyle w:val="TableContents"/>
              <w:spacing w:before="0" w:after="283"/>
              <w:rPr/>
            </w:pPr>
            <w:r>
              <w:rPr/>
              <w:t> </w:t>
            </w:r>
          </w:p>
        </w:tc>
        <w:tc>
          <w:tcPr>
            <w:tcW w:w="23" w:type="dxa"/>
            <w:tcBorders/>
            <w:shd w:fill="E0DDCC"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E0DDCC" w:val="clear"/>
            <w:vAlign w:val="center"/>
          </w:tcPr>
          <w:p>
            <w:pPr>
              <w:pStyle w:val="TableContents"/>
              <w:spacing w:before="0" w:after="283"/>
              <w:rPr/>
            </w:pPr>
            <w:r>
              <w:rPr/>
              <w:t> </w:t>
            </w:r>
          </w:p>
        </w:tc>
        <w:tc>
          <w:tcPr>
            <w:tcW w:w="23" w:type="dxa"/>
            <w:tcBorders/>
            <w:shd w:fill="E0DDCC"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E0DDCC" w:val="clear"/>
            <w:vAlign w:val="center"/>
          </w:tcPr>
          <w:p>
            <w:pPr>
              <w:pStyle w:val="TableContents"/>
              <w:spacing w:before="0" w:after="283"/>
              <w:rPr/>
            </w:pPr>
            <w:r>
              <w:rPr/>
              <w:t> </w:t>
            </w:r>
          </w:p>
        </w:tc>
        <w:tc>
          <w:tcPr>
            <w:tcW w:w="23" w:type="dxa"/>
            <w:tcBorders/>
            <w:shd w:fill="E0DDCC"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E0DDCC" w:val="clear"/>
            <w:vAlign w:val="center"/>
          </w:tcPr>
          <w:p>
            <w:pPr>
              <w:pStyle w:val="TableContents"/>
              <w:spacing w:before="0" w:after="283"/>
              <w:rPr/>
            </w:pPr>
            <w:r>
              <w:rPr/>
              <w:t> </w:t>
            </w:r>
          </w:p>
        </w:tc>
        <w:tc>
          <w:tcPr>
            <w:tcW w:w="23" w:type="dxa"/>
            <w:tcBorders/>
            <w:shd w:fill="E0DDCC"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E0DDCC" w:val="clear"/>
            <w:vAlign w:val="center"/>
          </w:tcPr>
          <w:p>
            <w:pPr>
              <w:pStyle w:val="TableContents"/>
              <w:spacing w:before="0" w:after="283"/>
              <w:rPr/>
            </w:pPr>
            <w:r>
              <w:rPr/>
              <w:t> </w:t>
            </w:r>
          </w:p>
        </w:tc>
        <w:tc>
          <w:tcPr>
            <w:tcW w:w="23" w:type="dxa"/>
            <w:tcBorders/>
            <w:shd w:fill="E0DDCC"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left"/>
        <w:rPr/>
      </w:pPr>
      <w:r>
        <w:rPr/>
        <w:t> </w:t>
      </w:r>
    </w:p>
    <w:p>
      <w:pPr>
        <w:pStyle w:val="TextBody"/>
        <w:pBdr>
          <w:bottom w:val="single" w:sz="8" w:space="1" w:color="000000"/>
        </w:pBdr>
        <w:spacing w:lineRule="atLeast" w:line="141" w:before="0" w:after="40"/>
        <w:jc w:val="left"/>
        <w:rPr/>
      </w:pPr>
      <w:r>
        <w:rPr/>
        <w:t>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 w:hAnsi="Times New Roman"/>
          <w:sz w:val="20"/>
        </w:rPr>
        <w:t xml:space="preserve">As a leading operator of general acute care hospitals and outpatient facilities within the healthcare industry, one of the nation’s largest and most dynamic industries, the Company must ensure that it attracts and retains the leadership and managerial talent needed to sustain its position in this rapidly changing industry. To remain competitive in the Company’s financial, capital and business markets, the Company views improving earnings and profitability as well as achieving growth as paramount objectives of the Company’s strategy. We believe these strategic objectives are fundamental points of alignment between stockholder value and the compensation of executive management. </w:t>
      </w:r>
    </w:p>
    <w:p>
      <w:pPr>
        <w:pStyle w:val="TextBody"/>
        <w:spacing w:before="200" w:after="0"/>
        <w:jc w:val="left"/>
        <w:rPr>
          <w:rFonts w:ascii="Times New Roman" w:hAnsi="Times New Roman"/>
          <w:sz w:val="20"/>
        </w:rPr>
      </w:pPr>
      <w:r>
        <w:rPr>
          <w:rFonts w:ascii="Times New Roman" w:hAnsi="Times New Roman"/>
          <w:sz w:val="20"/>
        </w:rPr>
        <w:t xml:space="preserve">The macroeconomic environment was challenging in 2022, and, as a result, the Company did not achieve several of its key financial goals for 2022. Consistent with the Company’s pay-for-performance philosophy, taking these factors into account, our Chief Executive Officer received 26% of his target cash incentive award for 2022 (as compared to 130% of his target cash incentive award during 2021, when the Company achieved or exceeded many of its primary financial targets). Despite the challenging macroeconomic environment in 2022, the Company continued to make progress on many of its strategic goals, which we believe will result in a stronger organization as we progress into 2023 and beyond. This progress included continuing to expand access points, successfully managing non-labor expenses despite inflationary pressures, strong provider recruitment results, continuing to develop and implement programs to support and monitor patient safety and quality of care, making additional progress on the Company’s capital structure, and advancing the Company’s diversity, equity and inclusion objectives. To further improve operating efficiency, the Company continued the execution of its margin improvement program, which contributed to additional cost savings during 2022. Our long-term incentive (“LTI”) mix further aligns our executive compensation program with stockholder interests by virtue of the fact that 75% of the target LTI awards (based on the number of shares subject to such awards) granted to each of our named executive officers during 2022 was in the form of performance-based restricted stock or non-qualified stock options, which will result in value to the named executive officers only to the extent the Company achieves its long-term performance goals and/or our stock price increases in the future. Moreover, despite the improvement in our stock price between the LTI grant date in March 2021 and the LTI grant date in March 2022, which resulted in an increase in the aggregate grant date fair value of the equity awards made in March 2022 compared to March 2021, the grant date fair value of the target LTI award to Mr. Hingtgen in 2022 continued to be below the 25th percentile of our peer group in 2022. </w:t>
      </w:r>
    </w:p>
    <w:p>
      <w:pPr>
        <w:pStyle w:val="TextBody"/>
        <w:spacing w:before="200" w:after="0"/>
        <w:jc w:val="left"/>
        <w:rPr>
          <w:rFonts w:ascii="Times New Roman" w:hAnsi="Times New Roman"/>
          <w:sz w:val="20"/>
        </w:rPr>
      </w:pPr>
      <w:r>
        <w:rPr>
          <w:rFonts w:ascii="Times New Roman" w:hAnsi="Times New Roman"/>
          <w:sz w:val="20"/>
        </w:rPr>
        <w:t xml:space="preserve">With respect to the performance-based restricted stock awards granted to our named executive officers in March 2020, which vested on the third anniversary of the grant date based on the Company’s three-year cumulative financial results during the 2020–2022 performance period, the Company achieved less than 80% of the target for the Cumulative Consolidated Adjusted EBITDA Growth three-year performance objective (i.e., below threshold) and over 120% of the target for the Cumulative Same-Store Net Revenue Growth three-year performance objective (i.e., above maximum) underlying these awards, which targets were set in February 2020. In addition, the Company’s three-year TSR Percentile Rank (which was an additional performance objective for the then-serving Chief Executive Officer and Chief Financial Officer only) was at the 50th percentile of the Company’s TSR peer group. As a result of the impact of these factors, these performance-based restricted stock awards were earned at 100% of the target number of shares originally granted to each award recipient. </w:t>
      </w:r>
    </w:p>
    <w:p>
      <w:pPr>
        <w:pStyle w:val="TextBody"/>
        <w:spacing w:before="200" w:after="0"/>
        <w:jc w:val="left"/>
        <w:rPr>
          <w:rFonts w:ascii="Times New Roman" w:hAnsi="Times New Roman"/>
          <w:sz w:val="20"/>
        </w:rPr>
      </w:pPr>
      <w:r>
        <w:rPr>
          <w:rFonts w:ascii="Times New Roman" w:hAnsi="Times New Roman"/>
          <w:sz w:val="20"/>
        </w:rPr>
        <w:t xml:space="preserve">We conduct year-round proactive stockholder interaction and are committed to a continuing dialogue between stockholders and the Company to fully understand and consider stockholder perspectives on executive compensation and other topics that are important to our stockholders. In addition to our SEC filings, press releases, Community Impact Report, Environmental Sustainability Report, and company website, we also communicate with stakeholders through earnings calls and investor conferences. In addition, during 2022, we met or consulted with stockholders that held over 50% of our shares outstanding at that time to discuss topics that are important to our stockholders, including soliciting feedback on corporate governance matters and our executive compensation program. Our Compensation Committee considers the feedback and suggestions we receive in light of both market best practices and what we believe to be necessary to execute a best-in-class compensation program that successfully addresses our senior executive talent attraction and retention needs.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rPr/>
      </w:pPr>
      <w:r>
        <w:rPr/>
      </w:r>
    </w:p>
    <w:tbl>
      <w:tblPr>
        <w:tblW w:w="1049" w:type="dxa"/>
        <w:jc w:val="left"/>
        <w:tblInd w:w="0" w:type="dxa"/>
        <w:tblCellMar>
          <w:top w:w="0" w:type="dxa"/>
          <w:left w:w="0" w:type="dxa"/>
          <w:bottom w:w="0" w:type="dxa"/>
          <w:right w:w="0" w:type="dxa"/>
        </w:tblCellMar>
      </w:tblPr>
      <w:tblGrid>
        <w:gridCol w:w="38"/>
        <w:gridCol w:w="60"/>
        <w:gridCol w:w="23"/>
        <w:gridCol w:w="60"/>
        <w:gridCol w:w="23"/>
        <w:gridCol w:w="60"/>
        <w:gridCol w:w="23"/>
        <w:gridCol w:w="60"/>
        <w:gridCol w:w="23"/>
        <w:gridCol w:w="60"/>
        <w:gridCol w:w="23"/>
        <w:gridCol w:w="60"/>
        <w:gridCol w:w="23"/>
        <w:gridCol w:w="60"/>
        <w:gridCol w:w="23"/>
        <w:gridCol w:w="60"/>
        <w:gridCol w:w="23"/>
        <w:gridCol w:w="60"/>
        <w:gridCol w:w="23"/>
        <w:gridCol w:w="60"/>
        <w:gridCol w:w="23"/>
        <w:gridCol w:w="60"/>
        <w:gridCol w:w="23"/>
        <w:gridCol w:w="60"/>
        <w:gridCol w:w="38"/>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E0DDCC" w:val="clear"/>
            <w:vAlign w:val="center"/>
          </w:tcPr>
          <w:p>
            <w:pPr>
              <w:pStyle w:val="TableContents"/>
              <w:spacing w:before="0" w:after="283"/>
              <w:rPr/>
            </w:pPr>
            <w:r>
              <w:rPr/>
              <w:t> </w:t>
            </w:r>
          </w:p>
        </w:tc>
        <w:tc>
          <w:tcPr>
            <w:tcW w:w="23" w:type="dxa"/>
            <w:tcBorders/>
            <w:shd w:fill="E0DDCC"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E0DDCC" w:val="clear"/>
            <w:vAlign w:val="center"/>
          </w:tcPr>
          <w:p>
            <w:pPr>
              <w:pStyle w:val="TableContents"/>
              <w:spacing w:before="0" w:after="283"/>
              <w:rPr/>
            </w:pPr>
            <w:r>
              <w:rPr/>
              <w:t> </w:t>
            </w:r>
          </w:p>
        </w:tc>
        <w:tc>
          <w:tcPr>
            <w:tcW w:w="23" w:type="dxa"/>
            <w:tcBorders/>
            <w:shd w:fill="E0DDCC"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E0DDCC" w:val="clear"/>
            <w:vAlign w:val="center"/>
          </w:tcPr>
          <w:p>
            <w:pPr>
              <w:pStyle w:val="TableContents"/>
              <w:spacing w:before="0" w:after="283"/>
              <w:rPr/>
            </w:pPr>
            <w:r>
              <w:rPr/>
              <w:t> </w:t>
            </w:r>
          </w:p>
        </w:tc>
        <w:tc>
          <w:tcPr>
            <w:tcW w:w="23" w:type="dxa"/>
            <w:tcBorders/>
            <w:shd w:fill="E0DDCC"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E0DDCC" w:val="clear"/>
            <w:vAlign w:val="center"/>
          </w:tcPr>
          <w:p>
            <w:pPr>
              <w:pStyle w:val="TableContents"/>
              <w:spacing w:before="0" w:after="283"/>
              <w:rPr/>
            </w:pPr>
            <w:r>
              <w:rPr/>
              <w:t> </w:t>
            </w:r>
          </w:p>
        </w:tc>
        <w:tc>
          <w:tcPr>
            <w:tcW w:w="23" w:type="dxa"/>
            <w:tcBorders/>
            <w:shd w:fill="E0DDCC"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E0DDCC" w:val="clear"/>
            <w:vAlign w:val="center"/>
          </w:tcPr>
          <w:p>
            <w:pPr>
              <w:pStyle w:val="TableContents"/>
              <w:spacing w:before="0" w:after="283"/>
              <w:rPr/>
            </w:pPr>
            <w:r>
              <w:rPr/>
              <w:t> </w:t>
            </w:r>
          </w:p>
        </w:tc>
        <w:tc>
          <w:tcPr>
            <w:tcW w:w="23" w:type="dxa"/>
            <w:tcBorders/>
            <w:shd w:fill="E0DDCC"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E0DDCC" w:val="clear"/>
            <w:vAlign w:val="center"/>
          </w:tcPr>
          <w:p>
            <w:pPr>
              <w:pStyle w:val="TableContents"/>
              <w:spacing w:before="0" w:after="283"/>
              <w:rPr/>
            </w:pPr>
            <w:r>
              <w:rPr/>
              <w:t> </w:t>
            </w:r>
          </w:p>
        </w:tc>
        <w:tc>
          <w:tcPr>
            <w:tcW w:w="23" w:type="dxa"/>
            <w:tcBorders/>
            <w:shd w:fill="E0DDCC"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left"/>
        <w:rPr/>
      </w:pPr>
      <w:r>
        <w:rPr/>
        <w:t> </w:t>
      </w:r>
    </w:p>
    <w:p>
      <w:pPr>
        <w:pStyle w:val="TextBody"/>
        <w:pBdr>
          <w:bottom w:val="single" w:sz="8" w:space="1" w:color="000000"/>
        </w:pBdr>
        <w:spacing w:lineRule="atLeast" w:line="141" w:before="0" w:after="40"/>
        <w:jc w:val="left"/>
        <w:rPr/>
      </w:pPr>
      <w:r>
        <w:rPr/>
        <w:t>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 w:hAnsi="Times New Roman"/>
          <w:sz w:val="20"/>
        </w:rPr>
        <w:t xml:space="preserve">Going forward, we will continue to evaluate our executive compensation program in light of stockholder feedback, governance best practices, regulatory requirements, economic and industry factors, current trends in public company pay practices, and competitive considerations. We intend to continue to make changes, as applicable, that both ensure the alignment between the interests of our stockholders and our executives and reflect industry-leading executive compensation programs. </w:t>
      </w:r>
    </w:p>
    <w:p>
      <w:pPr>
        <w:pStyle w:val="TextBody"/>
        <w:spacing w:before="240" w:after="0"/>
        <w:jc w:val="left"/>
        <w:rPr>
          <w:rFonts w:ascii="ARIAL" w:hAnsi="ARIAL"/>
          <w:color w:val="02197A"/>
          <w:sz w:val="30"/>
        </w:rPr>
      </w:pPr>
      <w:r>
        <w:rPr>
          <w:rFonts w:ascii="ARIAL" w:hAnsi="ARIAL"/>
          <w:color w:val="02197A"/>
          <w:sz w:val="30"/>
        </w:rPr>
        <w:t xml:space="preserve">KEY FEATURES OF OUR COMPENSATION SYSTEM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5615"/>
        <w:gridCol w:w="120"/>
        <w:gridCol w:w="4470"/>
      </w:tblGrid>
      <w:tr>
        <w:trPr/>
        <w:tc>
          <w:tcPr>
            <w:tcW w:w="561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470" w:type="dxa"/>
            <w:tcBorders/>
            <w:shd w:fill="auto" w:val="clear"/>
            <w:vAlign w:val="center"/>
          </w:tcPr>
          <w:p>
            <w:pPr>
              <w:pStyle w:val="TableContents"/>
              <w:spacing w:before="0" w:after="283"/>
              <w:rPr>
                <w:sz w:val="4"/>
                <w:szCs w:val="4"/>
              </w:rPr>
            </w:pPr>
            <w:r>
              <w:rPr>
                <w:sz w:val="4"/>
                <w:szCs w:val="4"/>
              </w:rPr>
            </w:r>
          </w:p>
        </w:tc>
      </w:tr>
      <w:tr>
        <w:trPr/>
        <w:tc>
          <w:tcPr>
            <w:tcW w:w="5615" w:type="dxa"/>
            <w:tcBorders>
              <w:top w:val="single" w:sz="6" w:space="0" w:color="000000"/>
              <w:left w:val="single" w:sz="6" w:space="0" w:color="000000"/>
            </w:tcBorders>
            <w:shd w:fill="F7F7F2" w:val="clear"/>
            <w:tcMar>
              <w:top w:w="28" w:type="dxa"/>
              <w:left w:w="160" w:type="dxa"/>
            </w:tcMar>
            <w:vAlign w:val="center"/>
          </w:tcPr>
          <w:p>
            <w:pPr>
              <w:pStyle w:val="TableContents"/>
              <w:spacing w:before="0" w:after="0"/>
              <w:rPr>
                <w:color w:val="02197A"/>
              </w:rPr>
            </w:pPr>
            <w:r>
              <w:rPr>
                <w:color w:val="02197A"/>
              </w:rPr>
              <w:t>  </w:t>
            </w:r>
            <w:r>
              <w:rPr>
                <w:rFonts w:ascii="ARIAL" w:hAnsi="ARIAL"/>
                <w:b/>
                <w:color w:val="02197A"/>
                <w:sz w:val="26"/>
              </w:rPr>
              <w:t>What We Do</w:t>
            </w:r>
          </w:p>
          <w:p>
            <w:pPr>
              <w:pStyle w:val="TableContents"/>
              <w:spacing w:before="0" w:after="20"/>
              <w:rPr/>
            </w:pPr>
            <w:r>
              <w:rPr/>
              <w:t> </w:t>
            </w:r>
          </w:p>
        </w:tc>
        <w:tc>
          <w:tcPr>
            <w:tcW w:w="120" w:type="dxa"/>
            <w:tcBorders>
              <w:top w:val="single" w:sz="6" w:space="0" w:color="000000"/>
            </w:tcBorders>
            <w:shd w:fill="F7F7F2" w:val="clear"/>
            <w:tcMar>
              <w:top w:w="28" w:type="dxa"/>
            </w:tcMar>
            <w:vAlign w:val="center"/>
          </w:tcPr>
          <w:p>
            <w:pPr>
              <w:pStyle w:val="TableContents"/>
              <w:spacing w:before="0" w:after="283"/>
              <w:rPr/>
            </w:pPr>
            <w:r>
              <w:rPr/>
              <w:t>  </w:t>
            </w:r>
          </w:p>
        </w:tc>
        <w:tc>
          <w:tcPr>
            <w:tcW w:w="4470" w:type="dxa"/>
            <w:tcBorders>
              <w:top w:val="single" w:sz="6" w:space="0" w:color="000000"/>
              <w:right w:val="single" w:sz="6" w:space="0" w:color="000000"/>
            </w:tcBorders>
            <w:shd w:fill="F7F7F2" w:val="clear"/>
            <w:tcMar>
              <w:top w:w="28" w:type="dxa"/>
              <w:right w:w="40" w:type="dxa"/>
            </w:tcMar>
            <w:vAlign w:val="center"/>
          </w:tcPr>
          <w:p>
            <w:pPr>
              <w:pStyle w:val="TableContents"/>
              <w:spacing w:before="0" w:after="0"/>
              <w:rPr>
                <w:rFonts w:ascii="ARIAL" w:hAnsi="ARIAL"/>
                <w:b/>
                <w:color w:val="02197A"/>
                <w:sz w:val="26"/>
              </w:rPr>
            </w:pPr>
            <w:r>
              <w:rPr>
                <w:rFonts w:ascii="ARIAL" w:hAnsi="ARIAL"/>
                <w:b/>
                <w:color w:val="02197A"/>
                <w:sz w:val="26"/>
              </w:rPr>
              <w:t>What We Don’t Do</w:t>
            </w:r>
          </w:p>
          <w:p>
            <w:pPr>
              <w:pStyle w:val="TableContents"/>
              <w:spacing w:before="0" w:after="20"/>
              <w:rPr/>
            </w:pPr>
            <w:r>
              <w:rPr/>
              <w:t> </w:t>
            </w:r>
          </w:p>
        </w:tc>
      </w:tr>
      <w:tr>
        <w:trPr/>
        <w:tc>
          <w:tcPr>
            <w:tcW w:w="5615" w:type="dxa"/>
            <w:tcBorders>
              <w:left w:val="single" w:sz="6" w:space="0" w:color="000000"/>
            </w:tcBorders>
            <w:shd w:fill="F7F7F2" w:val="clear"/>
            <w:tcMar>
              <w:left w:w="160" w:type="dxa"/>
            </w:tcMar>
            <w:vAlign w:val="center"/>
          </w:tcPr>
          <w:p>
            <w:pPr>
              <w:pStyle w:val="TableContents"/>
              <w:spacing w:before="0" w:after="0"/>
              <w:rPr/>
            </w:pPr>
            <w:r>
              <w:rPr/>
              <w:drawing>
                <wp:inline distT="0" distB="0" distL="0" distR="0">
                  <wp:extent cx="15240" cy="1460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15240" cy="14605"/>
                          </a:xfrm>
                          <a:prstGeom prst="rect">
                            <a:avLst/>
                          </a:prstGeom>
                        </pic:spPr>
                      </pic:pic>
                    </a:graphicData>
                  </a:graphic>
                </wp:inline>
              </w:drawing>
            </w:r>
            <w:r>
              <w:rPr/>
              <w:t xml:space="preserve">  </w:t>
            </w:r>
            <w:r>
              <w:rPr>
                <w:rFonts w:ascii="Times New Roman" w:hAnsi="Times New Roman"/>
                <w:sz w:val="20"/>
              </w:rPr>
              <w:t>Pay for Performance – A significant portion of the compensation for our NEOs is in the form of at-risk variable compensation.</w:t>
            </w:r>
          </w:p>
        </w:tc>
        <w:tc>
          <w:tcPr>
            <w:tcW w:w="120" w:type="dxa"/>
            <w:tcBorders/>
            <w:shd w:fill="F7F7F2" w:val="clear"/>
            <w:vAlign w:val="center"/>
          </w:tcPr>
          <w:p>
            <w:pPr>
              <w:pStyle w:val="TableContents"/>
              <w:spacing w:before="0" w:after="283"/>
              <w:rPr/>
            </w:pPr>
            <w:r>
              <w:rPr/>
              <w:t>  </w:t>
            </w:r>
          </w:p>
        </w:tc>
        <w:tc>
          <w:tcPr>
            <w:tcW w:w="4470" w:type="dxa"/>
            <w:tcBorders>
              <w:right w:val="single" w:sz="6" w:space="0" w:color="000000"/>
            </w:tcBorders>
            <w:shd w:fill="F7F7F2" w:val="clear"/>
            <w:tcMar>
              <w:right w:w="40" w:type="dxa"/>
            </w:tcMar>
            <w:vAlign w:val="center"/>
          </w:tcPr>
          <w:p>
            <w:pPr>
              <w:pStyle w:val="TableContents"/>
              <w:spacing w:before="0" w:after="0"/>
              <w:rPr/>
            </w:pPr>
            <w:r>
              <w:rPr/>
              <w:drawing>
                <wp:inline distT="0" distB="0" distL="0" distR="0">
                  <wp:extent cx="14605" cy="1460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14605" cy="14605"/>
                          </a:xfrm>
                          <a:prstGeom prst="rect">
                            <a:avLst/>
                          </a:prstGeom>
                        </pic:spPr>
                      </pic:pic>
                    </a:graphicData>
                  </a:graphic>
                </wp:inline>
              </w:drawing>
            </w:r>
            <w:r>
              <w:rPr/>
              <w:t xml:space="preserve">    </w:t>
            </w:r>
            <w:r>
              <w:rPr>
                <w:rFonts w:ascii="Times New Roman" w:hAnsi="Times New Roman"/>
                <w:sz w:val="20"/>
              </w:rPr>
              <w:t>Excessive Perquisites – Perquisites represent a limited portion of our NEOs’ compensation.</w:t>
            </w:r>
          </w:p>
        </w:tc>
      </w:tr>
      <w:tr>
        <w:trPr/>
        <w:tc>
          <w:tcPr>
            <w:tcW w:w="5615" w:type="dxa"/>
            <w:tcBorders>
              <w:left w:val="single" w:sz="6" w:space="0" w:color="000000"/>
            </w:tcBorders>
            <w:shd w:fill="F7F7F2" w:val="clear"/>
            <w:tcMar>
              <w:left w:w="160" w:type="dxa"/>
            </w:tcMar>
            <w:vAlign w:val="center"/>
          </w:tcPr>
          <w:p>
            <w:pPr>
              <w:pStyle w:val="TableContents"/>
              <w:spacing w:before="0" w:after="283"/>
              <w:rPr/>
            </w:pPr>
            <w:r>
              <w:rPr/>
              <w:t> </w:t>
            </w:r>
          </w:p>
        </w:tc>
        <w:tc>
          <w:tcPr>
            <w:tcW w:w="4590" w:type="dxa"/>
            <w:gridSpan w:val="2"/>
            <w:tcBorders>
              <w:right w:val="single" w:sz="6" w:space="0" w:color="000000"/>
            </w:tcBorders>
            <w:shd w:fill="F7F7F2" w:val="clear"/>
            <w:tcMar>
              <w:right w:w="28" w:type="dxa"/>
            </w:tcMar>
            <w:vAlign w:val="center"/>
          </w:tcPr>
          <w:p>
            <w:pPr>
              <w:pStyle w:val="TableContents"/>
              <w:spacing w:before="0" w:after="283"/>
              <w:rPr/>
            </w:pPr>
            <w:r>
              <w:rPr/>
              <w:t> </w:t>
            </w:r>
          </w:p>
        </w:tc>
      </w:tr>
      <w:tr>
        <w:trPr/>
        <w:tc>
          <w:tcPr>
            <w:tcW w:w="5615" w:type="dxa"/>
            <w:tcBorders>
              <w:left w:val="single" w:sz="6" w:space="0" w:color="000000"/>
            </w:tcBorders>
            <w:shd w:fill="F7F7F2" w:val="clear"/>
            <w:tcMar>
              <w:left w:w="160" w:type="dxa"/>
            </w:tcMar>
            <w:vAlign w:val="center"/>
          </w:tcPr>
          <w:p>
            <w:pPr>
              <w:pStyle w:val="TableContents"/>
              <w:spacing w:before="0" w:after="0"/>
              <w:rPr/>
            </w:pPr>
            <w:r>
              <w:rPr/>
              <w:drawing>
                <wp:inline distT="0" distB="0" distL="0" distR="0">
                  <wp:extent cx="15240" cy="1460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15240" cy="14605"/>
                          </a:xfrm>
                          <a:prstGeom prst="rect">
                            <a:avLst/>
                          </a:prstGeom>
                        </pic:spPr>
                      </pic:pic>
                    </a:graphicData>
                  </a:graphic>
                </wp:inline>
              </w:drawing>
            </w:r>
            <w:r>
              <w:rPr/>
              <w:t xml:space="preserve">  </w:t>
            </w:r>
            <w:r>
              <w:rPr>
                <w:rFonts w:ascii="Times New Roman" w:hAnsi="Times New Roman"/>
                <w:sz w:val="20"/>
              </w:rPr>
              <w:t>Multiple Performance Metrics – Cash incentive compensation and our performance-based restricted stock awards are based on multiple measures to support the Company’s long-term strategy in a balanced manner.</w:t>
            </w:r>
          </w:p>
        </w:tc>
        <w:tc>
          <w:tcPr>
            <w:tcW w:w="120" w:type="dxa"/>
            <w:tcBorders/>
            <w:shd w:fill="F7F7F2" w:val="clear"/>
            <w:vAlign w:val="center"/>
          </w:tcPr>
          <w:p>
            <w:pPr>
              <w:pStyle w:val="TableContents"/>
              <w:spacing w:before="0" w:after="283"/>
              <w:rPr/>
            </w:pPr>
            <w:r>
              <w:rPr/>
              <w:t>  </w:t>
            </w:r>
          </w:p>
        </w:tc>
        <w:tc>
          <w:tcPr>
            <w:tcW w:w="4470" w:type="dxa"/>
            <w:tcBorders>
              <w:right w:val="single" w:sz="6" w:space="0" w:color="000000"/>
            </w:tcBorders>
            <w:shd w:fill="F7F7F2" w:val="clear"/>
            <w:tcMar>
              <w:right w:w="40" w:type="dxa"/>
            </w:tcMar>
            <w:vAlign w:val="center"/>
          </w:tcPr>
          <w:p>
            <w:pPr>
              <w:pStyle w:val="TableContents"/>
              <w:spacing w:before="0" w:after="0"/>
              <w:rPr/>
            </w:pPr>
            <w:r>
              <w:rPr/>
              <w:drawing>
                <wp:inline distT="0" distB="0" distL="0" distR="0">
                  <wp:extent cx="14605" cy="1460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14605" cy="14605"/>
                          </a:xfrm>
                          <a:prstGeom prst="rect">
                            <a:avLst/>
                          </a:prstGeom>
                        </pic:spPr>
                      </pic:pic>
                    </a:graphicData>
                  </a:graphic>
                </wp:inline>
              </w:drawing>
            </w:r>
            <w:r>
              <w:rPr/>
              <w:t xml:space="preserve">    </w:t>
            </w:r>
            <w:r>
              <w:rPr>
                <w:rFonts w:ascii="Times New Roman" w:hAnsi="Times New Roman"/>
                <w:sz w:val="20"/>
              </w:rPr>
              <w:t>Employment Agreements – We do not have employment agreements with our NEOs, and all of our NEOs are employed on an at-will basis.</w:t>
            </w:r>
          </w:p>
        </w:tc>
      </w:tr>
      <w:tr>
        <w:trPr/>
        <w:tc>
          <w:tcPr>
            <w:tcW w:w="5615" w:type="dxa"/>
            <w:tcBorders>
              <w:left w:val="single" w:sz="6" w:space="0" w:color="000000"/>
            </w:tcBorders>
            <w:shd w:fill="F7F7F2" w:val="clear"/>
            <w:tcMar>
              <w:left w:w="160" w:type="dxa"/>
            </w:tcMar>
            <w:vAlign w:val="center"/>
          </w:tcPr>
          <w:p>
            <w:pPr>
              <w:pStyle w:val="TableContents"/>
              <w:spacing w:before="0" w:after="283"/>
              <w:rPr/>
            </w:pPr>
            <w:r>
              <w:rPr/>
              <w:t> </w:t>
            </w:r>
          </w:p>
        </w:tc>
        <w:tc>
          <w:tcPr>
            <w:tcW w:w="4590" w:type="dxa"/>
            <w:gridSpan w:val="2"/>
            <w:tcBorders>
              <w:right w:val="single" w:sz="6" w:space="0" w:color="000000"/>
            </w:tcBorders>
            <w:shd w:fill="F7F7F2" w:val="clear"/>
            <w:tcMar>
              <w:right w:w="28" w:type="dxa"/>
            </w:tcMar>
            <w:vAlign w:val="center"/>
          </w:tcPr>
          <w:p>
            <w:pPr>
              <w:pStyle w:val="TableContents"/>
              <w:spacing w:before="0" w:after="283"/>
              <w:rPr/>
            </w:pPr>
            <w:r>
              <w:rPr/>
              <w:t> </w:t>
            </w:r>
          </w:p>
        </w:tc>
      </w:tr>
      <w:tr>
        <w:trPr/>
        <w:tc>
          <w:tcPr>
            <w:tcW w:w="5615" w:type="dxa"/>
            <w:tcBorders>
              <w:left w:val="single" w:sz="6" w:space="0" w:color="000000"/>
            </w:tcBorders>
            <w:shd w:fill="F7F7F2" w:val="clear"/>
            <w:tcMar>
              <w:left w:w="160" w:type="dxa"/>
            </w:tcMar>
            <w:vAlign w:val="center"/>
          </w:tcPr>
          <w:p>
            <w:pPr>
              <w:pStyle w:val="TableContents"/>
              <w:spacing w:before="0" w:after="0"/>
              <w:rPr/>
            </w:pPr>
            <w:r>
              <w:rPr/>
              <w:drawing>
                <wp:inline distT="0" distB="0" distL="0" distR="0">
                  <wp:extent cx="15240" cy="1460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15240" cy="14605"/>
                          </a:xfrm>
                          <a:prstGeom prst="rect">
                            <a:avLst/>
                          </a:prstGeom>
                        </pic:spPr>
                      </pic:pic>
                    </a:graphicData>
                  </a:graphic>
                </wp:inline>
              </w:drawing>
            </w:r>
            <w:r>
              <w:rPr/>
              <w:t xml:space="preserve">  </w:t>
            </w:r>
            <w:r>
              <w:rPr>
                <w:rFonts w:ascii="Times New Roman" w:hAnsi="Times New Roman"/>
                <w:sz w:val="20"/>
              </w:rPr>
              <w:t>Long-Term Performance Focus – Half of the annual long-term equity awards for our NEOs are tied to three-year financial goals (for 2022 awards, Total Shareholder Return Percentile Rank (CEO, CFO and then-Executive Chairman only); Consolidated Adjusted EBITDA Growth; and Same-Store Net Revenue Growth).</w:t>
            </w:r>
          </w:p>
        </w:tc>
        <w:tc>
          <w:tcPr>
            <w:tcW w:w="120" w:type="dxa"/>
            <w:tcBorders/>
            <w:shd w:fill="F7F7F2" w:val="clear"/>
            <w:vAlign w:val="center"/>
          </w:tcPr>
          <w:p>
            <w:pPr>
              <w:pStyle w:val="TableContents"/>
              <w:spacing w:before="0" w:after="283"/>
              <w:rPr/>
            </w:pPr>
            <w:r>
              <w:rPr/>
              <w:t>  </w:t>
            </w:r>
          </w:p>
        </w:tc>
        <w:tc>
          <w:tcPr>
            <w:tcW w:w="4470" w:type="dxa"/>
            <w:tcBorders>
              <w:right w:val="single" w:sz="6" w:space="0" w:color="000000"/>
            </w:tcBorders>
            <w:shd w:fill="F7F7F2" w:val="clear"/>
            <w:tcMar>
              <w:right w:w="40" w:type="dxa"/>
            </w:tcMar>
            <w:vAlign w:val="center"/>
          </w:tcPr>
          <w:p>
            <w:pPr>
              <w:pStyle w:val="TableContents"/>
              <w:spacing w:before="0" w:after="0"/>
              <w:rPr/>
            </w:pPr>
            <w:r>
              <w:rPr/>
              <w:drawing>
                <wp:inline distT="0" distB="0" distL="0" distR="0">
                  <wp:extent cx="14605" cy="1460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14605" cy="14605"/>
                          </a:xfrm>
                          <a:prstGeom prst="rect">
                            <a:avLst/>
                          </a:prstGeom>
                        </pic:spPr>
                      </pic:pic>
                    </a:graphicData>
                  </a:graphic>
                </wp:inline>
              </w:drawing>
            </w:r>
            <w:r>
              <w:rPr/>
              <w:t xml:space="preserve">    </w:t>
            </w:r>
            <w:r>
              <w:rPr>
                <w:rFonts w:ascii="Times New Roman" w:hAnsi="Times New Roman"/>
                <w:sz w:val="20"/>
              </w:rPr>
              <w:t>Guaranteed Annual Salary Increases or Bonuses – For our NEOs, annual salary increases are based on market competitiveness and other considerations, while annual cash incentives are tied to corporate and individual performance.</w:t>
            </w:r>
          </w:p>
        </w:tc>
      </w:tr>
      <w:tr>
        <w:trPr/>
        <w:tc>
          <w:tcPr>
            <w:tcW w:w="5615" w:type="dxa"/>
            <w:tcBorders>
              <w:left w:val="single" w:sz="6" w:space="0" w:color="000000"/>
            </w:tcBorders>
            <w:shd w:fill="F7F7F2" w:val="clear"/>
            <w:tcMar>
              <w:left w:w="160" w:type="dxa"/>
            </w:tcMar>
            <w:vAlign w:val="center"/>
          </w:tcPr>
          <w:p>
            <w:pPr>
              <w:pStyle w:val="TableContents"/>
              <w:spacing w:before="0" w:after="283"/>
              <w:rPr/>
            </w:pPr>
            <w:r>
              <w:rPr/>
              <w:t> </w:t>
            </w:r>
          </w:p>
        </w:tc>
        <w:tc>
          <w:tcPr>
            <w:tcW w:w="4590" w:type="dxa"/>
            <w:gridSpan w:val="2"/>
            <w:tcBorders>
              <w:right w:val="single" w:sz="6" w:space="0" w:color="000000"/>
            </w:tcBorders>
            <w:shd w:fill="F7F7F2" w:val="clear"/>
            <w:tcMar>
              <w:right w:w="28" w:type="dxa"/>
            </w:tcMar>
            <w:vAlign w:val="center"/>
          </w:tcPr>
          <w:p>
            <w:pPr>
              <w:pStyle w:val="TableContents"/>
              <w:spacing w:before="0" w:after="283"/>
              <w:rPr/>
            </w:pPr>
            <w:r>
              <w:rPr/>
              <w:t> </w:t>
            </w:r>
          </w:p>
        </w:tc>
      </w:tr>
      <w:tr>
        <w:trPr/>
        <w:tc>
          <w:tcPr>
            <w:tcW w:w="5615" w:type="dxa"/>
            <w:tcBorders>
              <w:left w:val="single" w:sz="6" w:space="0" w:color="000000"/>
            </w:tcBorders>
            <w:shd w:fill="F7F7F2" w:val="clear"/>
            <w:tcMar>
              <w:left w:w="160" w:type="dxa"/>
            </w:tcMar>
            <w:vAlign w:val="center"/>
          </w:tcPr>
          <w:p>
            <w:pPr>
              <w:pStyle w:val="TableContents"/>
              <w:spacing w:before="0" w:after="0"/>
              <w:rPr/>
            </w:pPr>
            <w:r>
              <w:rPr/>
              <w:drawing>
                <wp:inline distT="0" distB="0" distL="0" distR="0">
                  <wp:extent cx="15240" cy="1460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15240" cy="14605"/>
                          </a:xfrm>
                          <a:prstGeom prst="rect">
                            <a:avLst/>
                          </a:prstGeom>
                        </pic:spPr>
                      </pic:pic>
                    </a:graphicData>
                  </a:graphic>
                </wp:inline>
              </w:drawing>
            </w:r>
            <w:r>
              <w:rPr/>
              <w:t xml:space="preserve">  </w:t>
            </w:r>
            <w:r>
              <w:rPr>
                <w:rFonts w:ascii="Times New Roman" w:hAnsi="Times New Roman"/>
                <w:sz w:val="20"/>
              </w:rPr>
              <w:t>Equity Ownership Guidelines – All NEOs are subject to our equity ownership guidelines.</w:t>
            </w:r>
          </w:p>
        </w:tc>
        <w:tc>
          <w:tcPr>
            <w:tcW w:w="120" w:type="dxa"/>
            <w:tcBorders/>
            <w:shd w:fill="F7F7F2" w:val="clear"/>
            <w:vAlign w:val="center"/>
          </w:tcPr>
          <w:p>
            <w:pPr>
              <w:pStyle w:val="TableContents"/>
              <w:spacing w:before="0" w:after="283"/>
              <w:rPr/>
            </w:pPr>
            <w:r>
              <w:rPr/>
              <w:t>  </w:t>
            </w:r>
          </w:p>
        </w:tc>
        <w:tc>
          <w:tcPr>
            <w:tcW w:w="4470" w:type="dxa"/>
            <w:tcBorders>
              <w:right w:val="single" w:sz="6" w:space="0" w:color="000000"/>
            </w:tcBorders>
            <w:shd w:fill="F7F7F2" w:val="clear"/>
            <w:tcMar>
              <w:right w:w="40" w:type="dxa"/>
            </w:tcMar>
            <w:vAlign w:val="center"/>
          </w:tcPr>
          <w:p>
            <w:pPr>
              <w:pStyle w:val="TableContents"/>
              <w:spacing w:before="0" w:after="0"/>
              <w:rPr/>
            </w:pPr>
            <w:r>
              <w:rPr/>
              <w:drawing>
                <wp:inline distT="0" distB="0" distL="0" distR="0">
                  <wp:extent cx="14605" cy="1460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14605" cy="14605"/>
                          </a:xfrm>
                          <a:prstGeom prst="rect">
                            <a:avLst/>
                          </a:prstGeom>
                        </pic:spPr>
                      </pic:pic>
                    </a:graphicData>
                  </a:graphic>
                </wp:inline>
              </w:drawing>
            </w:r>
            <w:r>
              <w:rPr/>
              <w:t xml:space="preserve">    </w:t>
            </w:r>
            <w:r>
              <w:rPr>
                <w:rFonts w:ascii="Times New Roman" w:hAnsi="Times New Roman"/>
                <w:sz w:val="20"/>
              </w:rPr>
              <w:t>Excise Tax Gross-ups are not offered for any executive officers covered under the Company’s Change-in-Control Severance Agreements.</w:t>
            </w:r>
          </w:p>
        </w:tc>
      </w:tr>
      <w:tr>
        <w:trPr/>
        <w:tc>
          <w:tcPr>
            <w:tcW w:w="5615" w:type="dxa"/>
            <w:tcBorders>
              <w:left w:val="single" w:sz="6" w:space="0" w:color="000000"/>
            </w:tcBorders>
            <w:shd w:fill="F7F7F2" w:val="clear"/>
            <w:tcMar>
              <w:left w:w="160" w:type="dxa"/>
            </w:tcMar>
            <w:vAlign w:val="center"/>
          </w:tcPr>
          <w:p>
            <w:pPr>
              <w:pStyle w:val="TableContents"/>
              <w:spacing w:before="0" w:after="283"/>
              <w:rPr/>
            </w:pPr>
            <w:r>
              <w:rPr/>
              <w:t> </w:t>
            </w:r>
          </w:p>
        </w:tc>
        <w:tc>
          <w:tcPr>
            <w:tcW w:w="4590" w:type="dxa"/>
            <w:gridSpan w:val="2"/>
            <w:tcBorders>
              <w:right w:val="single" w:sz="6" w:space="0" w:color="000000"/>
            </w:tcBorders>
            <w:shd w:fill="F7F7F2" w:val="clear"/>
            <w:tcMar>
              <w:right w:w="28" w:type="dxa"/>
            </w:tcMar>
            <w:vAlign w:val="center"/>
          </w:tcPr>
          <w:p>
            <w:pPr>
              <w:pStyle w:val="TableContents"/>
              <w:spacing w:before="0" w:after="283"/>
              <w:rPr/>
            </w:pPr>
            <w:r>
              <w:rPr/>
              <w:t> </w:t>
            </w:r>
          </w:p>
        </w:tc>
      </w:tr>
      <w:tr>
        <w:trPr/>
        <w:tc>
          <w:tcPr>
            <w:tcW w:w="5615" w:type="dxa"/>
            <w:tcBorders>
              <w:left w:val="single" w:sz="6" w:space="0" w:color="000000"/>
            </w:tcBorders>
            <w:shd w:fill="F7F7F2" w:val="clear"/>
            <w:tcMar>
              <w:left w:w="160" w:type="dxa"/>
            </w:tcMar>
            <w:vAlign w:val="center"/>
          </w:tcPr>
          <w:p>
            <w:pPr>
              <w:pStyle w:val="TableContents"/>
              <w:spacing w:before="0" w:after="0"/>
              <w:rPr/>
            </w:pPr>
            <w:r>
              <w:rPr/>
              <w:drawing>
                <wp:inline distT="0" distB="0" distL="0" distR="0">
                  <wp:extent cx="15240" cy="1460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15240" cy="14605"/>
                          </a:xfrm>
                          <a:prstGeom prst="rect">
                            <a:avLst/>
                          </a:prstGeom>
                        </pic:spPr>
                      </pic:pic>
                    </a:graphicData>
                  </a:graphic>
                </wp:inline>
              </w:drawing>
            </w:r>
            <w:r>
              <w:rPr/>
              <w:t xml:space="preserve">  “</w:t>
            </w:r>
            <w:r>
              <w:rPr>
                <w:rFonts w:ascii="Times New Roman" w:hAnsi="Times New Roman"/>
                <w:sz w:val="20"/>
              </w:rPr>
              <w:t>Clawback” Provisions – Our policy provides for the adjustment or recovery of compensation in certain circumstances.</w:t>
            </w:r>
          </w:p>
        </w:tc>
        <w:tc>
          <w:tcPr>
            <w:tcW w:w="120" w:type="dxa"/>
            <w:tcBorders/>
            <w:shd w:fill="F7F7F2" w:val="clear"/>
            <w:vAlign w:val="center"/>
          </w:tcPr>
          <w:p>
            <w:pPr>
              <w:pStyle w:val="TableContents"/>
              <w:spacing w:before="0" w:after="283"/>
              <w:rPr/>
            </w:pPr>
            <w:r>
              <w:rPr/>
              <w:t>  </w:t>
            </w:r>
          </w:p>
        </w:tc>
        <w:tc>
          <w:tcPr>
            <w:tcW w:w="4470" w:type="dxa"/>
            <w:tcBorders>
              <w:right w:val="single" w:sz="6" w:space="0" w:color="000000"/>
            </w:tcBorders>
            <w:shd w:fill="F7F7F2" w:val="clear"/>
            <w:tcMar>
              <w:right w:w="40" w:type="dxa"/>
            </w:tcMar>
            <w:vAlign w:val="center"/>
          </w:tcPr>
          <w:p>
            <w:pPr>
              <w:pStyle w:val="TableContents"/>
              <w:spacing w:before="0" w:after="0"/>
              <w:rPr/>
            </w:pPr>
            <w:r>
              <w:rPr/>
              <w:drawing>
                <wp:inline distT="0" distB="0" distL="0" distR="0">
                  <wp:extent cx="14605" cy="1460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14605" cy="14605"/>
                          </a:xfrm>
                          <a:prstGeom prst="rect">
                            <a:avLst/>
                          </a:prstGeom>
                        </pic:spPr>
                      </pic:pic>
                    </a:graphicData>
                  </a:graphic>
                </wp:inline>
              </w:drawing>
            </w:r>
            <w:r>
              <w:rPr/>
              <w:t xml:space="preserve">    “</w:t>
            </w:r>
            <w:r>
              <w:rPr>
                <w:rFonts w:ascii="Times New Roman" w:hAnsi="Times New Roman"/>
                <w:sz w:val="20"/>
              </w:rPr>
              <w:t>Single-trigger” change-in-control cash severance payments – Company’s Plan documents prohibit “single-trigger” change-in-control cash severance payments.</w:t>
            </w:r>
          </w:p>
        </w:tc>
      </w:tr>
      <w:tr>
        <w:trPr/>
        <w:tc>
          <w:tcPr>
            <w:tcW w:w="5615" w:type="dxa"/>
            <w:tcBorders>
              <w:left w:val="single" w:sz="6" w:space="0" w:color="000000"/>
            </w:tcBorders>
            <w:shd w:fill="F7F7F2" w:val="clear"/>
            <w:tcMar>
              <w:left w:w="160" w:type="dxa"/>
            </w:tcMar>
            <w:vAlign w:val="center"/>
          </w:tcPr>
          <w:p>
            <w:pPr>
              <w:pStyle w:val="TableContents"/>
              <w:spacing w:before="0" w:after="283"/>
              <w:rPr/>
            </w:pPr>
            <w:r>
              <w:rPr/>
              <w:t> </w:t>
            </w:r>
          </w:p>
        </w:tc>
        <w:tc>
          <w:tcPr>
            <w:tcW w:w="4590" w:type="dxa"/>
            <w:gridSpan w:val="2"/>
            <w:tcBorders>
              <w:right w:val="single" w:sz="6" w:space="0" w:color="000000"/>
            </w:tcBorders>
            <w:shd w:fill="F7F7F2" w:val="clear"/>
            <w:tcMar>
              <w:right w:w="28" w:type="dxa"/>
            </w:tcMar>
            <w:vAlign w:val="center"/>
          </w:tcPr>
          <w:p>
            <w:pPr>
              <w:pStyle w:val="TableContents"/>
              <w:spacing w:before="0" w:after="283"/>
              <w:rPr/>
            </w:pPr>
            <w:r>
              <w:rPr/>
              <w:t> </w:t>
            </w:r>
          </w:p>
        </w:tc>
      </w:tr>
      <w:tr>
        <w:trPr/>
        <w:tc>
          <w:tcPr>
            <w:tcW w:w="5615" w:type="dxa"/>
            <w:tcBorders>
              <w:left w:val="single" w:sz="6" w:space="0" w:color="000000"/>
            </w:tcBorders>
            <w:shd w:fill="F7F7F2" w:val="clear"/>
            <w:tcMar>
              <w:left w:w="160" w:type="dxa"/>
            </w:tcMar>
            <w:vAlign w:val="center"/>
          </w:tcPr>
          <w:p>
            <w:pPr>
              <w:pStyle w:val="TableContents"/>
              <w:spacing w:before="0" w:after="0"/>
              <w:rPr/>
            </w:pPr>
            <w:r>
              <w:rPr/>
              <w:drawing>
                <wp:inline distT="0" distB="0" distL="0" distR="0">
                  <wp:extent cx="15240" cy="1460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15240" cy="14605"/>
                          </a:xfrm>
                          <a:prstGeom prst="rect">
                            <a:avLst/>
                          </a:prstGeom>
                        </pic:spPr>
                      </pic:pic>
                    </a:graphicData>
                  </a:graphic>
                </wp:inline>
              </w:drawing>
            </w:r>
            <w:r>
              <w:rPr/>
              <w:t xml:space="preserve">  </w:t>
            </w:r>
            <w:r>
              <w:rPr>
                <w:rFonts w:ascii="Times New Roman" w:hAnsi="Times New Roman"/>
                <w:sz w:val="20"/>
              </w:rPr>
              <w:t>Award Caps – All of our annual cash incentive compensation plans and our performance-based restricted stock awards have caps on plan formulas.</w:t>
            </w:r>
          </w:p>
        </w:tc>
        <w:tc>
          <w:tcPr>
            <w:tcW w:w="120" w:type="dxa"/>
            <w:tcBorders/>
            <w:shd w:fill="F7F7F2" w:val="clear"/>
            <w:vAlign w:val="center"/>
          </w:tcPr>
          <w:p>
            <w:pPr>
              <w:pStyle w:val="TableContents"/>
              <w:spacing w:before="0" w:after="283"/>
              <w:rPr/>
            </w:pPr>
            <w:r>
              <w:rPr/>
              <w:t>  </w:t>
            </w:r>
          </w:p>
        </w:tc>
        <w:tc>
          <w:tcPr>
            <w:tcW w:w="4470" w:type="dxa"/>
            <w:tcBorders>
              <w:right w:val="single" w:sz="6" w:space="0" w:color="000000"/>
            </w:tcBorders>
            <w:shd w:fill="F7F7F2" w:val="clear"/>
            <w:tcMar>
              <w:right w:w="40" w:type="dxa"/>
            </w:tcMar>
            <w:vAlign w:val="center"/>
          </w:tcPr>
          <w:p>
            <w:pPr>
              <w:pStyle w:val="TableContents"/>
              <w:spacing w:before="0" w:after="0"/>
              <w:rPr/>
            </w:pPr>
            <w:r>
              <w:rPr/>
              <w:drawing>
                <wp:inline distT="0" distB="0" distL="0" distR="0">
                  <wp:extent cx="14605" cy="1460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14605" cy="14605"/>
                          </a:xfrm>
                          <a:prstGeom prst="rect">
                            <a:avLst/>
                          </a:prstGeom>
                        </pic:spPr>
                      </pic:pic>
                    </a:graphicData>
                  </a:graphic>
                </wp:inline>
              </w:drawing>
            </w:r>
            <w:r>
              <w:rPr/>
              <w:t xml:space="preserve">    </w:t>
            </w:r>
            <w:r>
              <w:rPr>
                <w:rFonts w:ascii="Times New Roman" w:hAnsi="Times New Roman"/>
                <w:sz w:val="20"/>
              </w:rPr>
              <w:t>Pledging or Hedging – Company policy prohibits directors, executives, and certain other employees from pledging or hedging their stock in the Company.</w:t>
            </w:r>
          </w:p>
        </w:tc>
      </w:tr>
      <w:tr>
        <w:trPr/>
        <w:tc>
          <w:tcPr>
            <w:tcW w:w="5615" w:type="dxa"/>
            <w:tcBorders>
              <w:left w:val="single" w:sz="6" w:space="0" w:color="000000"/>
            </w:tcBorders>
            <w:shd w:fill="F7F7F2" w:val="clear"/>
            <w:tcMar>
              <w:left w:w="160" w:type="dxa"/>
            </w:tcMar>
            <w:vAlign w:val="center"/>
          </w:tcPr>
          <w:p>
            <w:pPr>
              <w:pStyle w:val="TableContents"/>
              <w:spacing w:before="0" w:after="283"/>
              <w:rPr/>
            </w:pPr>
            <w:r>
              <w:rPr/>
              <w:t> </w:t>
            </w:r>
          </w:p>
        </w:tc>
        <w:tc>
          <w:tcPr>
            <w:tcW w:w="4590" w:type="dxa"/>
            <w:gridSpan w:val="2"/>
            <w:tcBorders>
              <w:right w:val="single" w:sz="6" w:space="0" w:color="000000"/>
            </w:tcBorders>
            <w:shd w:fill="F7F7F2" w:val="clear"/>
            <w:tcMar>
              <w:right w:w="28" w:type="dxa"/>
            </w:tcMar>
            <w:vAlign w:val="center"/>
          </w:tcPr>
          <w:p>
            <w:pPr>
              <w:pStyle w:val="TableContents"/>
              <w:spacing w:before="0" w:after="283"/>
              <w:rPr/>
            </w:pPr>
            <w:r>
              <w:rPr/>
              <w:t> </w:t>
            </w:r>
          </w:p>
        </w:tc>
      </w:tr>
      <w:tr>
        <w:trPr/>
        <w:tc>
          <w:tcPr>
            <w:tcW w:w="5615" w:type="dxa"/>
            <w:tcBorders>
              <w:left w:val="single" w:sz="6" w:space="0" w:color="000000"/>
            </w:tcBorders>
            <w:shd w:fill="F7F7F2" w:val="clear"/>
            <w:tcMar>
              <w:left w:w="160" w:type="dxa"/>
            </w:tcMar>
            <w:vAlign w:val="center"/>
          </w:tcPr>
          <w:p>
            <w:pPr>
              <w:pStyle w:val="TableContents"/>
              <w:spacing w:before="0" w:after="0"/>
              <w:rPr/>
            </w:pPr>
            <w:r>
              <w:rPr/>
              <w:drawing>
                <wp:inline distT="0" distB="0" distL="0" distR="0">
                  <wp:extent cx="15240" cy="1460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15240" cy="14605"/>
                          </a:xfrm>
                          <a:prstGeom prst="rect">
                            <a:avLst/>
                          </a:prstGeom>
                        </pic:spPr>
                      </pic:pic>
                    </a:graphicData>
                  </a:graphic>
                </wp:inline>
              </w:drawing>
            </w:r>
            <w:r>
              <w:rPr/>
              <w:t xml:space="preserve">  </w:t>
            </w:r>
            <w:r>
              <w:rPr>
                <w:rFonts w:ascii="Times New Roman" w:hAnsi="Times New Roman"/>
                <w:sz w:val="20"/>
              </w:rPr>
              <w:t>Risk Assessment – The Compensation Committee regularly assesses the risk levels of the Company’s executive compensation program.</w:t>
            </w:r>
          </w:p>
        </w:tc>
        <w:tc>
          <w:tcPr>
            <w:tcW w:w="120" w:type="dxa"/>
            <w:tcBorders/>
            <w:shd w:fill="F7F7F2" w:val="clear"/>
            <w:vAlign w:val="center"/>
          </w:tcPr>
          <w:p>
            <w:pPr>
              <w:pStyle w:val="TableContents"/>
              <w:spacing w:before="0" w:after="283"/>
              <w:rPr/>
            </w:pPr>
            <w:r>
              <w:rPr/>
              <w:t>  </w:t>
            </w:r>
          </w:p>
        </w:tc>
        <w:tc>
          <w:tcPr>
            <w:tcW w:w="4470" w:type="dxa"/>
            <w:tcBorders>
              <w:right w:val="single" w:sz="6" w:space="0" w:color="000000"/>
            </w:tcBorders>
            <w:shd w:fill="F7F7F2" w:val="clear"/>
            <w:tcMar>
              <w:right w:w="40" w:type="dxa"/>
            </w:tcMar>
            <w:vAlign w:val="center"/>
          </w:tcPr>
          <w:p>
            <w:pPr>
              <w:pStyle w:val="TableContents"/>
              <w:spacing w:before="0" w:after="0"/>
              <w:rPr/>
            </w:pPr>
            <w:r>
              <w:rPr/>
              <w:drawing>
                <wp:inline distT="0" distB="0" distL="0" distR="0">
                  <wp:extent cx="14605" cy="1460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14605" cy="14605"/>
                          </a:xfrm>
                          <a:prstGeom prst="rect">
                            <a:avLst/>
                          </a:prstGeom>
                        </pic:spPr>
                      </pic:pic>
                    </a:graphicData>
                  </a:graphic>
                </wp:inline>
              </w:drawing>
            </w:r>
            <w:r>
              <w:rPr/>
              <w:t xml:space="preserve">    </w:t>
            </w:r>
            <w:r>
              <w:rPr>
                <w:rFonts w:ascii="Times New Roman" w:hAnsi="Times New Roman"/>
                <w:sz w:val="20"/>
              </w:rPr>
              <w:t>Repricing of underwater stock options – Company’s Plan documents prohibit any repricing.</w:t>
            </w:r>
          </w:p>
        </w:tc>
      </w:tr>
      <w:tr>
        <w:trPr/>
        <w:tc>
          <w:tcPr>
            <w:tcW w:w="5615" w:type="dxa"/>
            <w:tcBorders>
              <w:left w:val="single" w:sz="6" w:space="0" w:color="000000"/>
            </w:tcBorders>
            <w:shd w:fill="F7F7F2" w:val="clear"/>
            <w:tcMar>
              <w:left w:w="160" w:type="dxa"/>
            </w:tcMar>
            <w:vAlign w:val="center"/>
          </w:tcPr>
          <w:p>
            <w:pPr>
              <w:pStyle w:val="TableContents"/>
              <w:spacing w:before="0" w:after="283"/>
              <w:rPr/>
            </w:pPr>
            <w:r>
              <w:rPr/>
              <w:t> </w:t>
            </w:r>
          </w:p>
        </w:tc>
        <w:tc>
          <w:tcPr>
            <w:tcW w:w="4590" w:type="dxa"/>
            <w:gridSpan w:val="2"/>
            <w:tcBorders>
              <w:right w:val="single" w:sz="6" w:space="0" w:color="000000"/>
            </w:tcBorders>
            <w:shd w:fill="F7F7F2" w:val="clear"/>
            <w:tcMar>
              <w:right w:w="28" w:type="dxa"/>
            </w:tcMar>
            <w:vAlign w:val="center"/>
          </w:tcPr>
          <w:p>
            <w:pPr>
              <w:pStyle w:val="TableContents"/>
              <w:spacing w:before="0" w:after="283"/>
              <w:rPr/>
            </w:pPr>
            <w:r>
              <w:rPr/>
              <w:t> </w:t>
            </w:r>
          </w:p>
        </w:tc>
      </w:tr>
      <w:tr>
        <w:trPr/>
        <w:tc>
          <w:tcPr>
            <w:tcW w:w="5615" w:type="dxa"/>
            <w:tcBorders>
              <w:left w:val="single" w:sz="6" w:space="0" w:color="000000"/>
            </w:tcBorders>
            <w:shd w:fill="F7F7F2" w:val="clear"/>
            <w:tcMar>
              <w:left w:w="160" w:type="dxa"/>
            </w:tcMar>
            <w:vAlign w:val="center"/>
          </w:tcPr>
          <w:p>
            <w:pPr>
              <w:pStyle w:val="TableContents"/>
              <w:spacing w:before="0" w:after="0"/>
              <w:rPr/>
            </w:pPr>
            <w:r>
              <w:rPr/>
              <w:drawing>
                <wp:inline distT="0" distB="0" distL="0" distR="0">
                  <wp:extent cx="15240" cy="1460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15240" cy="14605"/>
                          </a:xfrm>
                          <a:prstGeom prst="rect">
                            <a:avLst/>
                          </a:prstGeom>
                        </pic:spPr>
                      </pic:pic>
                    </a:graphicData>
                  </a:graphic>
                </wp:inline>
              </w:drawing>
            </w:r>
            <w:r>
              <w:rPr/>
              <w:t xml:space="preserve">  </w:t>
            </w:r>
            <w:r>
              <w:rPr>
                <w:rFonts w:ascii="Times New Roman" w:hAnsi="Times New Roman"/>
                <w:sz w:val="20"/>
              </w:rPr>
              <w:t>Use a representative and relevant peer group.</w:t>
            </w:r>
          </w:p>
        </w:tc>
        <w:tc>
          <w:tcPr>
            <w:tcW w:w="120" w:type="dxa"/>
            <w:tcBorders/>
            <w:shd w:fill="F7F7F2" w:val="clear"/>
            <w:vAlign w:val="center"/>
          </w:tcPr>
          <w:p>
            <w:pPr>
              <w:pStyle w:val="TableContents"/>
              <w:spacing w:before="0" w:after="283"/>
              <w:rPr/>
            </w:pPr>
            <w:r>
              <w:rPr/>
              <w:t>  </w:t>
            </w:r>
          </w:p>
        </w:tc>
        <w:tc>
          <w:tcPr>
            <w:tcW w:w="4470" w:type="dxa"/>
            <w:tcBorders>
              <w:right w:val="single" w:sz="6" w:space="0" w:color="000000"/>
            </w:tcBorders>
            <w:shd w:fill="F7F7F2" w:val="clear"/>
            <w:tcMar>
              <w:right w:w="40" w:type="dxa"/>
            </w:tcMar>
            <w:vAlign w:val="center"/>
          </w:tcPr>
          <w:p>
            <w:pPr>
              <w:pStyle w:val="TableContents"/>
              <w:spacing w:before="0" w:after="283"/>
              <w:rPr/>
            </w:pPr>
            <w:r>
              <w:rPr/>
              <w:t> </w:t>
            </w:r>
          </w:p>
        </w:tc>
      </w:tr>
      <w:tr>
        <w:trPr/>
        <w:tc>
          <w:tcPr>
            <w:tcW w:w="5615" w:type="dxa"/>
            <w:tcBorders>
              <w:left w:val="single" w:sz="6" w:space="0" w:color="000000"/>
            </w:tcBorders>
            <w:shd w:fill="F7F7F2" w:val="clear"/>
            <w:tcMar>
              <w:left w:w="160" w:type="dxa"/>
            </w:tcMar>
            <w:vAlign w:val="center"/>
          </w:tcPr>
          <w:p>
            <w:pPr>
              <w:pStyle w:val="TableContents"/>
              <w:spacing w:before="0" w:after="283"/>
              <w:rPr/>
            </w:pPr>
            <w:r>
              <w:rPr/>
              <w:t> </w:t>
            </w:r>
          </w:p>
        </w:tc>
        <w:tc>
          <w:tcPr>
            <w:tcW w:w="4590" w:type="dxa"/>
            <w:gridSpan w:val="2"/>
            <w:tcBorders>
              <w:right w:val="single" w:sz="6" w:space="0" w:color="000000"/>
            </w:tcBorders>
            <w:shd w:fill="F7F7F2" w:val="clear"/>
            <w:tcMar>
              <w:right w:w="28" w:type="dxa"/>
            </w:tcMar>
            <w:vAlign w:val="center"/>
          </w:tcPr>
          <w:p>
            <w:pPr>
              <w:pStyle w:val="TableContents"/>
              <w:spacing w:before="0" w:after="283"/>
              <w:rPr/>
            </w:pPr>
            <w:r>
              <w:rPr/>
              <w:t> </w:t>
            </w:r>
          </w:p>
        </w:tc>
      </w:tr>
      <w:tr>
        <w:trPr/>
        <w:tc>
          <w:tcPr>
            <w:tcW w:w="5615" w:type="dxa"/>
            <w:tcBorders>
              <w:left w:val="single" w:sz="6" w:space="0" w:color="000000"/>
              <w:bottom w:val="single" w:sz="6" w:space="0" w:color="000000"/>
            </w:tcBorders>
            <w:shd w:fill="F7F7F2" w:val="clear"/>
            <w:tcMar>
              <w:left w:w="160" w:type="dxa"/>
              <w:bottom w:w="28" w:type="dxa"/>
            </w:tcMar>
            <w:vAlign w:val="center"/>
          </w:tcPr>
          <w:p>
            <w:pPr>
              <w:pStyle w:val="TableContents"/>
              <w:spacing w:before="0" w:after="0"/>
              <w:rPr/>
            </w:pPr>
            <w:r>
              <w:rPr/>
              <w:drawing>
                <wp:inline distT="0" distB="0" distL="0" distR="0">
                  <wp:extent cx="15240" cy="1460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15240" cy="14605"/>
                          </a:xfrm>
                          <a:prstGeom prst="rect">
                            <a:avLst/>
                          </a:prstGeom>
                        </pic:spPr>
                      </pic:pic>
                    </a:graphicData>
                  </a:graphic>
                </wp:inline>
              </w:drawing>
            </w:r>
            <w:r>
              <w:rPr/>
              <w:t xml:space="preserve">  </w:t>
            </w:r>
            <w:r>
              <w:rPr>
                <w:rFonts w:ascii="Times New Roman" w:hAnsi="Times New Roman"/>
                <w:sz w:val="20"/>
              </w:rPr>
              <w:t>Use an independent compensation consultant.</w:t>
            </w:r>
          </w:p>
        </w:tc>
        <w:tc>
          <w:tcPr>
            <w:tcW w:w="120" w:type="dxa"/>
            <w:tcBorders>
              <w:bottom w:val="single" w:sz="6" w:space="0" w:color="000000"/>
            </w:tcBorders>
            <w:shd w:fill="F7F7F2" w:val="clear"/>
            <w:tcMar>
              <w:bottom w:w="28" w:type="dxa"/>
            </w:tcMar>
            <w:vAlign w:val="center"/>
          </w:tcPr>
          <w:p>
            <w:pPr>
              <w:pStyle w:val="TableContents"/>
              <w:spacing w:before="0" w:after="283"/>
              <w:rPr/>
            </w:pPr>
            <w:r>
              <w:rPr/>
              <w:t>  </w:t>
            </w:r>
          </w:p>
        </w:tc>
        <w:tc>
          <w:tcPr>
            <w:tcW w:w="4470" w:type="dxa"/>
            <w:tcBorders>
              <w:bottom w:val="single" w:sz="6" w:space="0" w:color="000000"/>
              <w:right w:val="single" w:sz="6" w:space="0" w:color="000000"/>
            </w:tcBorders>
            <w:shd w:fill="F7F7F2" w:val="clear"/>
            <w:tcMar>
              <w:bottom w:w="28" w:type="dxa"/>
              <w:right w:w="40" w:type="dxa"/>
            </w:tcMar>
            <w:vAlign w:val="center"/>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rPr/>
      </w:pPr>
      <w:r>
        <w:rPr/>
      </w:r>
    </w:p>
    <w:tbl>
      <w:tblPr>
        <w:tblW w:w="1049" w:type="dxa"/>
        <w:jc w:val="left"/>
        <w:tblInd w:w="0" w:type="dxa"/>
        <w:tblCellMar>
          <w:top w:w="0" w:type="dxa"/>
          <w:left w:w="0" w:type="dxa"/>
          <w:bottom w:w="0" w:type="dxa"/>
          <w:right w:w="0" w:type="dxa"/>
        </w:tblCellMar>
      </w:tblPr>
      <w:tblGrid>
        <w:gridCol w:w="38"/>
        <w:gridCol w:w="60"/>
        <w:gridCol w:w="23"/>
        <w:gridCol w:w="60"/>
        <w:gridCol w:w="23"/>
        <w:gridCol w:w="60"/>
        <w:gridCol w:w="23"/>
        <w:gridCol w:w="60"/>
        <w:gridCol w:w="23"/>
        <w:gridCol w:w="60"/>
        <w:gridCol w:w="23"/>
        <w:gridCol w:w="60"/>
        <w:gridCol w:w="23"/>
        <w:gridCol w:w="60"/>
        <w:gridCol w:w="23"/>
        <w:gridCol w:w="60"/>
        <w:gridCol w:w="23"/>
        <w:gridCol w:w="60"/>
        <w:gridCol w:w="23"/>
        <w:gridCol w:w="60"/>
        <w:gridCol w:w="23"/>
        <w:gridCol w:w="60"/>
        <w:gridCol w:w="23"/>
        <w:gridCol w:w="60"/>
        <w:gridCol w:w="38"/>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E0DDCC" w:val="clear"/>
            <w:vAlign w:val="center"/>
          </w:tcPr>
          <w:p>
            <w:pPr>
              <w:pStyle w:val="TableContents"/>
              <w:spacing w:before="0" w:after="283"/>
              <w:rPr/>
            </w:pPr>
            <w:r>
              <w:rPr/>
              <w:t> </w:t>
            </w:r>
          </w:p>
        </w:tc>
        <w:tc>
          <w:tcPr>
            <w:tcW w:w="23" w:type="dxa"/>
            <w:tcBorders/>
            <w:shd w:fill="E0DDCC"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E0DDCC" w:val="clear"/>
            <w:vAlign w:val="center"/>
          </w:tcPr>
          <w:p>
            <w:pPr>
              <w:pStyle w:val="TableContents"/>
              <w:spacing w:before="0" w:after="283"/>
              <w:rPr/>
            </w:pPr>
            <w:r>
              <w:rPr/>
              <w:t> </w:t>
            </w:r>
          </w:p>
        </w:tc>
        <w:tc>
          <w:tcPr>
            <w:tcW w:w="23" w:type="dxa"/>
            <w:tcBorders/>
            <w:shd w:fill="E0DDCC"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E0DDCC" w:val="clear"/>
            <w:vAlign w:val="center"/>
          </w:tcPr>
          <w:p>
            <w:pPr>
              <w:pStyle w:val="TableContents"/>
              <w:spacing w:before="0" w:after="283"/>
              <w:rPr/>
            </w:pPr>
            <w:r>
              <w:rPr/>
              <w:t> </w:t>
            </w:r>
          </w:p>
        </w:tc>
        <w:tc>
          <w:tcPr>
            <w:tcW w:w="23" w:type="dxa"/>
            <w:tcBorders/>
            <w:shd w:fill="E0DDCC"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E0DDCC" w:val="clear"/>
            <w:vAlign w:val="center"/>
          </w:tcPr>
          <w:p>
            <w:pPr>
              <w:pStyle w:val="TableContents"/>
              <w:spacing w:before="0" w:after="283"/>
              <w:rPr/>
            </w:pPr>
            <w:r>
              <w:rPr/>
              <w:t> </w:t>
            </w:r>
          </w:p>
        </w:tc>
        <w:tc>
          <w:tcPr>
            <w:tcW w:w="23" w:type="dxa"/>
            <w:tcBorders/>
            <w:shd w:fill="E0DDCC"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E0DDCC" w:val="clear"/>
            <w:vAlign w:val="center"/>
          </w:tcPr>
          <w:p>
            <w:pPr>
              <w:pStyle w:val="TableContents"/>
              <w:spacing w:before="0" w:after="283"/>
              <w:rPr/>
            </w:pPr>
            <w:r>
              <w:rPr/>
              <w:t> </w:t>
            </w:r>
          </w:p>
        </w:tc>
        <w:tc>
          <w:tcPr>
            <w:tcW w:w="23" w:type="dxa"/>
            <w:tcBorders/>
            <w:shd w:fill="E0DDCC"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E0DDCC" w:val="clear"/>
            <w:vAlign w:val="center"/>
          </w:tcPr>
          <w:p>
            <w:pPr>
              <w:pStyle w:val="TableContents"/>
              <w:spacing w:before="0" w:after="283"/>
              <w:rPr/>
            </w:pPr>
            <w:r>
              <w:rPr/>
              <w:t> </w:t>
            </w:r>
          </w:p>
        </w:tc>
        <w:tc>
          <w:tcPr>
            <w:tcW w:w="23" w:type="dxa"/>
            <w:tcBorders/>
            <w:shd w:fill="E0DDCC"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left"/>
        <w:rPr/>
      </w:pPr>
      <w:r>
        <w:rPr/>
        <w:t> </w:t>
      </w:r>
    </w:p>
    <w:p>
      <w:pPr>
        <w:pStyle w:val="TextBody"/>
        <w:pBdr>
          <w:bottom w:val="single" w:sz="8" w:space="1" w:color="000000"/>
        </w:pBdr>
        <w:spacing w:lineRule="atLeast" w:line="141" w:before="0" w:after="40"/>
        <w:jc w:val="left"/>
        <w:rPr/>
      </w:pPr>
      <w:r>
        <w:rPr/>
        <w:t> </w:t>
      </w:r>
    </w:p>
    <w:p>
      <w:pPr>
        <w:pStyle w:val="TextBody"/>
        <w:spacing w:before="0" w:after="0"/>
        <w:jc w:val="left"/>
        <w:rPr/>
      </w:pPr>
      <w:r>
        <w:rPr/>
        <w:t> </w:t>
      </w:r>
    </w:p>
    <w:p>
      <w:pPr>
        <w:pStyle w:val="TextBody"/>
        <w:spacing w:before="0" w:after="0"/>
        <w:jc w:val="left"/>
        <w:rPr>
          <w:rFonts w:ascii="ARIAL" w:hAnsi="ARIAL"/>
          <w:color w:val="02197A"/>
          <w:sz w:val="30"/>
        </w:rPr>
      </w:pPr>
      <w:r>
        <w:rPr>
          <w:rFonts w:ascii="ARIAL" w:hAnsi="ARIAL"/>
          <w:color w:val="02197A"/>
          <w:sz w:val="30"/>
        </w:rPr>
        <w:t xml:space="preserve">2022 COMPENSATION PROGRAM </w:t>
      </w:r>
    </w:p>
    <w:p>
      <w:pPr>
        <w:pStyle w:val="TextBody"/>
        <w:spacing w:before="120" w:after="0"/>
        <w:jc w:val="left"/>
        <w:rPr>
          <w:rFonts w:ascii="Times New Roman" w:hAnsi="Times New Roman"/>
          <w:sz w:val="20"/>
        </w:rPr>
      </w:pPr>
      <w:r>
        <w:rPr>
          <w:rFonts w:ascii="Times New Roman" w:hAnsi="Times New Roman"/>
          <w:sz w:val="20"/>
        </w:rPr>
        <w:t xml:space="preserve">The Company’s executive compensation philosophy is to develop and utilize a combination of compensation elements that reward current period performance, continued service, and attainment of future goals, and is designed to encourage the retention of executive talent. The key elements of executive compensation are linked either directly or indirectly to enhancing stockholder value. Attainment of annual incentive compensation requires achievement of challenging goals and incentive compensation for above-target performance is capped. The Company continues to develop its compensation policies, programs, and disclosures to provide transparency and accountability to all of its stakeholders.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268"/>
        <w:gridCol w:w="60"/>
        <w:gridCol w:w="2467"/>
        <w:gridCol w:w="60"/>
        <w:gridCol w:w="5350"/>
      </w:tblGrid>
      <w:tr>
        <w:trPr/>
        <w:tc>
          <w:tcPr>
            <w:tcW w:w="226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6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350" w:type="dxa"/>
            <w:tcBorders/>
            <w:shd w:fill="auto" w:val="clear"/>
            <w:vAlign w:val="center"/>
          </w:tcPr>
          <w:p>
            <w:pPr>
              <w:pStyle w:val="TableContents"/>
              <w:spacing w:before="0" w:after="283"/>
              <w:rPr>
                <w:sz w:val="4"/>
                <w:szCs w:val="4"/>
              </w:rPr>
            </w:pPr>
            <w:r>
              <w:rPr>
                <w:sz w:val="4"/>
                <w:szCs w:val="4"/>
              </w:rPr>
            </w:r>
          </w:p>
        </w:tc>
      </w:tr>
      <w:tr>
        <w:trPr/>
        <w:tc>
          <w:tcPr>
            <w:tcW w:w="2268" w:type="dxa"/>
            <w:tcBorders>
              <w:top w:val="single" w:sz="6" w:space="0" w:color="000000"/>
              <w:left w:val="single" w:sz="6" w:space="0" w:color="000000"/>
            </w:tcBorders>
            <w:shd w:fill="02197A" w:val="clear"/>
            <w:tcMar>
              <w:top w:w="28" w:type="dxa"/>
              <w:left w:w="160" w:type="dxa"/>
            </w:tcMar>
            <w:vAlign w:val="center"/>
          </w:tcPr>
          <w:p>
            <w:pPr>
              <w:pStyle w:val="TableContents"/>
              <w:spacing w:lineRule="atLeast" w:line="280" w:before="0" w:after="0"/>
              <w:rPr>
                <w:rFonts w:ascii="ARIAL" w:hAnsi="ARIAL"/>
                <w:b/>
                <w:color w:val="FFFFFF"/>
                <w:sz w:val="16"/>
              </w:rPr>
            </w:pPr>
            <w:r>
              <w:rPr>
                <w:rFonts w:ascii="ARIAL" w:hAnsi="ARIAL"/>
                <w:b/>
                <w:color w:val="FFFFFF"/>
                <w:sz w:val="16"/>
              </w:rPr>
              <w:t>ELEMENT</w:t>
            </w:r>
          </w:p>
        </w:tc>
        <w:tc>
          <w:tcPr>
            <w:tcW w:w="60" w:type="dxa"/>
            <w:tcBorders>
              <w:top w:val="single" w:sz="6" w:space="0" w:color="000000"/>
            </w:tcBorders>
            <w:shd w:fill="02197A" w:val="clear"/>
            <w:tcMar>
              <w:top w:w="28" w:type="dxa"/>
            </w:tcMar>
            <w:vAlign w:val="center"/>
          </w:tcPr>
          <w:p>
            <w:pPr>
              <w:pStyle w:val="TableContents"/>
              <w:spacing w:before="0" w:after="283"/>
              <w:rPr/>
            </w:pPr>
            <w:r>
              <w:rPr/>
              <w:t> </w:t>
            </w:r>
          </w:p>
        </w:tc>
        <w:tc>
          <w:tcPr>
            <w:tcW w:w="2467" w:type="dxa"/>
            <w:tcBorders>
              <w:top w:val="single" w:sz="6" w:space="0" w:color="000000"/>
            </w:tcBorders>
            <w:shd w:fill="02197A" w:val="clear"/>
            <w:tcMar>
              <w:top w:w="28" w:type="dxa"/>
            </w:tcMar>
            <w:vAlign w:val="center"/>
          </w:tcPr>
          <w:p>
            <w:pPr>
              <w:pStyle w:val="TableContents"/>
              <w:spacing w:lineRule="atLeast" w:line="280" w:before="0" w:after="0"/>
              <w:rPr>
                <w:rFonts w:ascii="ARIAL" w:hAnsi="ARIAL"/>
                <w:b/>
                <w:color w:val="FFFFFF"/>
                <w:sz w:val="16"/>
              </w:rPr>
            </w:pPr>
            <w:r>
              <w:rPr>
                <w:rFonts w:ascii="ARIAL" w:hAnsi="ARIAL"/>
                <w:b/>
                <w:color w:val="FFFFFF"/>
                <w:sz w:val="16"/>
              </w:rPr>
              <w:t>PURPOSE</w:t>
            </w:r>
          </w:p>
        </w:tc>
        <w:tc>
          <w:tcPr>
            <w:tcW w:w="60" w:type="dxa"/>
            <w:tcBorders>
              <w:top w:val="single" w:sz="6" w:space="0" w:color="000000"/>
            </w:tcBorders>
            <w:shd w:fill="02197A" w:val="clear"/>
            <w:tcMar>
              <w:top w:w="28" w:type="dxa"/>
            </w:tcMar>
            <w:vAlign w:val="center"/>
          </w:tcPr>
          <w:p>
            <w:pPr>
              <w:pStyle w:val="TableContents"/>
              <w:spacing w:before="0" w:after="283"/>
              <w:rPr/>
            </w:pPr>
            <w:r>
              <w:rPr/>
              <w:t> </w:t>
            </w:r>
          </w:p>
        </w:tc>
        <w:tc>
          <w:tcPr>
            <w:tcW w:w="5350" w:type="dxa"/>
            <w:tcBorders>
              <w:top w:val="single" w:sz="6" w:space="0" w:color="000000"/>
              <w:right w:val="single" w:sz="6" w:space="0" w:color="000000"/>
            </w:tcBorders>
            <w:shd w:fill="02197A" w:val="clear"/>
            <w:tcMar>
              <w:top w:w="28" w:type="dxa"/>
              <w:right w:w="40" w:type="dxa"/>
            </w:tcMar>
            <w:vAlign w:val="center"/>
          </w:tcPr>
          <w:p>
            <w:pPr>
              <w:pStyle w:val="TableContents"/>
              <w:spacing w:lineRule="atLeast" w:line="280" w:before="0" w:after="0"/>
              <w:rPr>
                <w:rFonts w:ascii="ARIAL" w:hAnsi="ARIAL"/>
                <w:b/>
                <w:color w:val="FFFFFF"/>
                <w:sz w:val="16"/>
              </w:rPr>
            </w:pPr>
            <w:r>
              <w:rPr>
                <w:rFonts w:ascii="ARIAL" w:hAnsi="ARIAL"/>
                <w:b/>
                <w:color w:val="FFFFFF"/>
                <w:sz w:val="16"/>
              </w:rPr>
              <w:t>KEY CHARACTERISTICS</w:t>
            </w:r>
          </w:p>
        </w:tc>
      </w:tr>
      <w:tr>
        <w:trPr/>
        <w:tc>
          <w:tcPr>
            <w:tcW w:w="2268" w:type="dxa"/>
            <w:tcBorders>
              <w:left w:val="single" w:sz="6" w:space="0" w:color="000000"/>
            </w:tcBorders>
            <w:shd w:fill="auto" w:val="clear"/>
            <w:tcMar>
              <w:left w:w="160" w:type="dxa"/>
            </w:tcMar>
            <w:vAlign w:val="center"/>
          </w:tcPr>
          <w:p>
            <w:pPr>
              <w:pStyle w:val="TableContents"/>
              <w:spacing w:before="0" w:after="283"/>
              <w:rPr/>
            </w:pPr>
            <w:r>
              <w:rPr/>
              <w:t> </w:t>
            </w:r>
          </w:p>
        </w:tc>
        <w:tc>
          <w:tcPr>
            <w:tcW w:w="2527" w:type="dxa"/>
            <w:gridSpan w:val="2"/>
            <w:tcBorders>
              <w:left w:val="dotted" w:sz="6" w:space="0" w:color="000000"/>
            </w:tcBorders>
            <w:shd w:fill="auto" w:val="clear"/>
            <w:tcMar>
              <w:left w:w="28" w:type="dxa"/>
            </w:tcMar>
            <w:vAlign w:val="center"/>
          </w:tcPr>
          <w:p>
            <w:pPr>
              <w:pStyle w:val="TableContents"/>
              <w:spacing w:before="0" w:after="283"/>
              <w:rPr/>
            </w:pPr>
            <w:r>
              <w:rPr/>
              <w:t> </w:t>
            </w:r>
          </w:p>
        </w:tc>
        <w:tc>
          <w:tcPr>
            <w:tcW w:w="5410" w:type="dxa"/>
            <w:gridSpan w:val="2"/>
            <w:tcBorders>
              <w:left w:val="dotted" w:sz="6" w:space="0" w:color="000000"/>
              <w:right w:val="single" w:sz="6" w:space="0" w:color="000000"/>
            </w:tcBorders>
            <w:shd w:fill="auto" w:val="clear"/>
            <w:tcMar>
              <w:left w:w="28" w:type="dxa"/>
              <w:right w:w="28" w:type="dxa"/>
            </w:tcMar>
            <w:vAlign w:val="center"/>
          </w:tcPr>
          <w:p>
            <w:pPr>
              <w:pStyle w:val="TableContents"/>
              <w:spacing w:before="0" w:after="283"/>
              <w:rPr/>
            </w:pPr>
            <w:r>
              <w:rPr/>
              <w:t> </w:t>
            </w:r>
          </w:p>
        </w:tc>
      </w:tr>
      <w:tr>
        <w:trPr/>
        <w:tc>
          <w:tcPr>
            <w:tcW w:w="2268" w:type="dxa"/>
            <w:tcBorders>
              <w:left w:val="single" w:sz="6" w:space="0" w:color="000000"/>
              <w:bottom w:val="single" w:sz="6" w:space="0" w:color="595959"/>
            </w:tcBorders>
            <w:shd w:fill="auto" w:val="clear"/>
            <w:tcMar>
              <w:left w:w="160" w:type="dxa"/>
              <w:bottom w:w="80" w:type="dxa"/>
            </w:tcMar>
            <w:vAlign w:val="center"/>
          </w:tcPr>
          <w:p>
            <w:pPr>
              <w:pStyle w:val="TableContents"/>
              <w:spacing w:before="0" w:after="283"/>
              <w:rPr>
                <w:b/>
              </w:rPr>
            </w:pPr>
            <w:r>
              <w:rPr>
                <w:b/>
              </w:rPr>
              <w:t>BASE SALARY</w:t>
            </w:r>
          </w:p>
        </w:tc>
        <w:tc>
          <w:tcPr>
            <w:tcW w:w="60" w:type="dxa"/>
            <w:tcBorders>
              <w:left w:val="dotted" w:sz="6" w:space="0" w:color="000000"/>
              <w:bottom w:val="single" w:sz="6" w:space="0" w:color="595959"/>
            </w:tcBorders>
            <w:shd w:fill="auto" w:val="clear"/>
            <w:tcMar>
              <w:left w:w="28" w:type="dxa"/>
              <w:bottom w:w="28" w:type="dxa"/>
            </w:tcMar>
            <w:vAlign w:val="center"/>
          </w:tcPr>
          <w:p>
            <w:pPr>
              <w:pStyle w:val="TableContents"/>
              <w:spacing w:before="0" w:after="283"/>
              <w:rPr/>
            </w:pPr>
            <w:r>
              <w:rPr/>
              <w:t> </w:t>
            </w:r>
          </w:p>
        </w:tc>
        <w:tc>
          <w:tcPr>
            <w:tcW w:w="2467" w:type="dxa"/>
            <w:tcBorders>
              <w:bottom w:val="single" w:sz="6" w:space="0" w:color="595959"/>
            </w:tcBorders>
            <w:shd w:fill="auto" w:val="clear"/>
            <w:tcMar>
              <w:bottom w:w="80" w:type="dxa"/>
            </w:tcMar>
            <w:vAlign w:val="center"/>
          </w:tcPr>
          <w:p>
            <w:pPr>
              <w:pStyle w:val="TableContents"/>
              <w:spacing w:before="0" w:after="283"/>
              <w:rPr/>
            </w:pPr>
            <w:r>
              <w:rPr/>
              <w:t>Reflects responsibility, leadership, tenure, qualifications and contribution to the Company and the competitive marketplace for our industry.</w:t>
            </w:r>
          </w:p>
        </w:tc>
        <w:tc>
          <w:tcPr>
            <w:tcW w:w="60" w:type="dxa"/>
            <w:tcBorders>
              <w:left w:val="dotted" w:sz="6" w:space="0" w:color="000000"/>
              <w:bottom w:val="single" w:sz="6" w:space="0" w:color="595959"/>
            </w:tcBorders>
            <w:shd w:fill="auto" w:val="clear"/>
            <w:tcMar>
              <w:left w:w="28" w:type="dxa"/>
              <w:bottom w:w="28" w:type="dxa"/>
            </w:tcMar>
            <w:vAlign w:val="center"/>
          </w:tcPr>
          <w:p>
            <w:pPr>
              <w:pStyle w:val="TableContents"/>
              <w:spacing w:before="0" w:after="283"/>
              <w:rPr/>
            </w:pPr>
            <w:r>
              <w:rPr/>
              <w:t> </w:t>
            </w:r>
          </w:p>
        </w:tc>
        <w:tc>
          <w:tcPr>
            <w:tcW w:w="5350" w:type="dxa"/>
            <w:tcBorders>
              <w:bottom w:val="single" w:sz="6" w:space="0" w:color="595959"/>
              <w:right w:val="single" w:sz="6" w:space="0" w:color="000000"/>
            </w:tcBorders>
            <w:shd w:fill="auto" w:val="clear"/>
            <w:tcMar>
              <w:bottom w:w="80" w:type="dxa"/>
              <w:right w:w="40" w:type="dxa"/>
            </w:tcMar>
            <w:vAlign w:val="center"/>
          </w:tcPr>
          <w:p>
            <w:pPr>
              <w:pStyle w:val="TableContents"/>
              <w:spacing w:before="0" w:after="283"/>
              <w:rPr/>
            </w:pPr>
            <w:r>
              <w:rPr/>
              <w:t>Fixed compensation that is reviewed annually and adjusted if and when appropriate.</w:t>
            </w:r>
          </w:p>
        </w:tc>
      </w:tr>
      <w:tr>
        <w:trPr/>
        <w:tc>
          <w:tcPr>
            <w:tcW w:w="2268" w:type="dxa"/>
            <w:tcBorders>
              <w:left w:val="single" w:sz="6" w:space="0" w:color="000000"/>
            </w:tcBorders>
            <w:shd w:fill="F7F7F2" w:val="clear"/>
            <w:tcMar>
              <w:left w:w="160" w:type="dxa"/>
            </w:tcMar>
            <w:vAlign w:val="center"/>
          </w:tcPr>
          <w:p>
            <w:pPr>
              <w:pStyle w:val="TableContents"/>
              <w:spacing w:before="0" w:after="283"/>
              <w:rPr/>
            </w:pPr>
            <w:r>
              <w:rPr/>
              <w:t> </w:t>
            </w:r>
          </w:p>
        </w:tc>
        <w:tc>
          <w:tcPr>
            <w:tcW w:w="2527" w:type="dxa"/>
            <w:gridSpan w:val="2"/>
            <w:tcBorders>
              <w:left w:val="dotted" w:sz="6" w:space="0" w:color="000000"/>
            </w:tcBorders>
            <w:shd w:fill="F7F7F2" w:val="clear"/>
            <w:tcMar>
              <w:left w:w="28" w:type="dxa"/>
            </w:tcMar>
            <w:vAlign w:val="center"/>
          </w:tcPr>
          <w:p>
            <w:pPr>
              <w:pStyle w:val="TableContents"/>
              <w:spacing w:before="0" w:after="283"/>
              <w:rPr/>
            </w:pPr>
            <w:r>
              <w:rPr/>
              <w:t> </w:t>
            </w:r>
          </w:p>
        </w:tc>
        <w:tc>
          <w:tcPr>
            <w:tcW w:w="5410" w:type="dxa"/>
            <w:gridSpan w:val="2"/>
            <w:tcBorders>
              <w:left w:val="dotted" w:sz="6" w:space="0" w:color="000000"/>
              <w:right w:val="single" w:sz="6" w:space="0" w:color="000000"/>
            </w:tcBorders>
            <w:shd w:fill="F7F7F2" w:val="clear"/>
            <w:tcMar>
              <w:left w:w="28" w:type="dxa"/>
              <w:right w:w="28" w:type="dxa"/>
            </w:tcMar>
            <w:vAlign w:val="center"/>
          </w:tcPr>
          <w:p>
            <w:pPr>
              <w:pStyle w:val="TableContents"/>
              <w:spacing w:before="0" w:after="283"/>
              <w:rPr/>
            </w:pPr>
            <w:r>
              <w:rPr/>
              <w:t> </w:t>
            </w:r>
          </w:p>
        </w:tc>
      </w:tr>
      <w:tr>
        <w:trPr/>
        <w:tc>
          <w:tcPr>
            <w:tcW w:w="2268" w:type="dxa"/>
            <w:tcBorders>
              <w:left w:val="single" w:sz="6" w:space="0" w:color="000000"/>
              <w:bottom w:val="single" w:sz="6" w:space="0" w:color="595959"/>
            </w:tcBorders>
            <w:shd w:fill="F7F7F2" w:val="clear"/>
            <w:tcMar>
              <w:left w:w="160" w:type="dxa"/>
              <w:bottom w:w="80" w:type="dxa"/>
            </w:tcMar>
            <w:vAlign w:val="center"/>
          </w:tcPr>
          <w:p>
            <w:pPr>
              <w:pStyle w:val="TableContents"/>
              <w:spacing w:before="0" w:after="283"/>
              <w:rPr>
                <w:b/>
              </w:rPr>
            </w:pPr>
            <w:r>
              <w:rPr>
                <w:b/>
              </w:rPr>
              <w:t>EMPLOYEE PERFORMANCE INCENTIVE PLAN</w:t>
            </w:r>
          </w:p>
        </w:tc>
        <w:tc>
          <w:tcPr>
            <w:tcW w:w="60" w:type="dxa"/>
            <w:tcBorders>
              <w:left w:val="dotted" w:sz="6" w:space="0" w:color="000000"/>
              <w:bottom w:val="single" w:sz="6" w:space="0" w:color="595959"/>
            </w:tcBorders>
            <w:shd w:fill="F7F7F2" w:val="clear"/>
            <w:tcMar>
              <w:left w:w="28" w:type="dxa"/>
              <w:bottom w:w="28" w:type="dxa"/>
            </w:tcMar>
            <w:vAlign w:val="center"/>
          </w:tcPr>
          <w:p>
            <w:pPr>
              <w:pStyle w:val="TableContents"/>
              <w:spacing w:before="0" w:after="283"/>
              <w:rPr/>
            </w:pPr>
            <w:r>
              <w:rPr/>
              <w:t> </w:t>
            </w:r>
          </w:p>
        </w:tc>
        <w:tc>
          <w:tcPr>
            <w:tcW w:w="2467" w:type="dxa"/>
            <w:tcBorders>
              <w:bottom w:val="single" w:sz="6" w:space="0" w:color="595959"/>
            </w:tcBorders>
            <w:shd w:fill="F7F7F2" w:val="clear"/>
            <w:tcMar>
              <w:bottom w:w="80" w:type="dxa"/>
            </w:tcMar>
            <w:vAlign w:val="center"/>
          </w:tcPr>
          <w:p>
            <w:pPr>
              <w:pStyle w:val="TableContents"/>
              <w:spacing w:before="0" w:after="283"/>
              <w:rPr/>
            </w:pPr>
            <w:r>
              <w:rPr/>
              <w:t>Motivates executives to achieve our short-term business objectives that drive long-term benefit.</w:t>
            </w:r>
          </w:p>
        </w:tc>
        <w:tc>
          <w:tcPr>
            <w:tcW w:w="60" w:type="dxa"/>
            <w:tcBorders>
              <w:left w:val="dotted" w:sz="6" w:space="0" w:color="000000"/>
              <w:bottom w:val="single" w:sz="6" w:space="0" w:color="595959"/>
            </w:tcBorders>
            <w:shd w:fill="F7F7F2" w:val="clear"/>
            <w:tcMar>
              <w:left w:w="28" w:type="dxa"/>
              <w:bottom w:w="28" w:type="dxa"/>
            </w:tcMar>
            <w:vAlign w:val="center"/>
          </w:tcPr>
          <w:p>
            <w:pPr>
              <w:pStyle w:val="TableContents"/>
              <w:spacing w:before="0" w:after="283"/>
              <w:rPr/>
            </w:pPr>
            <w:r>
              <w:rPr/>
              <w:t> </w:t>
            </w:r>
          </w:p>
        </w:tc>
        <w:tc>
          <w:tcPr>
            <w:tcW w:w="5350" w:type="dxa"/>
            <w:tcBorders>
              <w:bottom w:val="single" w:sz="6" w:space="0" w:color="595959"/>
              <w:right w:val="single" w:sz="6" w:space="0" w:color="000000"/>
            </w:tcBorders>
            <w:shd w:fill="F7F7F2" w:val="clear"/>
            <w:tcMar>
              <w:bottom w:w="80" w:type="dxa"/>
              <w:right w:w="40" w:type="dxa"/>
            </w:tcMar>
            <w:vAlign w:val="center"/>
          </w:tcPr>
          <w:p>
            <w:pPr>
              <w:pStyle w:val="TableContents"/>
              <w:spacing w:before="0" w:after="283"/>
              <w:rPr/>
            </w:pPr>
            <w:r>
              <w:rPr/>
              <w:t>“</w:t>
            </w:r>
            <w:r>
              <w:rPr/>
              <w:t>At Risk” annual cash awards based on performance compared to multiple pre-established short-term financial goals and non-financial strategic and operational performance improvement goals.</w:t>
            </w:r>
          </w:p>
        </w:tc>
      </w:tr>
      <w:tr>
        <w:trPr/>
        <w:tc>
          <w:tcPr>
            <w:tcW w:w="2268" w:type="dxa"/>
            <w:tcBorders>
              <w:left w:val="single" w:sz="6" w:space="0" w:color="000000"/>
            </w:tcBorders>
            <w:shd w:fill="auto" w:val="clear"/>
            <w:tcMar>
              <w:left w:w="160" w:type="dxa"/>
            </w:tcMar>
            <w:vAlign w:val="center"/>
          </w:tcPr>
          <w:p>
            <w:pPr>
              <w:pStyle w:val="TableContents"/>
              <w:spacing w:before="0" w:after="283"/>
              <w:rPr/>
            </w:pPr>
            <w:r>
              <w:rPr/>
              <w:t> </w:t>
            </w:r>
          </w:p>
        </w:tc>
        <w:tc>
          <w:tcPr>
            <w:tcW w:w="2527" w:type="dxa"/>
            <w:gridSpan w:val="2"/>
            <w:tcBorders>
              <w:left w:val="dotted" w:sz="6" w:space="0" w:color="000000"/>
            </w:tcBorders>
            <w:shd w:fill="auto" w:val="clear"/>
            <w:tcMar>
              <w:left w:w="28" w:type="dxa"/>
            </w:tcMar>
            <w:vAlign w:val="center"/>
          </w:tcPr>
          <w:p>
            <w:pPr>
              <w:pStyle w:val="TableContents"/>
              <w:spacing w:before="0" w:after="283"/>
              <w:rPr/>
            </w:pPr>
            <w:r>
              <w:rPr/>
              <w:t> </w:t>
            </w:r>
          </w:p>
        </w:tc>
        <w:tc>
          <w:tcPr>
            <w:tcW w:w="5410" w:type="dxa"/>
            <w:gridSpan w:val="2"/>
            <w:tcBorders>
              <w:left w:val="dotted" w:sz="6" w:space="0" w:color="000000"/>
              <w:right w:val="single" w:sz="6" w:space="0" w:color="000000"/>
            </w:tcBorders>
            <w:shd w:fill="auto" w:val="clear"/>
            <w:tcMar>
              <w:left w:w="28" w:type="dxa"/>
              <w:right w:w="28" w:type="dxa"/>
            </w:tcMar>
            <w:vAlign w:val="center"/>
          </w:tcPr>
          <w:p>
            <w:pPr>
              <w:pStyle w:val="TableContents"/>
              <w:spacing w:before="0" w:after="283"/>
              <w:rPr/>
            </w:pPr>
            <w:r>
              <w:rPr/>
              <w:t> </w:t>
            </w:r>
          </w:p>
        </w:tc>
      </w:tr>
      <w:tr>
        <w:trPr/>
        <w:tc>
          <w:tcPr>
            <w:tcW w:w="2268" w:type="dxa"/>
            <w:tcBorders>
              <w:left w:val="single" w:sz="6" w:space="0" w:color="000000"/>
              <w:bottom w:val="single" w:sz="6" w:space="0" w:color="595959"/>
            </w:tcBorders>
            <w:shd w:fill="auto" w:val="clear"/>
            <w:tcMar>
              <w:left w:w="160" w:type="dxa"/>
              <w:bottom w:w="80" w:type="dxa"/>
            </w:tcMar>
            <w:vAlign w:val="center"/>
          </w:tcPr>
          <w:p>
            <w:pPr>
              <w:pStyle w:val="TableContents"/>
              <w:spacing w:before="0" w:after="283"/>
              <w:rPr>
                <w:b/>
              </w:rPr>
            </w:pPr>
            <w:r>
              <w:rPr>
                <w:b/>
              </w:rPr>
              <w:t>LONG-TERM INCENTIVE AWARDS</w:t>
            </w:r>
          </w:p>
        </w:tc>
        <w:tc>
          <w:tcPr>
            <w:tcW w:w="60" w:type="dxa"/>
            <w:tcBorders>
              <w:left w:val="dotted" w:sz="6" w:space="0" w:color="000000"/>
              <w:bottom w:val="single" w:sz="6" w:space="0" w:color="595959"/>
            </w:tcBorders>
            <w:shd w:fill="auto" w:val="clear"/>
            <w:tcMar>
              <w:left w:w="28" w:type="dxa"/>
              <w:bottom w:w="28" w:type="dxa"/>
            </w:tcMar>
            <w:vAlign w:val="center"/>
          </w:tcPr>
          <w:p>
            <w:pPr>
              <w:pStyle w:val="TableContents"/>
              <w:spacing w:before="0" w:after="283"/>
              <w:rPr/>
            </w:pPr>
            <w:r>
              <w:rPr/>
              <w:t> </w:t>
            </w:r>
          </w:p>
        </w:tc>
        <w:tc>
          <w:tcPr>
            <w:tcW w:w="2467" w:type="dxa"/>
            <w:tcBorders>
              <w:bottom w:val="single" w:sz="6" w:space="0" w:color="595959"/>
            </w:tcBorders>
            <w:shd w:fill="auto" w:val="clear"/>
            <w:tcMar>
              <w:bottom w:w="80" w:type="dxa"/>
            </w:tcMar>
            <w:vAlign w:val="center"/>
          </w:tcPr>
          <w:p>
            <w:pPr>
              <w:pStyle w:val="TableContents"/>
              <w:spacing w:before="0" w:after="283"/>
              <w:rPr/>
            </w:pPr>
            <w:r>
              <w:rPr/>
              <w:t>Motivates executives to achieve our business objectives by tying incentives to the performance of our Common Stock over the long term; links the interest of our executives and stockholders; serves as a retention tool</w:t>
            </w:r>
          </w:p>
        </w:tc>
        <w:tc>
          <w:tcPr>
            <w:tcW w:w="60" w:type="dxa"/>
            <w:tcBorders>
              <w:left w:val="dotted" w:sz="6" w:space="0" w:color="000000"/>
              <w:bottom w:val="single" w:sz="6" w:space="0" w:color="595959"/>
            </w:tcBorders>
            <w:shd w:fill="auto" w:val="clear"/>
            <w:tcMar>
              <w:left w:w="28" w:type="dxa"/>
              <w:bottom w:w="28" w:type="dxa"/>
            </w:tcMar>
            <w:vAlign w:val="center"/>
          </w:tcPr>
          <w:p>
            <w:pPr>
              <w:pStyle w:val="TableContents"/>
              <w:spacing w:before="0" w:after="283"/>
              <w:rPr/>
            </w:pPr>
            <w:r>
              <w:rPr/>
              <w:t> </w:t>
            </w:r>
          </w:p>
        </w:tc>
        <w:tc>
          <w:tcPr>
            <w:tcW w:w="5350" w:type="dxa"/>
            <w:tcBorders>
              <w:bottom w:val="single" w:sz="6" w:space="0" w:color="595959"/>
              <w:right w:val="single" w:sz="6" w:space="0" w:color="000000"/>
            </w:tcBorders>
            <w:shd w:fill="auto" w:val="clear"/>
            <w:tcMar>
              <w:bottom w:w="80" w:type="dxa"/>
              <w:right w:w="40" w:type="dxa"/>
            </w:tcMar>
            <w:vAlign w:val="center"/>
          </w:tcPr>
          <w:p>
            <w:pPr>
              <w:pStyle w:val="TableContents"/>
              <w:spacing w:before="0" w:after="283"/>
              <w:rPr/>
            </w:pPr>
            <w:r>
              <w:rPr/>
              <w:t>In 2022, our named executive officers were granted 50% of their target 2022 long-term incentive awards in the form of performance-based restricted stock with three-year performance targets. The other 50% of the target long-term incentive awards granted to each named executive officer was allocated evenly between non-qualified stock options and time-based restricted stock, both of which vest in one-third increments on each of the first three anniversaries of the grant date. The ultimate value realized for long-term incentive awards varies based on our performance against pre-determined incentive metrics and with our Common Stock price.</w:t>
            </w:r>
          </w:p>
        </w:tc>
      </w:tr>
      <w:tr>
        <w:trPr/>
        <w:tc>
          <w:tcPr>
            <w:tcW w:w="2268" w:type="dxa"/>
            <w:tcBorders>
              <w:left w:val="single" w:sz="6" w:space="0" w:color="000000"/>
            </w:tcBorders>
            <w:shd w:fill="F7F7F2" w:val="clear"/>
            <w:tcMar>
              <w:left w:w="160" w:type="dxa"/>
            </w:tcMar>
            <w:vAlign w:val="center"/>
          </w:tcPr>
          <w:p>
            <w:pPr>
              <w:pStyle w:val="TableContents"/>
              <w:spacing w:before="0" w:after="283"/>
              <w:rPr/>
            </w:pPr>
            <w:r>
              <w:rPr/>
              <w:t> </w:t>
            </w:r>
          </w:p>
        </w:tc>
        <w:tc>
          <w:tcPr>
            <w:tcW w:w="2527" w:type="dxa"/>
            <w:gridSpan w:val="2"/>
            <w:tcBorders>
              <w:left w:val="dotted" w:sz="6" w:space="0" w:color="000000"/>
            </w:tcBorders>
            <w:shd w:fill="F7F7F2" w:val="clear"/>
            <w:tcMar>
              <w:left w:w="28" w:type="dxa"/>
            </w:tcMar>
            <w:vAlign w:val="center"/>
          </w:tcPr>
          <w:p>
            <w:pPr>
              <w:pStyle w:val="TableContents"/>
              <w:spacing w:before="0" w:after="283"/>
              <w:rPr/>
            </w:pPr>
            <w:r>
              <w:rPr/>
              <w:t> </w:t>
            </w:r>
          </w:p>
        </w:tc>
        <w:tc>
          <w:tcPr>
            <w:tcW w:w="5410" w:type="dxa"/>
            <w:gridSpan w:val="2"/>
            <w:tcBorders>
              <w:left w:val="dotted" w:sz="6" w:space="0" w:color="000000"/>
              <w:right w:val="single" w:sz="6" w:space="0" w:color="000000"/>
            </w:tcBorders>
            <w:shd w:fill="F7F7F2" w:val="clear"/>
            <w:tcMar>
              <w:left w:w="28" w:type="dxa"/>
              <w:right w:w="28" w:type="dxa"/>
            </w:tcMar>
            <w:vAlign w:val="center"/>
          </w:tcPr>
          <w:p>
            <w:pPr>
              <w:pStyle w:val="TableContents"/>
              <w:spacing w:before="0" w:after="283"/>
              <w:rPr/>
            </w:pPr>
            <w:r>
              <w:rPr/>
              <w:t> </w:t>
            </w:r>
          </w:p>
        </w:tc>
      </w:tr>
      <w:tr>
        <w:trPr/>
        <w:tc>
          <w:tcPr>
            <w:tcW w:w="2268" w:type="dxa"/>
            <w:tcBorders>
              <w:left w:val="single" w:sz="6" w:space="0" w:color="000000"/>
              <w:bottom w:val="single" w:sz="6" w:space="0" w:color="595959"/>
            </w:tcBorders>
            <w:shd w:fill="F7F7F2" w:val="clear"/>
            <w:tcMar>
              <w:left w:w="160" w:type="dxa"/>
              <w:bottom w:w="80" w:type="dxa"/>
            </w:tcMar>
            <w:vAlign w:val="center"/>
          </w:tcPr>
          <w:p>
            <w:pPr>
              <w:pStyle w:val="TableContents"/>
              <w:spacing w:before="0" w:after="283"/>
              <w:rPr>
                <w:b/>
              </w:rPr>
            </w:pPr>
            <w:r>
              <w:rPr>
                <w:b/>
              </w:rPr>
              <w:t>RETIREMENT AND DEFERRED COMPENSATION</w:t>
            </w:r>
          </w:p>
        </w:tc>
        <w:tc>
          <w:tcPr>
            <w:tcW w:w="60" w:type="dxa"/>
            <w:tcBorders>
              <w:left w:val="dotted" w:sz="6" w:space="0" w:color="000000"/>
              <w:bottom w:val="single" w:sz="6" w:space="0" w:color="595959"/>
            </w:tcBorders>
            <w:shd w:fill="F7F7F2" w:val="clear"/>
            <w:tcMar>
              <w:left w:w="28" w:type="dxa"/>
              <w:bottom w:w="28" w:type="dxa"/>
            </w:tcMar>
            <w:vAlign w:val="center"/>
          </w:tcPr>
          <w:p>
            <w:pPr>
              <w:pStyle w:val="TableContents"/>
              <w:spacing w:before="0" w:after="283"/>
              <w:rPr/>
            </w:pPr>
            <w:r>
              <w:rPr/>
              <w:t> </w:t>
            </w:r>
          </w:p>
        </w:tc>
        <w:tc>
          <w:tcPr>
            <w:tcW w:w="2467" w:type="dxa"/>
            <w:tcBorders>
              <w:bottom w:val="single" w:sz="6" w:space="0" w:color="595959"/>
            </w:tcBorders>
            <w:shd w:fill="F7F7F2" w:val="clear"/>
            <w:tcMar>
              <w:bottom w:w="80" w:type="dxa"/>
            </w:tcMar>
            <w:vAlign w:val="center"/>
          </w:tcPr>
          <w:p>
            <w:pPr>
              <w:pStyle w:val="TableContents"/>
              <w:spacing w:before="0" w:after="283"/>
              <w:rPr/>
            </w:pPr>
            <w:r>
              <w:rPr/>
              <w:t>Encourages retention and rewards continued service through our executives’ most productive years.</w:t>
            </w:r>
          </w:p>
        </w:tc>
        <w:tc>
          <w:tcPr>
            <w:tcW w:w="60" w:type="dxa"/>
            <w:tcBorders>
              <w:left w:val="dotted" w:sz="6" w:space="0" w:color="000000"/>
              <w:bottom w:val="single" w:sz="6" w:space="0" w:color="595959"/>
            </w:tcBorders>
            <w:shd w:fill="F7F7F2" w:val="clear"/>
            <w:tcMar>
              <w:left w:w="28" w:type="dxa"/>
              <w:bottom w:w="28" w:type="dxa"/>
            </w:tcMar>
            <w:vAlign w:val="center"/>
          </w:tcPr>
          <w:p>
            <w:pPr>
              <w:pStyle w:val="TableContents"/>
              <w:spacing w:before="0" w:after="283"/>
              <w:rPr/>
            </w:pPr>
            <w:r>
              <w:rPr/>
              <w:t> </w:t>
            </w:r>
          </w:p>
        </w:tc>
        <w:tc>
          <w:tcPr>
            <w:tcW w:w="5350" w:type="dxa"/>
            <w:tcBorders>
              <w:bottom w:val="single" w:sz="6" w:space="0" w:color="595959"/>
              <w:right w:val="single" w:sz="6" w:space="0" w:color="000000"/>
            </w:tcBorders>
            <w:shd w:fill="F7F7F2" w:val="clear"/>
            <w:tcMar>
              <w:bottom w:w="80" w:type="dxa"/>
              <w:right w:w="40" w:type="dxa"/>
            </w:tcMar>
            <w:vAlign w:val="center"/>
          </w:tcPr>
          <w:p>
            <w:pPr>
              <w:pStyle w:val="TableContents"/>
              <w:spacing w:before="0" w:after="283"/>
              <w:rPr/>
            </w:pPr>
            <w:r>
              <w:rPr/>
              <w:t>Supplemental benefit after retirement that is based on years of service and annual retirement benefit.</w:t>
            </w:r>
          </w:p>
        </w:tc>
      </w:tr>
      <w:tr>
        <w:trPr/>
        <w:tc>
          <w:tcPr>
            <w:tcW w:w="2268" w:type="dxa"/>
            <w:tcBorders>
              <w:left w:val="single" w:sz="6" w:space="0" w:color="000000"/>
            </w:tcBorders>
            <w:shd w:fill="auto" w:val="clear"/>
            <w:tcMar>
              <w:left w:w="160" w:type="dxa"/>
            </w:tcMar>
            <w:vAlign w:val="center"/>
          </w:tcPr>
          <w:p>
            <w:pPr>
              <w:pStyle w:val="TableContents"/>
              <w:spacing w:before="0" w:after="283"/>
              <w:rPr/>
            </w:pPr>
            <w:r>
              <w:rPr/>
              <w:t> </w:t>
            </w:r>
          </w:p>
        </w:tc>
        <w:tc>
          <w:tcPr>
            <w:tcW w:w="2527" w:type="dxa"/>
            <w:gridSpan w:val="2"/>
            <w:tcBorders>
              <w:left w:val="dotted" w:sz="6" w:space="0" w:color="000000"/>
            </w:tcBorders>
            <w:shd w:fill="auto" w:val="clear"/>
            <w:tcMar>
              <w:left w:w="28" w:type="dxa"/>
            </w:tcMar>
            <w:vAlign w:val="center"/>
          </w:tcPr>
          <w:p>
            <w:pPr>
              <w:pStyle w:val="TableContents"/>
              <w:spacing w:before="0" w:after="283"/>
              <w:rPr/>
            </w:pPr>
            <w:r>
              <w:rPr/>
              <w:t> </w:t>
            </w:r>
          </w:p>
        </w:tc>
        <w:tc>
          <w:tcPr>
            <w:tcW w:w="5410" w:type="dxa"/>
            <w:gridSpan w:val="2"/>
            <w:tcBorders>
              <w:left w:val="dotted" w:sz="6" w:space="0" w:color="000000"/>
              <w:right w:val="single" w:sz="6" w:space="0" w:color="000000"/>
            </w:tcBorders>
            <w:shd w:fill="auto" w:val="clear"/>
            <w:tcMar>
              <w:left w:w="28" w:type="dxa"/>
              <w:right w:w="28" w:type="dxa"/>
            </w:tcMar>
            <w:vAlign w:val="center"/>
          </w:tcPr>
          <w:p>
            <w:pPr>
              <w:pStyle w:val="TableContents"/>
              <w:spacing w:before="0" w:after="283"/>
              <w:rPr/>
            </w:pPr>
            <w:r>
              <w:rPr/>
              <w:t> </w:t>
            </w:r>
          </w:p>
        </w:tc>
      </w:tr>
      <w:tr>
        <w:trPr/>
        <w:tc>
          <w:tcPr>
            <w:tcW w:w="2268" w:type="dxa"/>
            <w:tcBorders>
              <w:left w:val="single" w:sz="6" w:space="0" w:color="000000"/>
              <w:bottom w:val="single" w:sz="6" w:space="0" w:color="000000"/>
            </w:tcBorders>
            <w:shd w:fill="auto" w:val="clear"/>
            <w:tcMar>
              <w:left w:w="160" w:type="dxa"/>
              <w:bottom w:w="80" w:type="dxa"/>
            </w:tcMar>
            <w:vAlign w:val="center"/>
          </w:tcPr>
          <w:p>
            <w:pPr>
              <w:pStyle w:val="TableContents"/>
              <w:spacing w:before="0" w:after="283"/>
              <w:rPr>
                <w:b/>
              </w:rPr>
            </w:pPr>
            <w:r>
              <w:rPr>
                <w:b/>
              </w:rPr>
              <w:t>OTHER BENEFITS</w:t>
            </w:r>
          </w:p>
        </w:tc>
        <w:tc>
          <w:tcPr>
            <w:tcW w:w="60" w:type="dxa"/>
            <w:tcBorders>
              <w:left w:val="dotted" w:sz="6" w:space="0" w:color="000000"/>
              <w:bottom w:val="single" w:sz="6" w:space="0" w:color="000000"/>
            </w:tcBorders>
            <w:shd w:fill="auto" w:val="clear"/>
            <w:tcMar>
              <w:left w:w="28" w:type="dxa"/>
              <w:bottom w:w="28" w:type="dxa"/>
            </w:tcMar>
            <w:vAlign w:val="center"/>
          </w:tcPr>
          <w:p>
            <w:pPr>
              <w:pStyle w:val="TableContents"/>
              <w:spacing w:before="0" w:after="283"/>
              <w:rPr/>
            </w:pPr>
            <w:r>
              <w:rPr/>
              <w:t> </w:t>
            </w:r>
          </w:p>
        </w:tc>
        <w:tc>
          <w:tcPr>
            <w:tcW w:w="2467" w:type="dxa"/>
            <w:tcBorders>
              <w:bottom w:val="single" w:sz="6" w:space="0" w:color="000000"/>
            </w:tcBorders>
            <w:shd w:fill="auto" w:val="clear"/>
            <w:tcMar>
              <w:bottom w:w="80" w:type="dxa"/>
            </w:tcMar>
            <w:vAlign w:val="center"/>
          </w:tcPr>
          <w:p>
            <w:pPr>
              <w:pStyle w:val="TableContents"/>
              <w:spacing w:before="0" w:after="283"/>
              <w:rPr/>
            </w:pPr>
            <w:r>
              <w:rPr/>
              <w:t>Provides benefits that promote employee health and work-life balance, which assist in attracting and retaining our executives.</w:t>
            </w:r>
          </w:p>
        </w:tc>
        <w:tc>
          <w:tcPr>
            <w:tcW w:w="60" w:type="dxa"/>
            <w:tcBorders>
              <w:left w:val="dotted" w:sz="6" w:space="0" w:color="000000"/>
              <w:bottom w:val="single" w:sz="6" w:space="0" w:color="000000"/>
            </w:tcBorders>
            <w:shd w:fill="auto" w:val="clear"/>
            <w:tcMar>
              <w:left w:w="28" w:type="dxa"/>
              <w:bottom w:w="28" w:type="dxa"/>
            </w:tcMar>
            <w:vAlign w:val="center"/>
          </w:tcPr>
          <w:p>
            <w:pPr>
              <w:pStyle w:val="TableContents"/>
              <w:spacing w:before="0" w:after="283"/>
              <w:rPr/>
            </w:pPr>
            <w:r>
              <w:rPr/>
              <w:t> </w:t>
            </w:r>
          </w:p>
        </w:tc>
        <w:tc>
          <w:tcPr>
            <w:tcW w:w="5350" w:type="dxa"/>
            <w:tcBorders>
              <w:bottom w:val="single" w:sz="6" w:space="0" w:color="000000"/>
              <w:right w:val="single" w:sz="6" w:space="0" w:color="000000"/>
            </w:tcBorders>
            <w:shd w:fill="auto" w:val="clear"/>
            <w:tcMar>
              <w:bottom w:w="80" w:type="dxa"/>
              <w:right w:w="40" w:type="dxa"/>
            </w:tcMar>
            <w:vAlign w:val="center"/>
          </w:tcPr>
          <w:p>
            <w:pPr>
              <w:pStyle w:val="TableContents"/>
              <w:spacing w:before="0" w:after="283"/>
              <w:rPr/>
            </w:pPr>
            <w:r>
              <w:rPr/>
              <w:t>Other benefits consist of health and welfare plans and minimal perquisites.</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rPr/>
      </w:pPr>
      <w:r>
        <w:rPr/>
      </w:r>
    </w:p>
    <w:tbl>
      <w:tblPr>
        <w:tblW w:w="1049" w:type="dxa"/>
        <w:jc w:val="left"/>
        <w:tblInd w:w="0" w:type="dxa"/>
        <w:tblCellMar>
          <w:top w:w="0" w:type="dxa"/>
          <w:left w:w="0" w:type="dxa"/>
          <w:bottom w:w="0" w:type="dxa"/>
          <w:right w:w="0" w:type="dxa"/>
        </w:tblCellMar>
      </w:tblPr>
      <w:tblGrid>
        <w:gridCol w:w="38"/>
        <w:gridCol w:w="60"/>
        <w:gridCol w:w="23"/>
        <w:gridCol w:w="60"/>
        <w:gridCol w:w="23"/>
        <w:gridCol w:w="60"/>
        <w:gridCol w:w="23"/>
        <w:gridCol w:w="60"/>
        <w:gridCol w:w="23"/>
        <w:gridCol w:w="60"/>
        <w:gridCol w:w="23"/>
        <w:gridCol w:w="60"/>
        <w:gridCol w:w="23"/>
        <w:gridCol w:w="60"/>
        <w:gridCol w:w="23"/>
        <w:gridCol w:w="60"/>
        <w:gridCol w:w="23"/>
        <w:gridCol w:w="60"/>
        <w:gridCol w:w="23"/>
        <w:gridCol w:w="60"/>
        <w:gridCol w:w="23"/>
        <w:gridCol w:w="60"/>
        <w:gridCol w:w="23"/>
        <w:gridCol w:w="60"/>
        <w:gridCol w:w="38"/>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E0DDCC" w:val="clear"/>
            <w:vAlign w:val="center"/>
          </w:tcPr>
          <w:p>
            <w:pPr>
              <w:pStyle w:val="TableContents"/>
              <w:spacing w:before="0" w:after="283"/>
              <w:rPr/>
            </w:pPr>
            <w:r>
              <w:rPr/>
              <w:t> </w:t>
            </w:r>
          </w:p>
        </w:tc>
        <w:tc>
          <w:tcPr>
            <w:tcW w:w="23" w:type="dxa"/>
            <w:tcBorders/>
            <w:shd w:fill="E0DDCC"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E0DDCC" w:val="clear"/>
            <w:vAlign w:val="center"/>
          </w:tcPr>
          <w:p>
            <w:pPr>
              <w:pStyle w:val="TableContents"/>
              <w:spacing w:before="0" w:after="283"/>
              <w:rPr/>
            </w:pPr>
            <w:r>
              <w:rPr/>
              <w:t> </w:t>
            </w:r>
          </w:p>
        </w:tc>
        <w:tc>
          <w:tcPr>
            <w:tcW w:w="23" w:type="dxa"/>
            <w:tcBorders/>
            <w:shd w:fill="E0DDCC"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E0DDCC" w:val="clear"/>
            <w:vAlign w:val="center"/>
          </w:tcPr>
          <w:p>
            <w:pPr>
              <w:pStyle w:val="TableContents"/>
              <w:spacing w:before="0" w:after="283"/>
              <w:rPr/>
            </w:pPr>
            <w:r>
              <w:rPr/>
              <w:t> </w:t>
            </w:r>
          </w:p>
        </w:tc>
        <w:tc>
          <w:tcPr>
            <w:tcW w:w="23" w:type="dxa"/>
            <w:tcBorders/>
            <w:shd w:fill="E0DDCC"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E0DDCC" w:val="clear"/>
            <w:vAlign w:val="center"/>
          </w:tcPr>
          <w:p>
            <w:pPr>
              <w:pStyle w:val="TableContents"/>
              <w:spacing w:before="0" w:after="283"/>
              <w:rPr/>
            </w:pPr>
            <w:r>
              <w:rPr/>
              <w:t> </w:t>
            </w:r>
          </w:p>
        </w:tc>
        <w:tc>
          <w:tcPr>
            <w:tcW w:w="23" w:type="dxa"/>
            <w:tcBorders/>
            <w:shd w:fill="E0DDCC"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E0DDCC" w:val="clear"/>
            <w:vAlign w:val="center"/>
          </w:tcPr>
          <w:p>
            <w:pPr>
              <w:pStyle w:val="TableContents"/>
              <w:spacing w:before="0" w:after="283"/>
              <w:rPr/>
            </w:pPr>
            <w:r>
              <w:rPr/>
              <w:t> </w:t>
            </w:r>
          </w:p>
        </w:tc>
        <w:tc>
          <w:tcPr>
            <w:tcW w:w="23" w:type="dxa"/>
            <w:tcBorders/>
            <w:shd w:fill="E0DDCC"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E0DDCC" w:val="clear"/>
            <w:vAlign w:val="center"/>
          </w:tcPr>
          <w:p>
            <w:pPr>
              <w:pStyle w:val="TableContents"/>
              <w:spacing w:before="0" w:after="283"/>
              <w:rPr/>
            </w:pPr>
            <w:r>
              <w:rPr/>
              <w:t> </w:t>
            </w:r>
          </w:p>
        </w:tc>
        <w:tc>
          <w:tcPr>
            <w:tcW w:w="23" w:type="dxa"/>
            <w:tcBorders/>
            <w:shd w:fill="E0DDCC"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left"/>
        <w:rPr/>
      </w:pPr>
      <w:r>
        <w:rPr/>
        <w:t> </w:t>
      </w:r>
    </w:p>
    <w:p>
      <w:pPr>
        <w:pStyle w:val="TextBody"/>
        <w:pBdr>
          <w:bottom w:val="single" w:sz="8" w:space="1" w:color="000000"/>
        </w:pBdr>
        <w:spacing w:lineRule="atLeast" w:line="141" w:before="0" w:after="40"/>
        <w:jc w:val="left"/>
        <w:rPr/>
      </w:pPr>
      <w:r>
        <w:rPr/>
        <w:t> </w:t>
      </w:r>
    </w:p>
    <w:p>
      <w:pPr>
        <w:pStyle w:val="TextBody"/>
        <w:spacing w:before="0" w:after="0"/>
        <w:jc w:val="left"/>
        <w:rPr/>
      </w:pPr>
      <w:r>
        <w:rPr/>
        <w:t> </w:t>
      </w:r>
    </w:p>
    <w:p>
      <w:pPr>
        <w:pStyle w:val="TextBody"/>
        <w:spacing w:before="0" w:after="0"/>
        <w:jc w:val="left"/>
        <w:rPr>
          <w:rFonts w:ascii="ARIAL" w:hAnsi="ARIAL"/>
          <w:b/>
          <w:sz w:val="20"/>
        </w:rPr>
      </w:pPr>
      <w:r>
        <w:rPr>
          <w:rFonts w:ascii="ARIAL" w:hAnsi="ARIAL"/>
          <w:b/>
          <w:sz w:val="20"/>
        </w:rPr>
        <w:t xml:space="preserve">Our Compensation Target Pay Mix </w:t>
      </w:r>
    </w:p>
    <w:p>
      <w:pPr>
        <w:pStyle w:val="TextBody"/>
        <w:spacing w:before="120" w:after="0"/>
        <w:jc w:val="left"/>
        <w:rPr>
          <w:rFonts w:ascii="Times New Roman" w:hAnsi="Times New Roman"/>
          <w:sz w:val="20"/>
        </w:rPr>
      </w:pPr>
      <w:r>
        <w:rPr>
          <w:rFonts w:ascii="Times New Roman" w:hAnsi="Times New Roman"/>
          <w:sz w:val="20"/>
        </w:rPr>
        <w:t xml:space="preserve">We believe that at risk compensation focuses our management on achieving our key financial, strategic and business goals. For fiscal 2022, approximately 84% of the Chief Executive Officer’s target direct compensation value and approximately 80% of our other named executive officers’ average target direct compensation value was at risk in the form of short-term cash incentive awards and long-term incentives. Actual amounts realized for these programs are dependent upon our annual or longer-term performance and in the case of such stock awards subject to fluctuations in our stock price. The following graph depicts the “target pay mix” for our named executive officers in 2022, reflecting the base salary, target short-term cash incentive opportunity and grant date fair value of our annual equity grants made in 2022. </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pPr>
      <w:r>
        <w:rPr/>
        <w:drawing>
          <wp:inline distT="0" distB="0" distL="0" distR="0">
            <wp:extent cx="305435" cy="353060"/>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305435" cy="353060"/>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rPr/>
      </w:pPr>
      <w:r>
        <w:rPr/>
      </w:r>
    </w:p>
    <w:tbl>
      <w:tblPr>
        <w:tblW w:w="1049" w:type="dxa"/>
        <w:jc w:val="left"/>
        <w:tblInd w:w="0" w:type="dxa"/>
        <w:tblCellMar>
          <w:top w:w="0" w:type="dxa"/>
          <w:left w:w="0" w:type="dxa"/>
          <w:bottom w:w="0" w:type="dxa"/>
          <w:right w:w="0" w:type="dxa"/>
        </w:tblCellMar>
      </w:tblPr>
      <w:tblGrid>
        <w:gridCol w:w="38"/>
        <w:gridCol w:w="60"/>
        <w:gridCol w:w="23"/>
        <w:gridCol w:w="60"/>
        <w:gridCol w:w="23"/>
        <w:gridCol w:w="60"/>
        <w:gridCol w:w="23"/>
        <w:gridCol w:w="60"/>
        <w:gridCol w:w="23"/>
        <w:gridCol w:w="60"/>
        <w:gridCol w:w="23"/>
        <w:gridCol w:w="60"/>
        <w:gridCol w:w="23"/>
        <w:gridCol w:w="60"/>
        <w:gridCol w:w="23"/>
        <w:gridCol w:w="60"/>
        <w:gridCol w:w="23"/>
        <w:gridCol w:w="60"/>
        <w:gridCol w:w="23"/>
        <w:gridCol w:w="60"/>
        <w:gridCol w:w="23"/>
        <w:gridCol w:w="60"/>
        <w:gridCol w:w="23"/>
        <w:gridCol w:w="60"/>
        <w:gridCol w:w="38"/>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E0DDCC" w:val="clear"/>
            <w:vAlign w:val="center"/>
          </w:tcPr>
          <w:p>
            <w:pPr>
              <w:pStyle w:val="TableContents"/>
              <w:spacing w:before="0" w:after="283"/>
              <w:rPr/>
            </w:pPr>
            <w:r>
              <w:rPr/>
              <w:t> </w:t>
            </w:r>
          </w:p>
        </w:tc>
        <w:tc>
          <w:tcPr>
            <w:tcW w:w="23" w:type="dxa"/>
            <w:tcBorders/>
            <w:shd w:fill="E0DDCC"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E0DDCC" w:val="clear"/>
            <w:vAlign w:val="center"/>
          </w:tcPr>
          <w:p>
            <w:pPr>
              <w:pStyle w:val="TableContents"/>
              <w:spacing w:before="0" w:after="283"/>
              <w:rPr/>
            </w:pPr>
            <w:r>
              <w:rPr/>
              <w:t> </w:t>
            </w:r>
          </w:p>
        </w:tc>
        <w:tc>
          <w:tcPr>
            <w:tcW w:w="23" w:type="dxa"/>
            <w:tcBorders/>
            <w:shd w:fill="E0DDCC"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E0DDCC" w:val="clear"/>
            <w:vAlign w:val="center"/>
          </w:tcPr>
          <w:p>
            <w:pPr>
              <w:pStyle w:val="TableContents"/>
              <w:spacing w:before="0" w:after="283"/>
              <w:rPr/>
            </w:pPr>
            <w:r>
              <w:rPr/>
              <w:t> </w:t>
            </w:r>
          </w:p>
        </w:tc>
        <w:tc>
          <w:tcPr>
            <w:tcW w:w="23" w:type="dxa"/>
            <w:tcBorders/>
            <w:shd w:fill="E0DDCC"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E0DDCC" w:val="clear"/>
            <w:vAlign w:val="center"/>
          </w:tcPr>
          <w:p>
            <w:pPr>
              <w:pStyle w:val="TableContents"/>
              <w:spacing w:before="0" w:after="283"/>
              <w:rPr/>
            </w:pPr>
            <w:r>
              <w:rPr/>
              <w:t> </w:t>
            </w:r>
          </w:p>
        </w:tc>
        <w:tc>
          <w:tcPr>
            <w:tcW w:w="23" w:type="dxa"/>
            <w:tcBorders/>
            <w:shd w:fill="E0DDCC"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E0DDCC" w:val="clear"/>
            <w:vAlign w:val="center"/>
          </w:tcPr>
          <w:p>
            <w:pPr>
              <w:pStyle w:val="TableContents"/>
              <w:spacing w:before="0" w:after="283"/>
              <w:rPr/>
            </w:pPr>
            <w:r>
              <w:rPr/>
              <w:t> </w:t>
            </w:r>
          </w:p>
        </w:tc>
        <w:tc>
          <w:tcPr>
            <w:tcW w:w="23" w:type="dxa"/>
            <w:tcBorders/>
            <w:shd w:fill="E0DDCC"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E0DDCC" w:val="clear"/>
            <w:vAlign w:val="center"/>
          </w:tcPr>
          <w:p>
            <w:pPr>
              <w:pStyle w:val="TableContents"/>
              <w:spacing w:before="0" w:after="283"/>
              <w:rPr/>
            </w:pPr>
            <w:r>
              <w:rPr/>
              <w:t> </w:t>
            </w:r>
          </w:p>
        </w:tc>
        <w:tc>
          <w:tcPr>
            <w:tcW w:w="23" w:type="dxa"/>
            <w:tcBorders/>
            <w:shd w:fill="E0DDCC"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left"/>
        <w:rPr/>
      </w:pPr>
      <w:r>
        <w:rPr/>
        <w:t> </w:t>
      </w:r>
    </w:p>
    <w:p>
      <w:pPr>
        <w:pStyle w:val="TextBody"/>
        <w:pBdr>
          <w:bottom w:val="single" w:sz="8" w:space="1" w:color="000000"/>
        </w:pBdr>
        <w:spacing w:lineRule="atLeast" w:line="141" w:before="0" w:after="40"/>
        <w:jc w:val="left"/>
        <w:rPr/>
      </w:pPr>
      <w:r>
        <w:rPr/>
        <w:t> </w:t>
      </w:r>
    </w:p>
    <w:p>
      <w:pPr>
        <w:pStyle w:val="TextBody"/>
        <w:spacing w:before="0" w:after="0"/>
        <w:jc w:val="left"/>
        <w:rPr/>
      </w:pPr>
      <w:r>
        <w:rPr/>
        <w:t> </w:t>
      </w:r>
    </w:p>
    <w:p>
      <w:pPr>
        <w:pStyle w:val="TextBody"/>
        <w:spacing w:before="0" w:after="0"/>
        <w:jc w:val="left"/>
        <w:rPr>
          <w:rFonts w:ascii="ARIAL" w:hAnsi="ARIAL"/>
          <w:color w:val="02197A"/>
          <w:sz w:val="30"/>
        </w:rPr>
      </w:pPr>
      <w:r>
        <w:rPr>
          <w:rFonts w:ascii="ARIAL" w:hAnsi="ARIAL"/>
          <w:color w:val="02197A"/>
          <w:sz w:val="30"/>
        </w:rPr>
        <w:t xml:space="preserve">ROADMAP OF VOTING ITEMS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6955"/>
        <w:gridCol w:w="60"/>
        <w:gridCol w:w="120"/>
        <w:gridCol w:w="60"/>
        <w:gridCol w:w="1790"/>
        <w:gridCol w:w="60"/>
        <w:gridCol w:w="1160"/>
      </w:tblGrid>
      <w:tr>
        <w:trPr/>
        <w:tc>
          <w:tcPr>
            <w:tcW w:w="69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7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60" w:type="dxa"/>
            <w:tcBorders/>
            <w:shd w:fill="auto" w:val="clear"/>
            <w:vAlign w:val="center"/>
          </w:tcPr>
          <w:p>
            <w:pPr>
              <w:pStyle w:val="TableContents"/>
              <w:spacing w:before="0" w:after="283"/>
              <w:rPr>
                <w:sz w:val="4"/>
                <w:szCs w:val="4"/>
              </w:rPr>
            </w:pPr>
            <w:r>
              <w:rPr>
                <w:sz w:val="4"/>
                <w:szCs w:val="4"/>
              </w:rPr>
            </w:r>
          </w:p>
        </w:tc>
      </w:tr>
      <w:tr>
        <w:trPr/>
        <w:tc>
          <w:tcPr>
            <w:tcW w:w="6955" w:type="dxa"/>
            <w:tcBorders>
              <w:top w:val="single" w:sz="6" w:space="0" w:color="000000"/>
              <w:left w:val="single" w:sz="6" w:space="0" w:color="000000"/>
              <w:bottom w:val="single" w:sz="6" w:space="0" w:color="000000"/>
            </w:tcBorders>
            <w:shd w:fill="02197A" w:val="clear"/>
            <w:tcMar>
              <w:top w:w="28" w:type="dxa"/>
              <w:left w:w="160" w:type="dxa"/>
              <w:bottom w:w="28" w:type="dxa"/>
            </w:tcMar>
            <w:vAlign w:val="center"/>
          </w:tcPr>
          <w:p>
            <w:pPr>
              <w:pStyle w:val="TableContents"/>
              <w:spacing w:before="0" w:after="0"/>
              <w:rPr>
                <w:rFonts w:ascii="ARIAL" w:hAnsi="ARIAL"/>
                <w:b/>
                <w:color w:val="FFFFFF"/>
                <w:sz w:val="18"/>
              </w:rPr>
            </w:pPr>
            <w:r>
              <w:rPr>
                <w:rFonts w:ascii="ARIAL" w:hAnsi="ARIAL"/>
                <w:b/>
                <w:color w:val="FFFFFF"/>
                <w:sz w:val="18"/>
              </w:rPr>
              <w:t>VOTING ITEM</w:t>
            </w:r>
          </w:p>
          <w:p>
            <w:pPr>
              <w:pStyle w:val="TableContents"/>
              <w:spacing w:before="0" w:after="20"/>
              <w:rPr/>
            </w:pPr>
            <w:r>
              <w:rPr/>
              <w:t> </w:t>
            </w:r>
          </w:p>
        </w:tc>
        <w:tc>
          <w:tcPr>
            <w:tcW w:w="60" w:type="dxa"/>
            <w:tcBorders>
              <w:top w:val="single" w:sz="6" w:space="0" w:color="000000"/>
              <w:bottom w:val="single" w:sz="6" w:space="0" w:color="000000"/>
            </w:tcBorders>
            <w:shd w:fill="02197A" w:val="clear"/>
            <w:tcMar>
              <w:top w:w="28" w:type="dxa"/>
              <w:bottom w:w="28" w:type="dxa"/>
            </w:tcMar>
            <w:vAlign w:val="center"/>
          </w:tcPr>
          <w:p>
            <w:pPr>
              <w:pStyle w:val="TableContents"/>
              <w:spacing w:before="0" w:after="283"/>
              <w:rPr/>
            </w:pPr>
            <w:r>
              <w:rPr/>
              <w:t> </w:t>
            </w:r>
          </w:p>
        </w:tc>
        <w:tc>
          <w:tcPr>
            <w:tcW w:w="120" w:type="dxa"/>
            <w:tcBorders>
              <w:top w:val="single" w:sz="6" w:space="0" w:color="000000"/>
              <w:bottom w:val="single" w:sz="6" w:space="0" w:color="000000"/>
            </w:tcBorders>
            <w:shd w:fill="02197A" w:val="clear"/>
            <w:tcMar>
              <w:top w:w="28" w:type="dxa"/>
              <w:bottom w:w="28" w:type="dxa"/>
            </w:tcMar>
            <w:vAlign w:val="center"/>
          </w:tcPr>
          <w:p>
            <w:pPr>
              <w:pStyle w:val="TableContents"/>
              <w:spacing w:before="0" w:after="283"/>
              <w:rPr/>
            </w:pPr>
            <w:r>
              <w:rPr/>
              <w:t>  </w:t>
            </w:r>
          </w:p>
        </w:tc>
        <w:tc>
          <w:tcPr>
            <w:tcW w:w="60" w:type="dxa"/>
            <w:tcBorders>
              <w:top w:val="single" w:sz="6" w:space="0" w:color="000000"/>
              <w:left w:val="dotted" w:sz="6" w:space="0" w:color="000000"/>
              <w:bottom w:val="single" w:sz="6" w:space="0" w:color="000000"/>
            </w:tcBorders>
            <w:shd w:fill="02197A" w:val="clear"/>
            <w:tcMar>
              <w:top w:w="28" w:type="dxa"/>
              <w:left w:w="28" w:type="dxa"/>
              <w:bottom w:w="28" w:type="dxa"/>
            </w:tcMar>
            <w:vAlign w:val="center"/>
          </w:tcPr>
          <w:p>
            <w:pPr>
              <w:pStyle w:val="TableContents"/>
              <w:spacing w:before="0" w:after="283"/>
              <w:rPr/>
            </w:pPr>
            <w:r>
              <w:rPr/>
              <w:t> </w:t>
            </w:r>
          </w:p>
        </w:tc>
        <w:tc>
          <w:tcPr>
            <w:tcW w:w="1790" w:type="dxa"/>
            <w:tcBorders>
              <w:top w:val="single" w:sz="6" w:space="0" w:color="000000"/>
              <w:bottom w:val="single" w:sz="6" w:space="0" w:color="000000"/>
            </w:tcBorders>
            <w:shd w:fill="02197A" w:val="clear"/>
            <w:tcMar>
              <w:top w:w="28" w:type="dxa"/>
              <w:bottom w:w="28" w:type="dxa"/>
            </w:tcMar>
            <w:vAlign w:val="center"/>
          </w:tcPr>
          <w:p>
            <w:pPr>
              <w:pStyle w:val="TableContents"/>
              <w:spacing w:before="0" w:after="0"/>
              <w:rPr/>
            </w:pPr>
            <w:r>
              <w:rPr/>
              <w:t> </w:t>
            </w:r>
          </w:p>
          <w:p>
            <w:pPr>
              <w:pStyle w:val="TableContents"/>
              <w:spacing w:before="0" w:after="0"/>
              <w:jc w:val="center"/>
              <w:rPr>
                <w:rFonts w:ascii="ARIAL" w:hAnsi="ARIAL"/>
                <w:b/>
                <w:color w:val="FFFFFF"/>
                <w:sz w:val="18"/>
              </w:rPr>
            </w:pPr>
            <w:r>
              <w:rPr>
                <w:rFonts w:ascii="ARIAL" w:hAnsi="ARIAL"/>
                <w:b/>
                <w:color w:val="FFFFFF"/>
                <w:sz w:val="18"/>
              </w:rPr>
              <w:t>BOARD</w:t>
            </w:r>
          </w:p>
          <w:p>
            <w:pPr>
              <w:pStyle w:val="TableContents"/>
              <w:spacing w:before="0" w:after="0"/>
              <w:jc w:val="center"/>
              <w:rPr>
                <w:rFonts w:ascii="ARIAL" w:hAnsi="ARIAL"/>
                <w:b/>
                <w:color w:val="FFFFFF"/>
                <w:sz w:val="18"/>
              </w:rPr>
            </w:pPr>
            <w:r>
              <w:rPr>
                <w:rFonts w:ascii="ARIAL" w:hAnsi="ARIAL"/>
                <w:b/>
                <w:color w:val="FFFFFF"/>
                <w:sz w:val="18"/>
              </w:rPr>
              <w:t>RECOMMENDATION</w:t>
            </w:r>
          </w:p>
          <w:p>
            <w:pPr>
              <w:pStyle w:val="TableContents"/>
              <w:spacing w:before="0" w:after="20"/>
              <w:jc w:val="left"/>
              <w:rPr/>
            </w:pPr>
            <w:r>
              <w:rPr/>
              <w:t> </w:t>
            </w:r>
          </w:p>
        </w:tc>
        <w:tc>
          <w:tcPr>
            <w:tcW w:w="60" w:type="dxa"/>
            <w:tcBorders>
              <w:top w:val="single" w:sz="6" w:space="0" w:color="000000"/>
              <w:left w:val="dotted" w:sz="6" w:space="0" w:color="000000"/>
              <w:bottom w:val="single" w:sz="6" w:space="0" w:color="000000"/>
            </w:tcBorders>
            <w:shd w:fill="02197A" w:val="clear"/>
            <w:tcMar>
              <w:top w:w="28" w:type="dxa"/>
              <w:left w:w="28" w:type="dxa"/>
              <w:bottom w:w="28" w:type="dxa"/>
            </w:tcMar>
            <w:vAlign w:val="center"/>
          </w:tcPr>
          <w:p>
            <w:pPr>
              <w:pStyle w:val="TableContents"/>
              <w:spacing w:before="0" w:after="283"/>
              <w:rPr/>
            </w:pPr>
            <w:r>
              <w:rPr/>
              <w:t> </w:t>
            </w:r>
          </w:p>
        </w:tc>
        <w:tc>
          <w:tcPr>
            <w:tcW w:w="1160" w:type="dxa"/>
            <w:tcBorders>
              <w:top w:val="single" w:sz="6" w:space="0" w:color="000000"/>
              <w:bottom w:val="single" w:sz="6" w:space="0" w:color="000000"/>
              <w:right w:val="single" w:sz="6" w:space="0" w:color="000000"/>
            </w:tcBorders>
            <w:shd w:fill="02197A" w:val="clear"/>
            <w:tcMar>
              <w:top w:w="28" w:type="dxa"/>
              <w:bottom w:w="28" w:type="dxa"/>
              <w:right w:w="40" w:type="dxa"/>
            </w:tcMar>
            <w:vAlign w:val="center"/>
          </w:tcPr>
          <w:p>
            <w:pPr>
              <w:pStyle w:val="TableContents"/>
              <w:spacing w:before="0" w:after="0"/>
              <w:jc w:val="center"/>
              <w:rPr>
                <w:rFonts w:ascii="ARIAL" w:hAnsi="ARIAL"/>
                <w:b/>
                <w:color w:val="FFFFFF"/>
                <w:sz w:val="18"/>
              </w:rPr>
            </w:pPr>
            <w:r>
              <w:rPr>
                <w:rFonts w:ascii="ARIAL" w:hAnsi="ARIAL"/>
                <w:b/>
                <w:color w:val="FFFFFF"/>
                <w:sz w:val="18"/>
              </w:rPr>
              <w:t>PAGE</w:t>
            </w:r>
          </w:p>
          <w:p>
            <w:pPr>
              <w:pStyle w:val="TableContents"/>
              <w:spacing w:before="0" w:after="0"/>
              <w:jc w:val="center"/>
              <w:rPr>
                <w:rFonts w:ascii="ARIAL" w:hAnsi="ARIAL"/>
                <w:b/>
                <w:color w:val="FFFFFF"/>
                <w:sz w:val="18"/>
              </w:rPr>
            </w:pPr>
            <w:r>
              <w:rPr>
                <w:rFonts w:ascii="ARIAL" w:hAnsi="ARIAL"/>
                <w:b/>
                <w:color w:val="FFFFFF"/>
                <w:sz w:val="18"/>
              </w:rPr>
              <w:t>REFERENCE</w:t>
            </w:r>
          </w:p>
          <w:p>
            <w:pPr>
              <w:pStyle w:val="TableContents"/>
              <w:spacing w:before="0" w:after="20"/>
              <w:jc w:val="left"/>
              <w:rPr/>
            </w:pPr>
            <w:r>
              <w:rPr/>
              <w:t> </w:t>
            </w:r>
          </w:p>
        </w:tc>
      </w:tr>
      <w:tr>
        <w:trPr/>
        <w:tc>
          <w:tcPr>
            <w:tcW w:w="6955" w:type="dxa"/>
            <w:tcBorders>
              <w:left w:val="single" w:sz="6" w:space="0" w:color="000000"/>
            </w:tcBorders>
            <w:shd w:fill="auto" w:val="clear"/>
            <w:tcMar>
              <w:left w:w="160" w:type="dxa"/>
            </w:tcMar>
            <w:vAlign w:val="center"/>
          </w:tcPr>
          <w:p>
            <w:pPr>
              <w:pStyle w:val="TableContents"/>
              <w:spacing w:before="0" w:after="283"/>
              <w:rPr/>
            </w:pPr>
            <w:r>
              <w:rPr/>
              <w:t> </w:t>
            </w:r>
          </w:p>
        </w:tc>
        <w:tc>
          <w:tcPr>
            <w:tcW w:w="180" w:type="dxa"/>
            <w:gridSpan w:val="2"/>
            <w:tcBorders/>
            <w:shd w:fill="auto" w:val="clear"/>
            <w:vAlign w:val="center"/>
          </w:tcPr>
          <w:p>
            <w:pPr>
              <w:pStyle w:val="TableContents"/>
              <w:spacing w:before="0" w:after="283"/>
              <w:rPr>
                <w:sz w:val="4"/>
                <w:szCs w:val="4"/>
              </w:rPr>
            </w:pPr>
            <w:r>
              <w:rPr>
                <w:sz w:val="4"/>
                <w:szCs w:val="4"/>
              </w:rPr>
            </w:r>
          </w:p>
        </w:tc>
        <w:tc>
          <w:tcPr>
            <w:tcW w:w="1850" w:type="dxa"/>
            <w:gridSpan w:val="2"/>
            <w:tcBorders>
              <w:left w:val="dotted" w:sz="6" w:space="0" w:color="000000"/>
            </w:tcBorders>
            <w:shd w:fill="auto" w:val="clear"/>
            <w:tcMar>
              <w:left w:w="28" w:type="dxa"/>
            </w:tcMar>
            <w:vAlign w:val="center"/>
          </w:tcPr>
          <w:p>
            <w:pPr>
              <w:pStyle w:val="TableContents"/>
              <w:spacing w:before="0" w:after="283"/>
              <w:rPr/>
            </w:pPr>
            <w:r>
              <w:rPr/>
              <w:t> </w:t>
            </w:r>
          </w:p>
        </w:tc>
        <w:tc>
          <w:tcPr>
            <w:tcW w:w="1220" w:type="dxa"/>
            <w:gridSpan w:val="2"/>
            <w:tcBorders>
              <w:left w:val="dotted" w:sz="6" w:space="0" w:color="000000"/>
              <w:right w:val="single" w:sz="6" w:space="0" w:color="000000"/>
            </w:tcBorders>
            <w:shd w:fill="auto" w:val="clear"/>
            <w:tcMar>
              <w:left w:w="28" w:type="dxa"/>
              <w:right w:w="28" w:type="dxa"/>
            </w:tcMar>
            <w:vAlign w:val="center"/>
          </w:tcPr>
          <w:p>
            <w:pPr>
              <w:pStyle w:val="TableContents"/>
              <w:spacing w:before="0" w:after="283"/>
              <w:rPr/>
            </w:pPr>
            <w:r>
              <w:rPr/>
              <w:t> </w:t>
            </w:r>
          </w:p>
        </w:tc>
      </w:tr>
      <w:tr>
        <w:trPr/>
        <w:tc>
          <w:tcPr>
            <w:tcW w:w="6955" w:type="dxa"/>
            <w:tcBorders>
              <w:left w:val="single" w:sz="6" w:space="0" w:color="000000"/>
              <w:bottom w:val="single" w:sz="6" w:space="0" w:color="000000"/>
            </w:tcBorders>
            <w:shd w:fill="auto" w:val="clear"/>
            <w:tcMar>
              <w:left w:w="160" w:type="dxa"/>
              <w:bottom w:w="80" w:type="dxa"/>
            </w:tcMar>
            <w:vAlign w:val="center"/>
          </w:tcPr>
          <w:p>
            <w:pPr>
              <w:pStyle w:val="TableContents"/>
              <w:spacing w:before="0" w:after="0"/>
              <w:rPr>
                <w:rFonts w:ascii="ARIAL" w:hAnsi="ARIAL"/>
                <w:b/>
                <w:sz w:val="18"/>
              </w:rPr>
            </w:pPr>
            <w:r>
              <w:rPr>
                <w:rFonts w:ascii="ARIAL" w:hAnsi="ARIAL"/>
                <w:b/>
                <w:sz w:val="18"/>
              </w:rPr>
              <w:t>PROPOSAL 1. ELECTION OF DIRECTORS</w:t>
            </w:r>
          </w:p>
          <w:p>
            <w:pPr>
              <w:pStyle w:val="TableContents"/>
              <w:spacing w:before="0" w:after="20"/>
              <w:rPr>
                <w:rFonts w:ascii="Times New Roman" w:hAnsi="Times New Roman"/>
                <w:sz w:val="18"/>
              </w:rPr>
            </w:pPr>
            <w:r>
              <w:rPr>
                <w:rFonts w:ascii="Times New Roman" w:hAnsi="Times New Roman"/>
                <w:sz w:val="18"/>
              </w:rPr>
              <w:t>We are asking stockholders to vote on each director nominee to our Board. The Board and the Governance and Nominating Committee believe that the director nominees have the qualifications, experience and skills necessary to represent our stockholders’ interests through service on the Board.</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60" w:type="dxa"/>
            <w:tcBorders>
              <w:left w:val="dotted" w:sz="6" w:space="0" w:color="000000"/>
              <w:bottom w:val="single" w:sz="6" w:space="0" w:color="000000"/>
            </w:tcBorders>
            <w:shd w:fill="auto" w:val="clear"/>
            <w:tcMar>
              <w:left w:w="28" w:type="dxa"/>
              <w:bottom w:w="28" w:type="dxa"/>
            </w:tcMar>
            <w:vAlign w:val="center"/>
          </w:tcPr>
          <w:p>
            <w:pPr>
              <w:pStyle w:val="TableContents"/>
              <w:spacing w:before="0" w:after="283"/>
              <w:rPr/>
            </w:pPr>
            <w:r>
              <w:rPr/>
              <w:t> </w:t>
            </w:r>
          </w:p>
        </w:tc>
        <w:tc>
          <w:tcPr>
            <w:tcW w:w="1790" w:type="dxa"/>
            <w:tcBorders>
              <w:bottom w:val="single" w:sz="6" w:space="0" w:color="000000"/>
            </w:tcBorders>
            <w:shd w:fill="auto" w:val="clear"/>
            <w:tcMar>
              <w:bottom w:w="80" w:type="dxa"/>
            </w:tcMar>
            <w:vAlign w:val="center"/>
          </w:tcPr>
          <w:p>
            <w:pPr>
              <w:pStyle w:val="TableContents"/>
              <w:spacing w:before="0" w:after="0"/>
              <w:jc w:val="center"/>
              <w:rPr>
                <w:rFonts w:ascii="ARIAL" w:hAnsi="ARIAL"/>
                <w:b/>
                <w:color w:val="02197A"/>
                <w:sz w:val="18"/>
              </w:rPr>
            </w:pPr>
            <w:r>
              <w:rPr>
                <w:rFonts w:ascii="ARIAL" w:hAnsi="ARIAL"/>
                <w:b/>
                <w:color w:val="02197A"/>
                <w:sz w:val="18"/>
              </w:rPr>
              <w:t>FOR</w:t>
            </w:r>
          </w:p>
          <w:p>
            <w:pPr>
              <w:pStyle w:val="TableContents"/>
              <w:spacing w:before="0" w:after="20"/>
              <w:jc w:val="center"/>
              <w:rPr>
                <w:rFonts w:ascii="ARIAL" w:hAnsi="ARIAL"/>
                <w:b/>
                <w:color w:val="02197A"/>
                <w:sz w:val="18"/>
              </w:rPr>
            </w:pPr>
            <w:r>
              <w:rPr>
                <w:rFonts w:ascii="ARIAL" w:hAnsi="ARIAL"/>
                <w:b/>
                <w:color w:val="02197A"/>
                <w:sz w:val="18"/>
              </w:rPr>
              <w:t>each nominee</w:t>
            </w:r>
          </w:p>
        </w:tc>
        <w:tc>
          <w:tcPr>
            <w:tcW w:w="60" w:type="dxa"/>
            <w:tcBorders>
              <w:left w:val="dotted" w:sz="6" w:space="0" w:color="000000"/>
              <w:bottom w:val="single" w:sz="6" w:space="0" w:color="000000"/>
            </w:tcBorders>
            <w:shd w:fill="auto" w:val="clear"/>
            <w:tcMar>
              <w:left w:w="28" w:type="dxa"/>
              <w:bottom w:w="28" w:type="dxa"/>
            </w:tcMar>
            <w:vAlign w:val="center"/>
          </w:tcPr>
          <w:p>
            <w:pPr>
              <w:pStyle w:val="TableContents"/>
              <w:spacing w:before="0" w:after="283"/>
              <w:rPr/>
            </w:pPr>
            <w:r>
              <w:rPr/>
              <w:t> </w:t>
            </w:r>
          </w:p>
        </w:tc>
        <w:tc>
          <w:tcPr>
            <w:tcW w:w="1160" w:type="dxa"/>
            <w:tcBorders>
              <w:bottom w:val="single" w:sz="6" w:space="0" w:color="000000"/>
              <w:right w:val="single" w:sz="6" w:space="0" w:color="000000"/>
            </w:tcBorders>
            <w:shd w:fill="auto" w:val="clear"/>
            <w:tcMar>
              <w:bottom w:w="80" w:type="dxa"/>
              <w:right w:w="40" w:type="dxa"/>
            </w:tcMar>
            <w:vAlign w:val="center"/>
          </w:tcPr>
          <w:p>
            <w:pPr>
              <w:pStyle w:val="TableContents"/>
              <w:spacing w:before="0" w:after="283"/>
              <w:jc w:val="center"/>
              <w:rPr>
                <w:rFonts w:ascii="ARIAL" w:hAnsi="ARIAL"/>
                <w:b/>
                <w:color w:val="02197A"/>
              </w:rPr>
            </w:pPr>
            <w:r>
              <w:rPr>
                <w:rFonts w:ascii="ARIAL" w:hAnsi="ARIAL"/>
                <w:b/>
                <w:color w:val="02197A"/>
              </w:rPr>
              <w:t>36</w:t>
            </w:r>
          </w:p>
        </w:tc>
      </w:tr>
      <w:tr>
        <w:trPr/>
        <w:tc>
          <w:tcPr>
            <w:tcW w:w="6955" w:type="dxa"/>
            <w:tcBorders>
              <w:left w:val="single" w:sz="6" w:space="0" w:color="000000"/>
            </w:tcBorders>
            <w:shd w:fill="auto" w:val="clear"/>
            <w:tcMar>
              <w:left w:w="160" w:type="dxa"/>
            </w:tcMar>
            <w:vAlign w:val="center"/>
          </w:tcPr>
          <w:p>
            <w:pPr>
              <w:pStyle w:val="TableContents"/>
              <w:spacing w:before="0" w:after="283"/>
              <w:rPr/>
            </w:pPr>
            <w:r>
              <w:rPr/>
              <w:t> </w:t>
            </w:r>
          </w:p>
        </w:tc>
        <w:tc>
          <w:tcPr>
            <w:tcW w:w="180" w:type="dxa"/>
            <w:gridSpan w:val="2"/>
            <w:tcBorders/>
            <w:shd w:fill="auto" w:val="clear"/>
            <w:vAlign w:val="center"/>
          </w:tcPr>
          <w:p>
            <w:pPr>
              <w:pStyle w:val="TableContents"/>
              <w:spacing w:before="0" w:after="283"/>
              <w:rPr>
                <w:sz w:val="4"/>
                <w:szCs w:val="4"/>
              </w:rPr>
            </w:pPr>
            <w:r>
              <w:rPr>
                <w:sz w:val="4"/>
                <w:szCs w:val="4"/>
              </w:rPr>
            </w:r>
          </w:p>
        </w:tc>
        <w:tc>
          <w:tcPr>
            <w:tcW w:w="1850" w:type="dxa"/>
            <w:gridSpan w:val="2"/>
            <w:tcBorders>
              <w:left w:val="dotted" w:sz="6" w:space="0" w:color="000000"/>
            </w:tcBorders>
            <w:shd w:fill="auto" w:val="clear"/>
            <w:tcMar>
              <w:left w:w="28" w:type="dxa"/>
            </w:tcMar>
            <w:vAlign w:val="center"/>
          </w:tcPr>
          <w:p>
            <w:pPr>
              <w:pStyle w:val="TableContents"/>
              <w:spacing w:before="0" w:after="283"/>
              <w:rPr/>
            </w:pPr>
            <w:r>
              <w:rPr/>
              <w:t> </w:t>
            </w:r>
          </w:p>
        </w:tc>
        <w:tc>
          <w:tcPr>
            <w:tcW w:w="1220" w:type="dxa"/>
            <w:gridSpan w:val="2"/>
            <w:tcBorders>
              <w:left w:val="dotted" w:sz="6" w:space="0" w:color="000000"/>
              <w:right w:val="single" w:sz="6" w:space="0" w:color="000000"/>
            </w:tcBorders>
            <w:shd w:fill="auto" w:val="clear"/>
            <w:tcMar>
              <w:left w:w="28" w:type="dxa"/>
              <w:right w:w="28" w:type="dxa"/>
            </w:tcMar>
            <w:vAlign w:val="center"/>
          </w:tcPr>
          <w:p>
            <w:pPr>
              <w:pStyle w:val="TableContents"/>
              <w:spacing w:before="0" w:after="283"/>
              <w:rPr/>
            </w:pPr>
            <w:r>
              <w:rPr/>
              <w:t> </w:t>
            </w:r>
          </w:p>
        </w:tc>
      </w:tr>
      <w:tr>
        <w:trPr/>
        <w:tc>
          <w:tcPr>
            <w:tcW w:w="6955" w:type="dxa"/>
            <w:tcBorders>
              <w:left w:val="single" w:sz="6" w:space="0" w:color="000000"/>
              <w:bottom w:val="single" w:sz="6" w:space="0" w:color="000000"/>
            </w:tcBorders>
            <w:shd w:fill="auto" w:val="clear"/>
            <w:tcMar>
              <w:left w:w="160" w:type="dxa"/>
              <w:bottom w:w="80" w:type="dxa"/>
            </w:tcMar>
            <w:vAlign w:val="center"/>
          </w:tcPr>
          <w:p>
            <w:pPr>
              <w:pStyle w:val="TableContents"/>
              <w:spacing w:before="0" w:after="0"/>
              <w:rPr>
                <w:rFonts w:ascii="ARIAL" w:hAnsi="ARIAL"/>
                <w:b/>
                <w:sz w:val="18"/>
              </w:rPr>
            </w:pPr>
            <w:r>
              <w:rPr>
                <w:rFonts w:ascii="ARIAL" w:hAnsi="ARIAL"/>
                <w:b/>
                <w:sz w:val="18"/>
              </w:rPr>
              <w:t>PROPOSAL 2. ADVISORY VOTE ON EXECUTIVE COMPENSATION</w:t>
            </w:r>
          </w:p>
          <w:p>
            <w:pPr>
              <w:pStyle w:val="TableContents"/>
              <w:spacing w:before="0" w:after="20"/>
              <w:rPr>
                <w:rFonts w:ascii="Times New Roman" w:hAnsi="Times New Roman"/>
                <w:sz w:val="18"/>
              </w:rPr>
            </w:pPr>
            <w:r>
              <w:rPr>
                <w:rFonts w:ascii="Times New Roman" w:hAnsi="Times New Roman"/>
                <w:sz w:val="18"/>
              </w:rPr>
              <w:t>The Company has designed its executive compensation program with a mix of compensation elements with the purpose of generating a compensation package that is competitive with an appropriate peer group, provides for the attainment of performance and growth objectives through annual target incentive cash compensation and long-term incentive awards of equity-based compensation, aligns the interests of executive management with stockholders, and retains and attracts valuable executive talent. We are submitting to our stockholders a nonbinding advisory vote to enable them to express their views with respect to the compensation of our named executive officers as described in this Proxy Statement. The Board values stockholders’ opinions and the Compensation Committee will take into account the outcome of the advisory vote when considering future executive compensation decisions.</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60" w:type="dxa"/>
            <w:tcBorders>
              <w:left w:val="dotted" w:sz="6" w:space="0" w:color="000000"/>
              <w:bottom w:val="single" w:sz="6" w:space="0" w:color="000000"/>
            </w:tcBorders>
            <w:shd w:fill="auto" w:val="clear"/>
            <w:tcMar>
              <w:left w:w="28" w:type="dxa"/>
              <w:bottom w:w="28" w:type="dxa"/>
            </w:tcMar>
            <w:vAlign w:val="center"/>
          </w:tcPr>
          <w:p>
            <w:pPr>
              <w:pStyle w:val="TableContents"/>
              <w:spacing w:before="0" w:after="283"/>
              <w:rPr/>
            </w:pPr>
            <w:r>
              <w:rPr/>
              <w:t> </w:t>
            </w:r>
          </w:p>
        </w:tc>
        <w:tc>
          <w:tcPr>
            <w:tcW w:w="1790" w:type="dxa"/>
            <w:tcBorders>
              <w:bottom w:val="single" w:sz="6" w:space="0" w:color="000000"/>
            </w:tcBorders>
            <w:shd w:fill="auto" w:val="clear"/>
            <w:tcMar>
              <w:bottom w:w="80" w:type="dxa"/>
            </w:tcMar>
            <w:vAlign w:val="center"/>
          </w:tcPr>
          <w:p>
            <w:pPr>
              <w:pStyle w:val="TableContents"/>
              <w:spacing w:before="0" w:after="283"/>
              <w:jc w:val="center"/>
              <w:rPr>
                <w:rFonts w:ascii="ARIAL" w:hAnsi="ARIAL"/>
                <w:b/>
                <w:color w:val="02197A"/>
              </w:rPr>
            </w:pPr>
            <w:r>
              <w:rPr>
                <w:rFonts w:ascii="ARIAL" w:hAnsi="ARIAL"/>
                <w:b/>
                <w:color w:val="02197A"/>
              </w:rPr>
              <w:t>FOR</w:t>
            </w:r>
          </w:p>
        </w:tc>
        <w:tc>
          <w:tcPr>
            <w:tcW w:w="60" w:type="dxa"/>
            <w:tcBorders>
              <w:left w:val="dotted" w:sz="6" w:space="0" w:color="000000"/>
              <w:bottom w:val="single" w:sz="6" w:space="0" w:color="000000"/>
            </w:tcBorders>
            <w:shd w:fill="auto" w:val="clear"/>
            <w:tcMar>
              <w:left w:w="28" w:type="dxa"/>
              <w:bottom w:w="28" w:type="dxa"/>
            </w:tcMar>
            <w:vAlign w:val="center"/>
          </w:tcPr>
          <w:p>
            <w:pPr>
              <w:pStyle w:val="TableContents"/>
              <w:spacing w:before="0" w:after="283"/>
              <w:rPr/>
            </w:pPr>
            <w:r>
              <w:rPr/>
              <w:t> </w:t>
            </w:r>
          </w:p>
        </w:tc>
        <w:tc>
          <w:tcPr>
            <w:tcW w:w="1160" w:type="dxa"/>
            <w:tcBorders>
              <w:bottom w:val="single" w:sz="6" w:space="0" w:color="000000"/>
              <w:right w:val="single" w:sz="6" w:space="0" w:color="000000"/>
            </w:tcBorders>
            <w:shd w:fill="auto" w:val="clear"/>
            <w:tcMar>
              <w:bottom w:w="80" w:type="dxa"/>
              <w:right w:w="40" w:type="dxa"/>
            </w:tcMar>
            <w:vAlign w:val="center"/>
          </w:tcPr>
          <w:p>
            <w:pPr>
              <w:pStyle w:val="TableContents"/>
              <w:spacing w:before="0" w:after="283"/>
              <w:jc w:val="center"/>
              <w:rPr>
                <w:rFonts w:ascii="ARIAL" w:hAnsi="ARIAL"/>
                <w:b/>
                <w:color w:val="02197A"/>
              </w:rPr>
            </w:pPr>
            <w:r>
              <w:rPr>
                <w:rFonts w:ascii="ARIAL" w:hAnsi="ARIAL"/>
                <w:b/>
                <w:color w:val="02197A"/>
              </w:rPr>
              <w:t>37</w:t>
            </w:r>
          </w:p>
        </w:tc>
      </w:tr>
      <w:tr>
        <w:trPr/>
        <w:tc>
          <w:tcPr>
            <w:tcW w:w="6955" w:type="dxa"/>
            <w:tcBorders>
              <w:left w:val="single" w:sz="6" w:space="0" w:color="000000"/>
            </w:tcBorders>
            <w:shd w:fill="auto" w:val="clear"/>
            <w:tcMar>
              <w:left w:w="160" w:type="dxa"/>
            </w:tcMar>
            <w:vAlign w:val="center"/>
          </w:tcPr>
          <w:p>
            <w:pPr>
              <w:pStyle w:val="TableContents"/>
              <w:spacing w:before="0" w:after="283"/>
              <w:rPr/>
            </w:pPr>
            <w:r>
              <w:rPr/>
              <w:t> </w:t>
            </w:r>
          </w:p>
        </w:tc>
        <w:tc>
          <w:tcPr>
            <w:tcW w:w="180" w:type="dxa"/>
            <w:gridSpan w:val="2"/>
            <w:tcBorders/>
            <w:shd w:fill="auto" w:val="clear"/>
            <w:vAlign w:val="center"/>
          </w:tcPr>
          <w:p>
            <w:pPr>
              <w:pStyle w:val="TableContents"/>
              <w:spacing w:before="0" w:after="283"/>
              <w:rPr>
                <w:sz w:val="4"/>
                <w:szCs w:val="4"/>
              </w:rPr>
            </w:pPr>
            <w:r>
              <w:rPr>
                <w:sz w:val="4"/>
                <w:szCs w:val="4"/>
              </w:rPr>
            </w:r>
          </w:p>
        </w:tc>
        <w:tc>
          <w:tcPr>
            <w:tcW w:w="1850" w:type="dxa"/>
            <w:gridSpan w:val="2"/>
            <w:tcBorders>
              <w:left w:val="dotted" w:sz="6" w:space="0" w:color="000000"/>
            </w:tcBorders>
            <w:shd w:fill="auto" w:val="clear"/>
            <w:tcMar>
              <w:left w:w="28" w:type="dxa"/>
            </w:tcMar>
            <w:vAlign w:val="center"/>
          </w:tcPr>
          <w:p>
            <w:pPr>
              <w:pStyle w:val="TableContents"/>
              <w:spacing w:before="0" w:after="283"/>
              <w:rPr/>
            </w:pPr>
            <w:r>
              <w:rPr/>
              <w:t> </w:t>
            </w:r>
          </w:p>
        </w:tc>
        <w:tc>
          <w:tcPr>
            <w:tcW w:w="1220" w:type="dxa"/>
            <w:gridSpan w:val="2"/>
            <w:tcBorders>
              <w:left w:val="dotted" w:sz="6" w:space="0" w:color="000000"/>
              <w:right w:val="single" w:sz="6" w:space="0" w:color="000000"/>
            </w:tcBorders>
            <w:shd w:fill="auto" w:val="clear"/>
            <w:tcMar>
              <w:left w:w="28" w:type="dxa"/>
              <w:right w:w="28" w:type="dxa"/>
            </w:tcMar>
            <w:vAlign w:val="center"/>
          </w:tcPr>
          <w:p>
            <w:pPr>
              <w:pStyle w:val="TableContents"/>
              <w:spacing w:before="0" w:after="283"/>
              <w:rPr/>
            </w:pPr>
            <w:r>
              <w:rPr/>
              <w:t> </w:t>
            </w:r>
          </w:p>
        </w:tc>
      </w:tr>
      <w:tr>
        <w:trPr/>
        <w:tc>
          <w:tcPr>
            <w:tcW w:w="6955" w:type="dxa"/>
            <w:tcBorders>
              <w:left w:val="single" w:sz="6" w:space="0" w:color="000000"/>
              <w:bottom w:val="single" w:sz="6" w:space="0" w:color="000000"/>
            </w:tcBorders>
            <w:shd w:fill="auto" w:val="clear"/>
            <w:tcMar>
              <w:left w:w="160" w:type="dxa"/>
              <w:bottom w:w="80" w:type="dxa"/>
            </w:tcMar>
            <w:vAlign w:val="center"/>
          </w:tcPr>
          <w:p>
            <w:pPr>
              <w:pStyle w:val="TableContents"/>
              <w:spacing w:before="0" w:after="0"/>
              <w:rPr>
                <w:rFonts w:ascii="ARIAL" w:hAnsi="ARIAL"/>
                <w:b/>
                <w:sz w:val="18"/>
              </w:rPr>
            </w:pPr>
            <w:r>
              <w:rPr>
                <w:rFonts w:ascii="ARIAL" w:hAnsi="ARIAL"/>
                <w:b/>
                <w:sz w:val="18"/>
              </w:rPr>
              <w:t>PROPOSAL 3. ADVISORY VOTE ON THE FREQUENCY OF FUTURE ADVISORY VOTES ON EXECUTIVE COMPENSATION</w:t>
            </w:r>
          </w:p>
          <w:p>
            <w:pPr>
              <w:pStyle w:val="TableContents"/>
              <w:spacing w:before="0" w:after="20"/>
              <w:rPr>
                <w:rFonts w:ascii="Times New Roman" w:hAnsi="Times New Roman"/>
                <w:sz w:val="18"/>
              </w:rPr>
            </w:pPr>
            <w:r>
              <w:rPr>
                <w:rFonts w:ascii="Times New Roman" w:hAnsi="Times New Roman"/>
                <w:sz w:val="18"/>
              </w:rPr>
              <w:t>The Company is providing stockholders with an advisory vote on whether the advisory vote on executive compensation should be held every one, two or three years. The Board believes that a frequency of “every one year” for the advisory vote on executive compensation continues to be the optimal interval for holding a “say on pay” vote.</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60" w:type="dxa"/>
            <w:tcBorders>
              <w:left w:val="dotted" w:sz="6" w:space="0" w:color="000000"/>
              <w:bottom w:val="single" w:sz="6" w:space="0" w:color="000000"/>
            </w:tcBorders>
            <w:shd w:fill="auto" w:val="clear"/>
            <w:tcMar>
              <w:left w:w="28" w:type="dxa"/>
              <w:bottom w:w="28" w:type="dxa"/>
            </w:tcMar>
            <w:vAlign w:val="center"/>
          </w:tcPr>
          <w:p>
            <w:pPr>
              <w:pStyle w:val="TableContents"/>
              <w:spacing w:before="0" w:after="283"/>
              <w:rPr/>
            </w:pPr>
            <w:r>
              <w:rPr/>
              <w:t> </w:t>
            </w:r>
          </w:p>
        </w:tc>
        <w:tc>
          <w:tcPr>
            <w:tcW w:w="1790" w:type="dxa"/>
            <w:tcBorders>
              <w:bottom w:val="single" w:sz="6" w:space="0" w:color="000000"/>
            </w:tcBorders>
            <w:shd w:fill="auto" w:val="clear"/>
            <w:tcMar>
              <w:bottom w:w="80" w:type="dxa"/>
            </w:tcMar>
            <w:vAlign w:val="center"/>
          </w:tcPr>
          <w:p>
            <w:pPr>
              <w:pStyle w:val="TableContents"/>
              <w:spacing w:before="0" w:after="0"/>
              <w:jc w:val="center"/>
              <w:rPr>
                <w:rFonts w:ascii="ARIAL" w:hAnsi="ARIAL"/>
                <w:b/>
                <w:color w:val="02197A"/>
                <w:sz w:val="18"/>
              </w:rPr>
            </w:pPr>
            <w:r>
              <w:rPr>
                <w:rFonts w:ascii="ARIAL" w:hAnsi="ARIAL"/>
                <w:b/>
                <w:color w:val="02197A"/>
                <w:sz w:val="18"/>
              </w:rPr>
              <w:t>FOR</w:t>
            </w:r>
          </w:p>
          <w:p>
            <w:pPr>
              <w:pStyle w:val="TableContents"/>
              <w:spacing w:before="0" w:after="20"/>
              <w:jc w:val="center"/>
              <w:rPr>
                <w:rFonts w:ascii="ARIAL" w:hAnsi="ARIAL"/>
                <w:b/>
                <w:color w:val="02197A"/>
                <w:sz w:val="18"/>
              </w:rPr>
            </w:pPr>
            <w:r>
              <w:rPr>
                <w:rFonts w:ascii="ARIAL" w:hAnsi="ARIAL"/>
                <w:b/>
                <w:color w:val="02197A"/>
                <w:sz w:val="18"/>
              </w:rPr>
              <w:t>every one year</w:t>
            </w:r>
          </w:p>
        </w:tc>
        <w:tc>
          <w:tcPr>
            <w:tcW w:w="60" w:type="dxa"/>
            <w:tcBorders>
              <w:left w:val="dotted" w:sz="6" w:space="0" w:color="000000"/>
              <w:bottom w:val="single" w:sz="6" w:space="0" w:color="000000"/>
            </w:tcBorders>
            <w:shd w:fill="auto" w:val="clear"/>
            <w:tcMar>
              <w:left w:w="28" w:type="dxa"/>
              <w:bottom w:w="28" w:type="dxa"/>
            </w:tcMar>
            <w:vAlign w:val="center"/>
          </w:tcPr>
          <w:p>
            <w:pPr>
              <w:pStyle w:val="TableContents"/>
              <w:spacing w:before="0" w:after="283"/>
              <w:rPr/>
            </w:pPr>
            <w:r>
              <w:rPr/>
              <w:t> </w:t>
            </w:r>
          </w:p>
        </w:tc>
        <w:tc>
          <w:tcPr>
            <w:tcW w:w="1160" w:type="dxa"/>
            <w:tcBorders>
              <w:bottom w:val="single" w:sz="6" w:space="0" w:color="000000"/>
              <w:right w:val="single" w:sz="6" w:space="0" w:color="000000"/>
            </w:tcBorders>
            <w:shd w:fill="auto" w:val="clear"/>
            <w:tcMar>
              <w:bottom w:w="80" w:type="dxa"/>
              <w:right w:w="40" w:type="dxa"/>
            </w:tcMar>
            <w:vAlign w:val="center"/>
          </w:tcPr>
          <w:p>
            <w:pPr>
              <w:pStyle w:val="TableContents"/>
              <w:spacing w:before="0" w:after="283"/>
              <w:jc w:val="center"/>
              <w:rPr>
                <w:rFonts w:ascii="ARIAL" w:hAnsi="ARIAL"/>
                <w:b/>
                <w:color w:val="02197A"/>
              </w:rPr>
            </w:pPr>
            <w:r>
              <w:rPr>
                <w:rFonts w:ascii="ARIAL" w:hAnsi="ARIAL"/>
                <w:b/>
                <w:color w:val="02197A"/>
              </w:rPr>
              <w:t>38</w:t>
            </w:r>
          </w:p>
        </w:tc>
      </w:tr>
      <w:tr>
        <w:trPr/>
        <w:tc>
          <w:tcPr>
            <w:tcW w:w="6955" w:type="dxa"/>
            <w:tcBorders>
              <w:left w:val="single" w:sz="6" w:space="0" w:color="000000"/>
            </w:tcBorders>
            <w:shd w:fill="auto" w:val="clear"/>
            <w:tcMar>
              <w:left w:w="160" w:type="dxa"/>
            </w:tcMar>
            <w:vAlign w:val="center"/>
          </w:tcPr>
          <w:p>
            <w:pPr>
              <w:pStyle w:val="TableContents"/>
              <w:spacing w:before="0" w:after="283"/>
              <w:rPr/>
            </w:pPr>
            <w:r>
              <w:rPr/>
              <w:t> </w:t>
            </w:r>
          </w:p>
        </w:tc>
        <w:tc>
          <w:tcPr>
            <w:tcW w:w="180" w:type="dxa"/>
            <w:gridSpan w:val="2"/>
            <w:tcBorders/>
            <w:shd w:fill="auto" w:val="clear"/>
            <w:vAlign w:val="center"/>
          </w:tcPr>
          <w:p>
            <w:pPr>
              <w:pStyle w:val="TableContents"/>
              <w:spacing w:before="0" w:after="283"/>
              <w:rPr>
                <w:sz w:val="4"/>
                <w:szCs w:val="4"/>
              </w:rPr>
            </w:pPr>
            <w:r>
              <w:rPr>
                <w:sz w:val="4"/>
                <w:szCs w:val="4"/>
              </w:rPr>
            </w:r>
          </w:p>
        </w:tc>
        <w:tc>
          <w:tcPr>
            <w:tcW w:w="1850" w:type="dxa"/>
            <w:gridSpan w:val="2"/>
            <w:tcBorders>
              <w:left w:val="dotted" w:sz="6" w:space="0" w:color="000000"/>
            </w:tcBorders>
            <w:shd w:fill="auto" w:val="clear"/>
            <w:tcMar>
              <w:left w:w="28" w:type="dxa"/>
            </w:tcMar>
            <w:vAlign w:val="center"/>
          </w:tcPr>
          <w:p>
            <w:pPr>
              <w:pStyle w:val="TableContents"/>
              <w:spacing w:before="0" w:after="283"/>
              <w:rPr/>
            </w:pPr>
            <w:r>
              <w:rPr/>
              <w:t> </w:t>
            </w:r>
          </w:p>
        </w:tc>
        <w:tc>
          <w:tcPr>
            <w:tcW w:w="1220" w:type="dxa"/>
            <w:gridSpan w:val="2"/>
            <w:tcBorders>
              <w:left w:val="dotted" w:sz="6" w:space="0" w:color="000000"/>
              <w:right w:val="single" w:sz="6" w:space="0" w:color="000000"/>
            </w:tcBorders>
            <w:shd w:fill="auto" w:val="clear"/>
            <w:tcMar>
              <w:left w:w="28" w:type="dxa"/>
              <w:right w:w="28" w:type="dxa"/>
            </w:tcMar>
            <w:vAlign w:val="center"/>
          </w:tcPr>
          <w:p>
            <w:pPr>
              <w:pStyle w:val="TableContents"/>
              <w:spacing w:before="0" w:after="283"/>
              <w:rPr/>
            </w:pPr>
            <w:r>
              <w:rPr/>
              <w:t> </w:t>
            </w:r>
          </w:p>
        </w:tc>
      </w:tr>
      <w:tr>
        <w:trPr/>
        <w:tc>
          <w:tcPr>
            <w:tcW w:w="6955" w:type="dxa"/>
            <w:tcBorders>
              <w:left w:val="single" w:sz="6" w:space="0" w:color="000000"/>
              <w:bottom w:val="single" w:sz="6" w:space="0" w:color="000000"/>
            </w:tcBorders>
            <w:shd w:fill="auto" w:val="clear"/>
            <w:tcMar>
              <w:left w:w="160" w:type="dxa"/>
              <w:bottom w:w="80" w:type="dxa"/>
            </w:tcMar>
            <w:vAlign w:val="center"/>
          </w:tcPr>
          <w:p>
            <w:pPr>
              <w:pStyle w:val="TableContents"/>
              <w:spacing w:before="0" w:after="0"/>
              <w:rPr>
                <w:rFonts w:ascii="ARIAL" w:hAnsi="ARIAL"/>
                <w:b/>
                <w:sz w:val="18"/>
              </w:rPr>
            </w:pPr>
            <w:r>
              <w:rPr>
                <w:rFonts w:ascii="ARIAL" w:hAnsi="ARIAL"/>
                <w:b/>
                <w:sz w:val="18"/>
              </w:rPr>
              <w:t>PROPOSAL 4. APPROVAL OF THE AMENDMENT AND RESTATEMENT OF THE COMMUNITY HEALTH SYSTEMS, INC. 2009 STOCK OPTION AND AWARD PLAN, WHICH WAS APPROVED BY THE BOARD OF DIRECTORS ON MARCH 22, 2023, SUBJECT TO STOCKHOLDER APPROVAL.</w:t>
            </w:r>
          </w:p>
          <w:p>
            <w:pPr>
              <w:pStyle w:val="TableContents"/>
              <w:spacing w:before="0" w:after="20"/>
              <w:rPr>
                <w:rFonts w:ascii="Times New Roman" w:hAnsi="Times New Roman"/>
                <w:sz w:val="18"/>
              </w:rPr>
            </w:pPr>
            <w:r>
              <w:rPr>
                <w:rFonts w:ascii="Times New Roman" w:hAnsi="Times New Roman"/>
                <w:sz w:val="18"/>
              </w:rPr>
              <w:t>The Board of Directors proposes that the stockholders approve the amendment and restatement of the Community Health Systems, Inc. 2009 Stock Option and Award Plan, as previously amended and restated, which was approved by the Board on March 22, 2023, subject to stockholder approval at this Annual Meeting. The amendment and restatement of this plan would increase the number of shares available for future grants by 7,500,000 shares.</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60" w:type="dxa"/>
            <w:tcBorders>
              <w:left w:val="dotted" w:sz="6" w:space="0" w:color="000000"/>
              <w:bottom w:val="single" w:sz="6" w:space="0" w:color="000000"/>
            </w:tcBorders>
            <w:shd w:fill="auto" w:val="clear"/>
            <w:tcMar>
              <w:left w:w="28" w:type="dxa"/>
              <w:bottom w:w="28" w:type="dxa"/>
            </w:tcMar>
            <w:vAlign w:val="center"/>
          </w:tcPr>
          <w:p>
            <w:pPr>
              <w:pStyle w:val="TableContents"/>
              <w:spacing w:before="0" w:after="283"/>
              <w:rPr/>
            </w:pPr>
            <w:r>
              <w:rPr/>
              <w:t> </w:t>
            </w:r>
          </w:p>
        </w:tc>
        <w:tc>
          <w:tcPr>
            <w:tcW w:w="1790" w:type="dxa"/>
            <w:tcBorders>
              <w:bottom w:val="single" w:sz="6" w:space="0" w:color="000000"/>
            </w:tcBorders>
            <w:shd w:fill="auto" w:val="clear"/>
            <w:tcMar>
              <w:bottom w:w="80" w:type="dxa"/>
            </w:tcMar>
            <w:vAlign w:val="center"/>
          </w:tcPr>
          <w:p>
            <w:pPr>
              <w:pStyle w:val="TableContents"/>
              <w:spacing w:before="0" w:after="283"/>
              <w:jc w:val="center"/>
              <w:rPr>
                <w:rFonts w:ascii="ARIAL" w:hAnsi="ARIAL"/>
                <w:b/>
                <w:color w:val="02197A"/>
              </w:rPr>
            </w:pPr>
            <w:r>
              <w:rPr>
                <w:rFonts w:ascii="ARIAL" w:hAnsi="ARIAL"/>
                <w:b/>
                <w:color w:val="02197A"/>
              </w:rPr>
              <w:t>FOR</w:t>
            </w:r>
          </w:p>
        </w:tc>
        <w:tc>
          <w:tcPr>
            <w:tcW w:w="60" w:type="dxa"/>
            <w:tcBorders>
              <w:left w:val="dotted" w:sz="6" w:space="0" w:color="000000"/>
              <w:bottom w:val="single" w:sz="6" w:space="0" w:color="000000"/>
            </w:tcBorders>
            <w:shd w:fill="auto" w:val="clear"/>
            <w:tcMar>
              <w:left w:w="28" w:type="dxa"/>
              <w:bottom w:w="28" w:type="dxa"/>
            </w:tcMar>
            <w:vAlign w:val="center"/>
          </w:tcPr>
          <w:p>
            <w:pPr>
              <w:pStyle w:val="TableContents"/>
              <w:spacing w:before="0" w:after="283"/>
              <w:rPr/>
            </w:pPr>
            <w:r>
              <w:rPr/>
              <w:t> </w:t>
            </w:r>
          </w:p>
        </w:tc>
        <w:tc>
          <w:tcPr>
            <w:tcW w:w="1160" w:type="dxa"/>
            <w:tcBorders>
              <w:bottom w:val="single" w:sz="6" w:space="0" w:color="000000"/>
              <w:right w:val="single" w:sz="6" w:space="0" w:color="000000"/>
            </w:tcBorders>
            <w:shd w:fill="auto" w:val="clear"/>
            <w:tcMar>
              <w:bottom w:w="80" w:type="dxa"/>
              <w:right w:w="40" w:type="dxa"/>
            </w:tcMar>
            <w:vAlign w:val="center"/>
          </w:tcPr>
          <w:p>
            <w:pPr>
              <w:pStyle w:val="TableContents"/>
              <w:spacing w:before="0" w:after="283"/>
              <w:jc w:val="center"/>
              <w:rPr>
                <w:rFonts w:ascii="ARIAL" w:hAnsi="ARIAL"/>
                <w:b/>
                <w:color w:val="02197A"/>
              </w:rPr>
            </w:pPr>
            <w:r>
              <w:rPr>
                <w:rFonts w:ascii="ARIAL" w:hAnsi="ARIAL"/>
                <w:b/>
                <w:color w:val="02197A"/>
              </w:rPr>
              <w:t>81</w:t>
            </w:r>
          </w:p>
        </w:tc>
      </w:tr>
      <w:tr>
        <w:trPr/>
        <w:tc>
          <w:tcPr>
            <w:tcW w:w="6955" w:type="dxa"/>
            <w:tcBorders>
              <w:left w:val="single" w:sz="6" w:space="0" w:color="000000"/>
            </w:tcBorders>
            <w:shd w:fill="auto" w:val="clear"/>
            <w:tcMar>
              <w:left w:w="160" w:type="dxa"/>
            </w:tcMar>
            <w:vAlign w:val="center"/>
          </w:tcPr>
          <w:p>
            <w:pPr>
              <w:pStyle w:val="TableContents"/>
              <w:spacing w:before="0" w:after="283"/>
              <w:rPr/>
            </w:pPr>
            <w:r>
              <w:rPr/>
              <w:t> </w:t>
            </w:r>
          </w:p>
        </w:tc>
        <w:tc>
          <w:tcPr>
            <w:tcW w:w="180" w:type="dxa"/>
            <w:gridSpan w:val="2"/>
            <w:tcBorders/>
            <w:shd w:fill="auto" w:val="clear"/>
            <w:vAlign w:val="center"/>
          </w:tcPr>
          <w:p>
            <w:pPr>
              <w:pStyle w:val="TableContents"/>
              <w:spacing w:before="0" w:after="283"/>
              <w:rPr>
                <w:sz w:val="4"/>
                <w:szCs w:val="4"/>
              </w:rPr>
            </w:pPr>
            <w:r>
              <w:rPr>
                <w:sz w:val="4"/>
                <w:szCs w:val="4"/>
              </w:rPr>
            </w:r>
          </w:p>
        </w:tc>
        <w:tc>
          <w:tcPr>
            <w:tcW w:w="1850" w:type="dxa"/>
            <w:gridSpan w:val="2"/>
            <w:tcBorders>
              <w:left w:val="dotted" w:sz="6" w:space="0" w:color="000000"/>
            </w:tcBorders>
            <w:shd w:fill="auto" w:val="clear"/>
            <w:tcMar>
              <w:left w:w="28" w:type="dxa"/>
            </w:tcMar>
            <w:vAlign w:val="center"/>
          </w:tcPr>
          <w:p>
            <w:pPr>
              <w:pStyle w:val="TableContents"/>
              <w:spacing w:before="0" w:after="283"/>
              <w:rPr/>
            </w:pPr>
            <w:r>
              <w:rPr/>
              <w:t> </w:t>
            </w:r>
          </w:p>
        </w:tc>
        <w:tc>
          <w:tcPr>
            <w:tcW w:w="1220" w:type="dxa"/>
            <w:gridSpan w:val="2"/>
            <w:tcBorders>
              <w:left w:val="dotted" w:sz="6" w:space="0" w:color="000000"/>
              <w:right w:val="single" w:sz="6" w:space="0" w:color="000000"/>
            </w:tcBorders>
            <w:shd w:fill="auto" w:val="clear"/>
            <w:tcMar>
              <w:left w:w="28" w:type="dxa"/>
              <w:right w:w="28" w:type="dxa"/>
            </w:tcMar>
            <w:vAlign w:val="center"/>
          </w:tcPr>
          <w:p>
            <w:pPr>
              <w:pStyle w:val="TableContents"/>
              <w:spacing w:before="0" w:after="283"/>
              <w:rPr/>
            </w:pPr>
            <w:r>
              <w:rPr/>
              <w:t> </w:t>
            </w:r>
          </w:p>
        </w:tc>
      </w:tr>
      <w:tr>
        <w:trPr/>
        <w:tc>
          <w:tcPr>
            <w:tcW w:w="6955" w:type="dxa"/>
            <w:tcBorders>
              <w:left w:val="single" w:sz="6" w:space="0" w:color="000000"/>
              <w:bottom w:val="single" w:sz="6" w:space="0" w:color="000000"/>
            </w:tcBorders>
            <w:shd w:fill="auto" w:val="clear"/>
            <w:tcMar>
              <w:left w:w="160" w:type="dxa"/>
              <w:bottom w:w="80" w:type="dxa"/>
            </w:tcMar>
            <w:vAlign w:val="center"/>
          </w:tcPr>
          <w:p>
            <w:pPr>
              <w:pStyle w:val="TableContents"/>
              <w:spacing w:before="0" w:after="0"/>
              <w:rPr>
                <w:rFonts w:ascii="ARIAL" w:hAnsi="ARIAL"/>
                <w:b/>
                <w:sz w:val="18"/>
              </w:rPr>
            </w:pPr>
            <w:r>
              <w:rPr>
                <w:rFonts w:ascii="ARIAL" w:hAnsi="ARIAL"/>
                <w:b/>
                <w:sz w:val="18"/>
              </w:rPr>
              <w:t>PROPOSAL 5. RATIFICATION OF THE APPOINTMENT OF INDEPENDENT REGISTERED PUBLIC ACCOUNTING FIRM</w:t>
            </w:r>
          </w:p>
          <w:p>
            <w:pPr>
              <w:pStyle w:val="TableContents"/>
              <w:spacing w:before="0" w:after="20"/>
              <w:rPr>
                <w:rFonts w:ascii="Times New Roman" w:hAnsi="Times New Roman"/>
                <w:sz w:val="18"/>
              </w:rPr>
            </w:pPr>
            <w:r>
              <w:rPr>
                <w:rFonts w:ascii="Times New Roman" w:hAnsi="Times New Roman"/>
                <w:sz w:val="18"/>
              </w:rPr>
              <w:t>The Audit and Compliance Committee has appointed Deloitte &amp; Touche LLP to serve as the Company’s independent registered public accounting firm for the fiscal year ending December 31, 2023. The Audit and Compliance Committee believes that the continued retention of Deloitte &amp; Touche LLP to serve as the independent auditor is in the best interests of the Company and its stockholders. Stockholders are being asked to ratify the Audit and Compliance Committee’s selection of Deloitte &amp; Touche LLP.</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60" w:type="dxa"/>
            <w:tcBorders>
              <w:left w:val="dotted" w:sz="6" w:space="0" w:color="000000"/>
              <w:bottom w:val="single" w:sz="6" w:space="0" w:color="000000"/>
            </w:tcBorders>
            <w:shd w:fill="auto" w:val="clear"/>
            <w:tcMar>
              <w:left w:w="28" w:type="dxa"/>
              <w:bottom w:w="28" w:type="dxa"/>
            </w:tcMar>
            <w:vAlign w:val="center"/>
          </w:tcPr>
          <w:p>
            <w:pPr>
              <w:pStyle w:val="TableContents"/>
              <w:spacing w:before="0" w:after="283"/>
              <w:rPr/>
            </w:pPr>
            <w:r>
              <w:rPr/>
              <w:t> </w:t>
            </w:r>
          </w:p>
        </w:tc>
        <w:tc>
          <w:tcPr>
            <w:tcW w:w="1790" w:type="dxa"/>
            <w:tcBorders>
              <w:bottom w:val="single" w:sz="6" w:space="0" w:color="000000"/>
            </w:tcBorders>
            <w:shd w:fill="auto" w:val="clear"/>
            <w:tcMar>
              <w:bottom w:w="80" w:type="dxa"/>
            </w:tcMar>
            <w:vAlign w:val="center"/>
          </w:tcPr>
          <w:p>
            <w:pPr>
              <w:pStyle w:val="TableContents"/>
              <w:spacing w:before="0" w:after="283"/>
              <w:jc w:val="center"/>
              <w:rPr>
                <w:rFonts w:ascii="ARIAL" w:hAnsi="ARIAL"/>
                <w:b/>
                <w:color w:val="02197A"/>
              </w:rPr>
            </w:pPr>
            <w:r>
              <w:rPr>
                <w:rFonts w:ascii="ARIAL" w:hAnsi="ARIAL"/>
                <w:b/>
                <w:color w:val="02197A"/>
              </w:rPr>
              <w:t>FOR</w:t>
            </w:r>
          </w:p>
        </w:tc>
        <w:tc>
          <w:tcPr>
            <w:tcW w:w="60" w:type="dxa"/>
            <w:tcBorders>
              <w:left w:val="dotted" w:sz="6" w:space="0" w:color="000000"/>
              <w:bottom w:val="single" w:sz="6" w:space="0" w:color="000000"/>
            </w:tcBorders>
            <w:shd w:fill="auto" w:val="clear"/>
            <w:tcMar>
              <w:left w:w="28" w:type="dxa"/>
              <w:bottom w:w="28" w:type="dxa"/>
            </w:tcMar>
            <w:vAlign w:val="center"/>
          </w:tcPr>
          <w:p>
            <w:pPr>
              <w:pStyle w:val="TableContents"/>
              <w:spacing w:before="0" w:after="283"/>
              <w:rPr/>
            </w:pPr>
            <w:r>
              <w:rPr/>
              <w:t> </w:t>
            </w:r>
          </w:p>
        </w:tc>
        <w:tc>
          <w:tcPr>
            <w:tcW w:w="1160" w:type="dxa"/>
            <w:tcBorders>
              <w:bottom w:val="single" w:sz="6" w:space="0" w:color="000000"/>
              <w:right w:val="single" w:sz="6" w:space="0" w:color="000000"/>
            </w:tcBorders>
            <w:shd w:fill="auto" w:val="clear"/>
            <w:tcMar>
              <w:bottom w:w="80" w:type="dxa"/>
              <w:right w:w="40" w:type="dxa"/>
            </w:tcMar>
            <w:vAlign w:val="center"/>
          </w:tcPr>
          <w:p>
            <w:pPr>
              <w:pStyle w:val="TableContents"/>
              <w:spacing w:before="0" w:after="283"/>
              <w:jc w:val="center"/>
              <w:rPr>
                <w:rFonts w:ascii="ARIAL" w:hAnsi="ARIAL"/>
                <w:b/>
                <w:color w:val="02197A"/>
              </w:rPr>
            </w:pPr>
            <w:r>
              <w:rPr>
                <w:rFonts w:ascii="ARIAL" w:hAnsi="ARIAL"/>
                <w:b/>
                <w:color w:val="02197A"/>
              </w:rPr>
              <w:t>97</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rPr/>
      </w:pPr>
      <w:r>
        <w:rPr/>
      </w:r>
    </w:p>
    <w:p>
      <w:pPr>
        <w:pStyle w:val="TextBody"/>
        <w:spacing w:before="0" w:after="0"/>
        <w:jc w:val="center"/>
        <w:rPr>
          <w:rFonts w:ascii="ARIAL" w:hAnsi="ARIAL"/>
          <w:b/>
          <w:sz w:val="20"/>
        </w:rPr>
      </w:pPr>
      <w:r>
        <w:rPr>
          <w:rFonts w:ascii="ARIAL" w:hAnsi="ARIAL"/>
          <w:b/>
          <w:sz w:val="20"/>
        </w:rPr>
        <w:t xml:space="preserve">ANNUAL MEETING OF STOCKHOLDERS </w:t>
      </w:r>
    </w:p>
    <w:p>
      <w:pPr>
        <w:pStyle w:val="TextBody"/>
        <w:spacing w:before="0" w:after="0"/>
        <w:jc w:val="center"/>
        <w:rPr>
          <w:rFonts w:ascii="ARIAL" w:hAnsi="ARIAL"/>
          <w:b/>
          <w:sz w:val="20"/>
        </w:rPr>
      </w:pPr>
      <w:r>
        <w:rPr>
          <w:rFonts w:ascii="ARIAL" w:hAnsi="ARIAL"/>
          <w:b/>
          <w:sz w:val="20"/>
        </w:rPr>
        <w:t xml:space="preserve">OF </w:t>
      </w:r>
    </w:p>
    <w:p>
      <w:pPr>
        <w:pStyle w:val="TextBody"/>
        <w:spacing w:before="0" w:after="0"/>
        <w:jc w:val="center"/>
        <w:rPr>
          <w:rFonts w:ascii="ARIAL" w:hAnsi="ARIAL"/>
          <w:b/>
          <w:sz w:val="20"/>
        </w:rPr>
      </w:pPr>
      <w:r>
        <w:rPr>
          <w:rFonts w:ascii="ARIAL" w:hAnsi="ARIAL"/>
          <w:b/>
          <w:sz w:val="20"/>
        </w:rPr>
        <w:t xml:space="preserve">COMMUNITY HEALTH SYSTEMS, INC. </w:t>
      </w:r>
    </w:p>
    <w:p>
      <w:pPr>
        <w:pStyle w:val="TextBody"/>
        <w:spacing w:before="0" w:after="0"/>
        <w:jc w:val="center"/>
        <w:rPr>
          <w:rFonts w:ascii="ARIAL" w:hAnsi="ARIAL"/>
          <w:b/>
          <w:sz w:val="20"/>
        </w:rPr>
      </w:pPr>
      <w:r>
        <w:rPr>
          <w:rFonts w:ascii="ARIAL" w:hAnsi="ARIAL"/>
          <w:b/>
          <w:sz w:val="20"/>
        </w:rPr>
        <w:t xml:space="preserve">4000 Meridian Boulevard </w:t>
      </w:r>
    </w:p>
    <w:p>
      <w:pPr>
        <w:pStyle w:val="TextBody"/>
        <w:spacing w:before="0" w:after="0"/>
        <w:jc w:val="center"/>
        <w:rPr>
          <w:rFonts w:ascii="ARIAL" w:hAnsi="ARIAL"/>
          <w:b/>
          <w:sz w:val="20"/>
        </w:rPr>
      </w:pPr>
      <w:r>
        <w:rPr>
          <w:rFonts w:ascii="ARIAL" w:hAnsi="ARIAL"/>
          <w:b/>
          <w:sz w:val="20"/>
        </w:rPr>
        <w:t xml:space="preserve">Franklin, Tennessee 37067 </w:t>
      </w:r>
    </w:p>
    <w:p>
      <w:pPr>
        <w:pStyle w:val="TextBody"/>
        <w:spacing w:before="0" w:after="0"/>
        <w:jc w:val="center"/>
        <w:rPr>
          <w:rFonts w:ascii="ARIAL" w:hAnsi="ARIAL"/>
          <w:b/>
          <w:sz w:val="20"/>
        </w:rPr>
      </w:pPr>
      <w:r>
        <w:rPr>
          <w:rFonts w:ascii="ARIAL" w:hAnsi="ARIAL"/>
          <w:b/>
          <w:sz w:val="20"/>
        </w:rPr>
        <w:t xml:space="preserve">PROXY STATEMENT </w:t>
      </w:r>
    </w:p>
    <w:p>
      <w:pPr>
        <w:pStyle w:val="TextBody"/>
        <w:spacing w:before="0" w:after="0"/>
        <w:jc w:val="center"/>
        <w:rPr>
          <w:rFonts w:ascii="ARIAL" w:hAnsi="ARIAL"/>
          <w:b/>
          <w:sz w:val="20"/>
        </w:rPr>
      </w:pPr>
      <w:r>
        <w:rPr>
          <w:rFonts w:ascii="ARIAL" w:hAnsi="ARIAL"/>
          <w:b/>
          <w:sz w:val="20"/>
        </w:rPr>
        <w:t xml:space="preserve">March 30, 2023 </w:t>
      </w:r>
    </w:p>
    <w:p>
      <w:pPr>
        <w:pStyle w:val="TextBody"/>
        <w:spacing w:before="200" w:after="0"/>
        <w:jc w:val="left"/>
        <w:rPr>
          <w:rFonts w:ascii="ARIAL" w:hAnsi="ARIAL"/>
          <w:b/>
          <w:sz w:val="20"/>
        </w:rPr>
      </w:pPr>
      <w:r>
        <w:rPr>
          <w:rFonts w:ascii="ARIAL" w:hAnsi="ARIAL"/>
          <w:b/>
          <w:sz w:val="20"/>
        </w:rPr>
        <w:t xml:space="preserve">IMPORTANT NOTICE REGARDING THE AVAILABILITY OF PROXY MATERIALS FOR THE STOCKHOLDERS’ MEETING TO BE HELD ON MAY 9, 2023: THIS PROXY STATEMENT, THE FORM OF PROXY CARD AND THE 2022 ANNUAL REPORT TO STOCKHOLDERS ARE AVAILABLE AT WWW.CHS.NET. ADDITIONALLY, AND IN ACCORDANCE WITH SECURITIES AND EXCHANGE COMMISSION (“SEC”) RULES, YOU MAY ACCESS OUR PROXY MATERIALS AT WWW.PROXYVOTE.COM. </w:t>
      </w:r>
    </w:p>
    <w:p>
      <w:pPr>
        <w:pStyle w:val="TextBody"/>
        <w:spacing w:before="200" w:after="0"/>
        <w:jc w:val="left"/>
        <w:rPr>
          <w:rFonts w:ascii="ARIAL" w:hAnsi="ARIAL"/>
          <w:b/>
          <w:sz w:val="20"/>
          <w:u w:val="single"/>
        </w:rPr>
      </w:pPr>
      <w:bookmarkStart w:id="4" w:name="toc360141_2"/>
      <w:bookmarkEnd w:id="4"/>
      <w:r>
        <w:rPr>
          <w:rFonts w:ascii="ARIAL" w:hAnsi="ARIAL"/>
          <w:b/>
          <w:sz w:val="20"/>
          <w:u w:val="single"/>
        </w:rPr>
        <w:t xml:space="preserve">INTRODUCTION </w:t>
      </w:r>
    </w:p>
    <w:p>
      <w:pPr>
        <w:pStyle w:val="TextBody"/>
        <w:spacing w:before="200" w:after="0"/>
        <w:jc w:val="left"/>
        <w:rPr>
          <w:rFonts w:ascii="ARIAL" w:hAnsi="ARIAL"/>
          <w:b/>
          <w:sz w:val="20"/>
          <w:u w:val="single"/>
        </w:rPr>
      </w:pPr>
      <w:r>
        <w:rPr>
          <w:rFonts w:ascii="ARIAL" w:hAnsi="ARIAL"/>
          <w:b/>
          <w:sz w:val="20"/>
          <w:u w:val="single"/>
        </w:rPr>
        <w:t xml:space="preserve">Solicitation </w:t>
      </w:r>
    </w:p>
    <w:p>
      <w:pPr>
        <w:pStyle w:val="TextBody"/>
        <w:spacing w:before="200" w:after="0"/>
        <w:jc w:val="left"/>
        <w:rPr>
          <w:rFonts w:ascii="ARIAL" w:hAnsi="ARIAL"/>
          <w:sz w:val="20"/>
        </w:rPr>
      </w:pPr>
      <w:r>
        <w:rPr>
          <w:rFonts w:ascii="ARIAL" w:hAnsi="ARIAL"/>
          <w:sz w:val="20"/>
        </w:rPr>
        <w:t xml:space="preserve">This Proxy Statement and the form of proxy card of Community Health Systems, Inc. (the “Company”) are being mailed or made available to stockholders beginning on or about March 30, 2023. The Board of Directors of the Company (the “Board” or the “Board of Directors”) is soliciting your proxy to vote your shares at the Company’s 2023 Annual Meeting of Stockholders (the “Meeting”). The Board is soliciting your proxy to give all stockholders the opportunity to vote on matters that will be presented at the Meeting. This Proxy Statement provides you with information on these matters to assist you in voting your shares. </w:t>
      </w:r>
    </w:p>
    <w:p>
      <w:pPr>
        <w:pStyle w:val="TextBody"/>
        <w:spacing w:before="240" w:after="0"/>
        <w:jc w:val="left"/>
        <w:rPr>
          <w:rFonts w:ascii="ARIAL" w:hAnsi="ARIAL"/>
          <w:sz w:val="20"/>
        </w:rPr>
      </w:pPr>
      <w:r>
        <w:rPr>
          <w:rFonts w:ascii="ARIAL" w:hAnsi="ARIAL"/>
          <w:sz w:val="20"/>
        </w:rPr>
        <w:t xml:space="preserve">For simplicity of presentation throughout this Proxy Statement, we refer to employees of our indirect subsidiaries as “employees of the Company,” “our employees” or similar language. Notwithstanding this presentation style, the Company itself does not have any employees. Similarly, the healthcare operations and businesses described in this Proxy Statement are owned and operated and management services provided by distinct and indirect subsidiaries of the Company. </w:t>
      </w:r>
    </w:p>
    <w:p>
      <w:pPr>
        <w:pStyle w:val="TextBody"/>
        <w:spacing w:before="200" w:after="0"/>
        <w:jc w:val="left"/>
        <w:rPr>
          <w:rFonts w:ascii="ARIAL" w:hAnsi="ARIAL"/>
          <w:b/>
          <w:i/>
          <w:sz w:val="20"/>
        </w:rPr>
      </w:pPr>
      <w:r>
        <w:rPr>
          <w:rFonts w:ascii="ARIAL" w:hAnsi="ARIAL"/>
          <w:b/>
          <w:i/>
          <w:sz w:val="20"/>
        </w:rPr>
        <w:t xml:space="preserve">When and where will the Meeting be held? </w:t>
      </w:r>
    </w:p>
    <w:p>
      <w:pPr>
        <w:pStyle w:val="TextBody"/>
        <w:spacing w:before="200" w:after="0"/>
        <w:jc w:val="left"/>
        <w:rPr>
          <w:rFonts w:ascii="ARIAL" w:hAnsi="ARIAL"/>
          <w:sz w:val="20"/>
        </w:rPr>
      </w:pPr>
      <w:r>
        <w:rPr>
          <w:rFonts w:ascii="ARIAL" w:hAnsi="ARIAL"/>
          <w:sz w:val="20"/>
        </w:rPr>
        <w:t xml:space="preserve">The Meeting will be held on Tuesday, May 9, 2023 at 8:00 a.m. (Central Daylight Time) at the Hilton Franklin Cool Springs, 601 Corporate Centre Drive, Franklin, Tennessee 37067. We encourage you to vote your shares prior to the Meeting. </w:t>
      </w:r>
    </w:p>
    <w:p>
      <w:pPr>
        <w:pStyle w:val="TextBody"/>
        <w:spacing w:before="200" w:after="0"/>
        <w:jc w:val="left"/>
        <w:rPr>
          <w:rFonts w:ascii="ARIAL" w:hAnsi="ARIAL"/>
          <w:b/>
          <w:i/>
          <w:sz w:val="20"/>
        </w:rPr>
      </w:pPr>
      <w:r>
        <w:rPr>
          <w:rFonts w:ascii="ARIAL" w:hAnsi="ARIAL"/>
          <w:b/>
          <w:i/>
          <w:sz w:val="20"/>
        </w:rPr>
        <w:t xml:space="preserve">Why did I receive a one-page notice in the mail regarding the internet availability of proxy materials instead of a full set of proxy materials? </w:t>
      </w:r>
    </w:p>
    <w:p>
      <w:pPr>
        <w:pStyle w:val="TextBody"/>
        <w:spacing w:before="200" w:after="0"/>
        <w:jc w:val="left"/>
        <w:rPr>
          <w:rFonts w:ascii="ARIAL" w:hAnsi="ARIAL"/>
          <w:sz w:val="20"/>
        </w:rPr>
      </w:pPr>
      <w:r>
        <w:rPr>
          <w:rFonts w:ascii="ARIAL" w:hAnsi="ARIAL"/>
          <w:sz w:val="20"/>
        </w:rPr>
        <w:t xml:space="preserve">Pursuant to SEC rules and in order to help reduce the environmental impact as well as to reduce the cost to the Company associated with the printing and mailing of proxy materials, the Company has elected to provide access to our proxy materials via the internet. Accordingly, we are sending to many of our stockholders a Notice of Internet Availability of Proxy Materials (a “Notice”) instead of sending a paper copy of the proxy materials. All stockholders receiving a Notice will have the ability to access the proxy materials on a website referenced in the Notice or to request a printed set of proxy materials. Instructions on how to access the proxy materials via the internet or to request printed copies may be found in the Notice and in this Proxy Statement.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1 </w:t>
      </w:r>
      <w:r>
        <w:br w:type="page"/>
      </w:r>
    </w:p>
    <w:p>
      <w:pPr>
        <w:pStyle w:val="HorizontalLine"/>
        <w:rPr/>
      </w:pPr>
      <w:r>
        <w:rPr/>
      </w:r>
    </w:p>
    <w:p>
      <w:pPr>
        <w:pStyle w:val="TextBody"/>
        <w:spacing w:before="0" w:after="0"/>
        <w:jc w:val="left"/>
        <w:rPr>
          <w:rFonts w:ascii="ARIAL" w:hAnsi="ARIAL"/>
          <w:b/>
          <w:i/>
          <w:sz w:val="20"/>
        </w:rPr>
      </w:pPr>
      <w:r>
        <w:rPr>
          <w:rFonts w:ascii="ARIAL" w:hAnsi="ARIAL"/>
          <w:b/>
          <w:i/>
          <w:sz w:val="20"/>
        </w:rPr>
        <w:t xml:space="preserve">What is a proxy? </w:t>
      </w:r>
    </w:p>
    <w:p>
      <w:pPr>
        <w:pStyle w:val="TextBody"/>
        <w:spacing w:before="200" w:after="0"/>
        <w:jc w:val="left"/>
        <w:rPr>
          <w:rFonts w:ascii="ARIAL" w:hAnsi="ARIAL"/>
          <w:sz w:val="20"/>
        </w:rPr>
      </w:pPr>
      <w:r>
        <w:rPr>
          <w:rFonts w:ascii="ARIAL" w:hAnsi="ARIAL"/>
          <w:sz w:val="20"/>
        </w:rPr>
        <w:t xml:space="preserve">A proxy is your legal designation of another person (the “proxy”) to vote on your behalf. By completing and returning the enclosed proxy card (if applicable) or by indicating your vote via one of the other voting methods described below under “How do I vote my shares?”, you are giving the Chief Executive Officer or the Executive Vice President, General Counsel and Assistant Secretary of the Company the authority to vote your shares in the manner you indicate. </w:t>
      </w:r>
    </w:p>
    <w:p>
      <w:pPr>
        <w:pStyle w:val="TextBody"/>
        <w:spacing w:before="200" w:after="0"/>
        <w:jc w:val="left"/>
        <w:rPr>
          <w:rFonts w:ascii="ARIAL" w:hAnsi="ARIAL"/>
          <w:b/>
          <w:i/>
          <w:sz w:val="20"/>
        </w:rPr>
      </w:pPr>
      <w:r>
        <w:rPr>
          <w:rFonts w:ascii="ARIAL" w:hAnsi="ARIAL"/>
          <w:b/>
          <w:i/>
          <w:sz w:val="20"/>
        </w:rPr>
        <w:t xml:space="preserve">Why did I receive more than one proxy card or Notice? </w:t>
      </w:r>
    </w:p>
    <w:p>
      <w:pPr>
        <w:pStyle w:val="TextBody"/>
        <w:spacing w:before="200" w:after="0"/>
        <w:jc w:val="left"/>
        <w:rPr>
          <w:rFonts w:ascii="ARIAL" w:hAnsi="ARIAL"/>
          <w:sz w:val="20"/>
        </w:rPr>
      </w:pPr>
      <w:r>
        <w:rPr>
          <w:rFonts w:ascii="ARIAL" w:hAnsi="ARIAL"/>
          <w:sz w:val="20"/>
        </w:rPr>
        <w:t xml:space="preserve">You may receive multiple proxy cards if you hold your shares in different ways (e.g., joint tenancy, trusts, and custodial accounts) or in multiple accounts. You should indicate your vote on and sign each proxy card you receive. If your shares are held by one or more brokers, banks, trustees or other nominees (i.e., in “street name” as explained further below), you will receive separate voting instructions from each broker, bank, trustee or other nominee holding shares on your behalf regarding how you may vote such shares. You should follow the voting instructions received from each broker, bank, trustee or other nominee to separately indicate your vote for the shares held in each such account. </w:t>
      </w:r>
    </w:p>
    <w:p>
      <w:pPr>
        <w:pStyle w:val="TextBody"/>
        <w:spacing w:before="200" w:after="0"/>
        <w:jc w:val="left"/>
        <w:rPr>
          <w:rFonts w:ascii="ARIAL" w:hAnsi="ARIAL"/>
          <w:b/>
          <w:i/>
          <w:sz w:val="20"/>
        </w:rPr>
      </w:pPr>
      <w:r>
        <w:rPr>
          <w:rFonts w:ascii="ARIAL" w:hAnsi="ARIAL"/>
          <w:b/>
          <w:i/>
          <w:sz w:val="20"/>
        </w:rPr>
        <w:t xml:space="preserve">How can I elect to receive proxy materials electronically in future years? </w:t>
      </w:r>
    </w:p>
    <w:p>
      <w:pPr>
        <w:pStyle w:val="TextBody"/>
        <w:spacing w:before="200" w:after="0"/>
        <w:jc w:val="left"/>
        <w:rPr>
          <w:rFonts w:ascii="ARIAL" w:hAnsi="ARIAL"/>
          <w:sz w:val="20"/>
        </w:rPr>
      </w:pPr>
      <w:r>
        <w:rPr>
          <w:rFonts w:ascii="ARIAL" w:hAnsi="ARIAL"/>
          <w:sz w:val="20"/>
        </w:rPr>
        <w:t xml:space="preserve">We encourage stockholders to take advantage of the availability of the proxy materials on the internet to help reduce the environmental impact of our annual meetings as well as reduce the cost to the Company associated with the printing and mailing of proxy materials. If you received a paper copy of the proxy materials and wish to receive the proxy materials only electronically in the future, the proxy card (or voting instructions) provided with the proxy materials contains instructions on how you may elect to access proxy materials electronically in the future. If you received more than one paper copy of the proxy materials, please follow these instructions on each proxy card (or voting instructions) you received. </w:t>
      </w:r>
    </w:p>
    <w:p>
      <w:pPr>
        <w:pStyle w:val="TextBody"/>
        <w:spacing w:before="200" w:after="0"/>
        <w:jc w:val="left"/>
        <w:rPr>
          <w:rFonts w:ascii="ARIAL" w:hAnsi="ARIAL"/>
          <w:b/>
          <w:sz w:val="20"/>
          <w:u w:val="single"/>
        </w:rPr>
      </w:pPr>
      <w:r>
        <w:rPr>
          <w:rFonts w:ascii="ARIAL" w:hAnsi="ARIAL"/>
          <w:b/>
          <w:sz w:val="20"/>
          <w:u w:val="single"/>
        </w:rPr>
        <w:t xml:space="preserve">Voting Information </w:t>
      </w:r>
    </w:p>
    <w:p>
      <w:pPr>
        <w:pStyle w:val="TextBody"/>
        <w:spacing w:before="200" w:after="0"/>
        <w:jc w:val="left"/>
        <w:rPr>
          <w:rFonts w:ascii="ARIAL" w:hAnsi="ARIAL"/>
          <w:b/>
          <w:i/>
          <w:sz w:val="20"/>
        </w:rPr>
      </w:pPr>
      <w:r>
        <w:rPr>
          <w:rFonts w:ascii="ARIAL" w:hAnsi="ARIAL"/>
          <w:b/>
          <w:i/>
          <w:sz w:val="20"/>
        </w:rPr>
        <w:t xml:space="preserve">Who is qualified to vote? </w:t>
      </w:r>
    </w:p>
    <w:p>
      <w:pPr>
        <w:pStyle w:val="TextBody"/>
        <w:spacing w:before="200" w:after="0"/>
        <w:jc w:val="left"/>
        <w:rPr>
          <w:rFonts w:ascii="ARIAL" w:hAnsi="ARIAL"/>
          <w:sz w:val="20"/>
        </w:rPr>
      </w:pPr>
      <w:r>
        <w:rPr>
          <w:rFonts w:ascii="ARIAL" w:hAnsi="ARIAL"/>
          <w:sz w:val="20"/>
        </w:rPr>
        <w:t xml:space="preserve">You are qualified to receive notice of and to vote on the matters described in this Proxy Statement if you owned shares of common stock of the Company (“Common Stock”) at the close of business on our record date of Monday, March 13, 2023. </w:t>
      </w:r>
    </w:p>
    <w:p>
      <w:pPr>
        <w:pStyle w:val="TextBody"/>
        <w:spacing w:before="200" w:after="0"/>
        <w:jc w:val="left"/>
        <w:rPr>
          <w:rFonts w:ascii="ARIAL" w:hAnsi="ARIAL"/>
          <w:b/>
          <w:i/>
          <w:sz w:val="20"/>
        </w:rPr>
      </w:pPr>
      <w:r>
        <w:rPr>
          <w:rFonts w:ascii="ARIAL" w:hAnsi="ARIAL"/>
          <w:b/>
          <w:i/>
          <w:sz w:val="20"/>
        </w:rPr>
        <w:t xml:space="preserve">How many shares of Common Stock may vote at the Meeting? </w:t>
      </w:r>
    </w:p>
    <w:p>
      <w:pPr>
        <w:pStyle w:val="TextBody"/>
        <w:spacing w:before="200" w:after="0"/>
        <w:jc w:val="left"/>
        <w:rPr>
          <w:rFonts w:ascii="ARIAL" w:hAnsi="ARIAL"/>
          <w:sz w:val="20"/>
        </w:rPr>
      </w:pPr>
      <w:r>
        <w:rPr>
          <w:rFonts w:ascii="ARIAL" w:hAnsi="ARIAL"/>
          <w:sz w:val="20"/>
        </w:rPr>
        <w:t xml:space="preserve">As of March 13, 2023, there were 136,753,427 shares of Common Stock outstanding and entitled to vote. Each share of Common Stock is entitled to one vote on each matter presented. </w:t>
      </w:r>
    </w:p>
    <w:p>
      <w:pPr>
        <w:pStyle w:val="TextBody"/>
        <w:spacing w:before="200" w:after="0"/>
        <w:jc w:val="left"/>
        <w:rPr>
          <w:rFonts w:ascii="ARIAL" w:hAnsi="ARIAL"/>
          <w:b/>
          <w:i/>
          <w:sz w:val="20"/>
        </w:rPr>
      </w:pPr>
      <w:r>
        <w:rPr>
          <w:rFonts w:ascii="ARIAL" w:hAnsi="ARIAL"/>
          <w:b/>
          <w:i/>
          <w:sz w:val="20"/>
        </w:rPr>
        <w:t xml:space="preserve">What is the difference between a “stockholder of record” and a “street name” holder? </w:t>
      </w:r>
    </w:p>
    <w:p>
      <w:pPr>
        <w:pStyle w:val="TextBody"/>
        <w:spacing w:before="200" w:after="0"/>
        <w:jc w:val="left"/>
        <w:rPr>
          <w:rFonts w:ascii="ARIAL" w:hAnsi="ARIAL"/>
          <w:sz w:val="20"/>
        </w:rPr>
      </w:pPr>
      <w:r>
        <w:rPr>
          <w:rFonts w:ascii="ARIAL" w:hAnsi="ARIAL"/>
          <w:sz w:val="20"/>
        </w:rPr>
        <w:t xml:space="preserve">These terms describe how your shares are held. If your shares are registered directly in your name with American Stock Transfer &amp; Trust Company, LLC, the Company’s transfer agent, you are a “stockholder of record.” If your shares are held in the name of a brokerage, bank, trust or other nominee as a custodian, you are a “street name” holder.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2 </w:t>
      </w:r>
      <w:r>
        <w:br w:type="page"/>
      </w:r>
    </w:p>
    <w:p>
      <w:pPr>
        <w:pStyle w:val="HorizontalLine"/>
        <w:rPr/>
      </w:pPr>
      <w:r>
        <w:rPr/>
      </w:r>
    </w:p>
    <w:p>
      <w:pPr>
        <w:pStyle w:val="TextBody"/>
        <w:spacing w:before="0" w:after="0"/>
        <w:jc w:val="left"/>
        <w:rPr>
          <w:rFonts w:ascii="ARIAL" w:hAnsi="ARIAL"/>
          <w:b/>
          <w:i/>
          <w:sz w:val="20"/>
        </w:rPr>
      </w:pPr>
      <w:r>
        <w:rPr>
          <w:rFonts w:ascii="ARIAL" w:hAnsi="ARIAL"/>
          <w:b/>
          <w:i/>
          <w:sz w:val="20"/>
        </w:rPr>
        <w:t xml:space="preserve">How do I vote my shares? </w:t>
      </w:r>
    </w:p>
    <w:p>
      <w:pPr>
        <w:pStyle w:val="TextBody"/>
        <w:spacing w:before="200" w:after="0"/>
        <w:jc w:val="left"/>
        <w:rPr>
          <w:rFonts w:ascii="ARIAL" w:hAnsi="ARIAL"/>
          <w:sz w:val="20"/>
        </w:rPr>
      </w:pPr>
      <w:r>
        <w:rPr>
          <w:rFonts w:ascii="ARIAL" w:hAnsi="ARIAL"/>
          <w:sz w:val="20"/>
        </w:rPr>
        <w:t xml:space="preserve">If you are a “stockholder of record” who received printed copies of the proxy materials, you can vote your proxy by mailing in the enclosed proxy card or you can vote prior to the Meeting by using one of the alternatives below: </w:t>
      </w:r>
    </w:p>
    <w:p>
      <w:pPr>
        <w:pStyle w:val="TextBody"/>
        <w:spacing w:before="200" w:after="0"/>
        <w:jc w:val="left"/>
        <w:rPr>
          <w:rFonts w:ascii="ARIAL" w:hAnsi="ARIAL"/>
          <w:b/>
          <w:sz w:val="20"/>
        </w:rPr>
      </w:pPr>
      <w:r>
        <w:rPr>
          <w:rFonts w:ascii="ARIAL" w:hAnsi="ARIAL"/>
          <w:b/>
          <w:sz w:val="20"/>
        </w:rPr>
        <w:t xml:space="preserve">To vote by telephone: 1-800-690-6903 </w:t>
      </w:r>
    </w:p>
    <w:p>
      <w:pPr>
        <w:pStyle w:val="TextBody"/>
        <w:spacing w:before="200" w:after="0"/>
        <w:jc w:val="left"/>
        <w:rPr>
          <w:rFonts w:ascii="ARIAL" w:hAnsi="ARIAL"/>
          <w:b/>
          <w:sz w:val="20"/>
        </w:rPr>
      </w:pPr>
      <w:r>
        <w:rPr>
          <w:rFonts w:ascii="ARIAL" w:hAnsi="ARIAL"/>
          <w:b/>
          <w:sz w:val="20"/>
        </w:rPr>
        <w:t xml:space="preserve">To vote by internet: www.proxyvote.com </w:t>
      </w:r>
    </w:p>
    <w:p>
      <w:pPr>
        <w:pStyle w:val="TextBody"/>
        <w:spacing w:before="200" w:after="0"/>
        <w:jc w:val="left"/>
        <w:rPr>
          <w:rFonts w:ascii="ARIAL" w:hAnsi="ARIAL"/>
          <w:sz w:val="20"/>
        </w:rPr>
      </w:pPr>
      <w:r>
        <w:rPr>
          <w:rFonts w:ascii="ARIAL" w:hAnsi="ARIAL"/>
          <w:sz w:val="20"/>
        </w:rPr>
        <w:t xml:space="preserve">Please refer to the specific instructions set forth on the enclosed proxy card. In addition, please have the 16 digit control number, located on the proxy card, available when voting your shares. If you choose to vote your shares by telephone or through the internet, as noted above, it is not necessary for you to mail back your proxy card. </w:t>
      </w:r>
    </w:p>
    <w:p>
      <w:pPr>
        <w:pStyle w:val="TextBody"/>
        <w:spacing w:before="200" w:after="0"/>
        <w:jc w:val="left"/>
        <w:rPr>
          <w:rFonts w:ascii="ARIAL" w:hAnsi="ARIAL"/>
          <w:sz w:val="20"/>
        </w:rPr>
      </w:pPr>
      <w:r>
        <w:rPr>
          <w:rFonts w:ascii="ARIAL" w:hAnsi="ARIAL"/>
          <w:sz w:val="20"/>
        </w:rPr>
        <w:t xml:space="preserve">If you received one or more Notices instead of printed copies of the proxy materials, you should follow the voting instructions set forth in each Notice. </w:t>
      </w:r>
    </w:p>
    <w:p>
      <w:pPr>
        <w:pStyle w:val="TextBody"/>
        <w:spacing w:before="200" w:after="0"/>
        <w:jc w:val="left"/>
        <w:rPr>
          <w:rFonts w:ascii="ARIAL" w:hAnsi="ARIAL"/>
          <w:sz w:val="20"/>
        </w:rPr>
      </w:pPr>
      <w:r>
        <w:rPr>
          <w:rFonts w:ascii="ARIAL" w:hAnsi="ARIAL"/>
          <w:sz w:val="20"/>
        </w:rPr>
        <w:t xml:space="preserve">If you hold your shares in “street name,” your broker, bank, trustee or other nominee will provide you with materials and instructions for voting your shares, which allow you to vote prior to the Meeting by using the internet or a toll free telephone number to vote your shares. If you hold shares through more than one broker, bank, trustee or other nominee, you should receive separate materials and voting instructions from each. You will need to separately follow the instructions received from each broker, bank, trustee or other nominee through which you hold shares in order to ensure that all of your shares are voted. </w:t>
      </w:r>
    </w:p>
    <w:p>
      <w:pPr>
        <w:pStyle w:val="TextBody"/>
        <w:spacing w:before="200" w:after="0"/>
        <w:jc w:val="left"/>
        <w:rPr>
          <w:rFonts w:ascii="ARIAL" w:hAnsi="ARIAL"/>
          <w:sz w:val="20"/>
        </w:rPr>
      </w:pPr>
      <w:r>
        <w:rPr>
          <w:rFonts w:ascii="ARIAL" w:hAnsi="ARIAL"/>
          <w:sz w:val="20"/>
        </w:rPr>
        <w:t xml:space="preserve">In addition to the voting methods set forth above, “stockholders of record” and holders of shares in “street name” may vote at the Meeting as set forth below under “Can I vote my shares at the Meeting?” </w:t>
      </w:r>
    </w:p>
    <w:p>
      <w:pPr>
        <w:pStyle w:val="TextBody"/>
        <w:spacing w:before="200" w:after="0"/>
        <w:jc w:val="left"/>
        <w:rPr>
          <w:rFonts w:ascii="ARIAL" w:hAnsi="ARIAL"/>
          <w:b/>
          <w:i/>
          <w:sz w:val="20"/>
        </w:rPr>
      </w:pPr>
      <w:r>
        <w:rPr>
          <w:rFonts w:ascii="ARIAL" w:hAnsi="ARIAL"/>
          <w:b/>
          <w:i/>
          <w:sz w:val="20"/>
        </w:rPr>
        <w:t xml:space="preserve">Can I vote my shares at the Meeting? </w:t>
      </w:r>
    </w:p>
    <w:p>
      <w:pPr>
        <w:pStyle w:val="TextBody"/>
        <w:spacing w:before="200" w:after="0"/>
        <w:jc w:val="left"/>
        <w:rPr>
          <w:rFonts w:ascii="ARIAL" w:hAnsi="ARIAL"/>
          <w:sz w:val="20"/>
        </w:rPr>
      </w:pPr>
      <w:r>
        <w:rPr>
          <w:rFonts w:ascii="ARIAL" w:hAnsi="ARIAL"/>
          <w:sz w:val="20"/>
        </w:rPr>
        <w:t xml:space="preserve">If you are a “stockholder of record,” you may vote your shares in person at the Meeting. If you hold your shares in “street name,” you must obtain a proxy from your broker, bank, trustee or other nominee, giving you the right to vote the shares at the Meeting. In order to be admitted to the Meeting, you must present a valid government-issued photo identification and proof of ownership of the Company’s stock as of the record date. This can be a brokerage statement or letter from a bank indicating ownership as of the record date, a proxy card or a legal proxy provided by your broker, bank, trustee or other nominee. If you hold your shares in “street name,” please consult with your broker, bank, trustee or other nominee, as necessary, in advance of the Meeting date to ensure that you have what you need to be admitted to the Meeting. </w:t>
      </w:r>
    </w:p>
    <w:p>
      <w:pPr>
        <w:pStyle w:val="TextBody"/>
        <w:spacing w:before="200" w:after="0"/>
        <w:jc w:val="left"/>
        <w:rPr>
          <w:rFonts w:ascii="ARIAL" w:hAnsi="ARIAL"/>
          <w:b/>
          <w:i/>
          <w:sz w:val="20"/>
        </w:rPr>
      </w:pPr>
      <w:r>
        <w:rPr>
          <w:rFonts w:ascii="ARIAL" w:hAnsi="ARIAL"/>
          <w:b/>
          <w:i/>
          <w:sz w:val="20"/>
        </w:rPr>
        <w:t xml:space="preserve">What are the Board’s recommendations on how I should vote my shares? </w:t>
      </w:r>
    </w:p>
    <w:p>
      <w:pPr>
        <w:pStyle w:val="TextBody"/>
        <w:spacing w:before="200" w:after="0"/>
        <w:jc w:val="left"/>
        <w:rPr>
          <w:rFonts w:ascii="ARIAL" w:hAnsi="ARIAL"/>
          <w:sz w:val="20"/>
        </w:rPr>
      </w:pPr>
      <w:r>
        <w:rPr>
          <w:rFonts w:ascii="ARIAL" w:hAnsi="ARIAL"/>
          <w:sz w:val="20"/>
        </w:rPr>
        <w:t xml:space="preserve">The Board recommends that you vote your shares as follows: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340"/>
        <w:gridCol w:w="120"/>
        <w:gridCol w:w="8745"/>
      </w:tblGrid>
      <w:tr>
        <w:trPr/>
        <w:tc>
          <w:tcPr>
            <w:tcW w:w="134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745" w:type="dxa"/>
            <w:tcBorders/>
            <w:shd w:fill="auto" w:val="clear"/>
            <w:vAlign w:val="center"/>
          </w:tcPr>
          <w:p>
            <w:pPr>
              <w:pStyle w:val="TableContents"/>
              <w:spacing w:before="0" w:after="283"/>
              <w:rPr>
                <w:sz w:val="4"/>
                <w:szCs w:val="4"/>
              </w:rPr>
            </w:pPr>
            <w:r>
              <w:rPr>
                <w:sz w:val="4"/>
                <w:szCs w:val="4"/>
              </w:rPr>
            </w:r>
          </w:p>
        </w:tc>
      </w:tr>
      <w:tr>
        <w:trPr/>
        <w:tc>
          <w:tcPr>
            <w:tcW w:w="1340" w:type="dxa"/>
            <w:tcBorders/>
            <w:shd w:fill="auto" w:val="clear"/>
            <w:vAlign w:val="center"/>
          </w:tcPr>
          <w:p>
            <w:pPr>
              <w:pStyle w:val="TableContents"/>
              <w:spacing w:before="0" w:after="283"/>
              <w:rPr/>
            </w:pPr>
            <w:r>
              <w:rPr/>
              <w:t>Proposal 1 —</w:t>
            </w:r>
          </w:p>
        </w:tc>
        <w:tc>
          <w:tcPr>
            <w:tcW w:w="120" w:type="dxa"/>
            <w:tcBorders/>
            <w:shd w:fill="auto" w:val="clear"/>
            <w:vAlign w:val="center"/>
          </w:tcPr>
          <w:p>
            <w:pPr>
              <w:pStyle w:val="TableContents"/>
              <w:spacing w:before="0" w:after="283"/>
              <w:rPr/>
            </w:pPr>
            <w:r>
              <w:rPr/>
              <w:t>  </w:t>
            </w:r>
          </w:p>
        </w:tc>
        <w:tc>
          <w:tcPr>
            <w:tcW w:w="8745" w:type="dxa"/>
            <w:tcBorders/>
            <w:shd w:fill="auto" w:val="clear"/>
            <w:vAlign w:val="center"/>
          </w:tcPr>
          <w:p>
            <w:pPr>
              <w:pStyle w:val="TableContents"/>
              <w:spacing w:before="0" w:after="283"/>
              <w:rPr/>
            </w:pPr>
            <w:r>
              <w:rPr>
                <w:b/>
              </w:rPr>
              <w:t>FOR</w:t>
            </w:r>
            <w:r>
              <w:rPr/>
              <w:t xml:space="preserve"> the election of each of the following twelve (12) nominees for director: Susan W. Brooks; John A. Clerico; Michael Dinkins; James S. Ely III; John A. Fry; Joseph A. Hastings, D.M.D.; Tim L. Hingtgen; Elizabeth T. Hirsch; William Norris Jennings, M.D.; K. Ranga Krishnan, MBBS; Wayne T. Smith; and H. James Williams, Ph.D. to one-year terms expiring at the 2024 Annual Meeting of Stockholders.</w:t>
            </w:r>
          </w:p>
        </w:tc>
      </w:tr>
      <w:tr>
        <w:trPr/>
        <w:tc>
          <w:tcPr>
            <w:tcW w:w="1340" w:type="dxa"/>
            <w:tcBorders/>
            <w:shd w:fill="auto" w:val="clear"/>
            <w:vAlign w:val="center"/>
          </w:tcPr>
          <w:p>
            <w:pPr>
              <w:pStyle w:val="TableContents"/>
              <w:spacing w:before="0" w:after="283"/>
              <w:rPr>
                <w:sz w:val="4"/>
                <w:szCs w:val="4"/>
              </w:rPr>
            </w:pPr>
            <w:r>
              <w:rPr>
                <w:sz w:val="4"/>
                <w:szCs w:val="4"/>
              </w:rPr>
            </w:r>
          </w:p>
        </w:tc>
        <w:tc>
          <w:tcPr>
            <w:tcW w:w="8865" w:type="dxa"/>
            <w:gridSpan w:val="2"/>
            <w:tcBorders/>
            <w:shd w:fill="auto" w:val="clear"/>
            <w:vAlign w:val="center"/>
          </w:tcPr>
          <w:p>
            <w:pPr>
              <w:pStyle w:val="TableContents"/>
              <w:spacing w:before="0" w:after="283"/>
              <w:rPr>
                <w:sz w:val="4"/>
                <w:szCs w:val="4"/>
              </w:rPr>
            </w:pPr>
            <w:r>
              <w:rPr>
                <w:sz w:val="4"/>
                <w:szCs w:val="4"/>
              </w:rPr>
            </w:r>
          </w:p>
        </w:tc>
      </w:tr>
      <w:tr>
        <w:trPr/>
        <w:tc>
          <w:tcPr>
            <w:tcW w:w="1340" w:type="dxa"/>
            <w:tcBorders/>
            <w:shd w:fill="auto" w:val="clear"/>
            <w:vAlign w:val="center"/>
          </w:tcPr>
          <w:p>
            <w:pPr>
              <w:pStyle w:val="TableContents"/>
              <w:spacing w:before="0" w:after="283"/>
              <w:rPr/>
            </w:pPr>
            <w:r>
              <w:rPr/>
              <w:t>Proposal 2 —</w:t>
            </w:r>
          </w:p>
        </w:tc>
        <w:tc>
          <w:tcPr>
            <w:tcW w:w="120" w:type="dxa"/>
            <w:tcBorders/>
            <w:shd w:fill="auto" w:val="clear"/>
            <w:vAlign w:val="center"/>
          </w:tcPr>
          <w:p>
            <w:pPr>
              <w:pStyle w:val="TableContents"/>
              <w:spacing w:before="0" w:after="283"/>
              <w:rPr/>
            </w:pPr>
            <w:r>
              <w:rPr/>
              <w:t>  </w:t>
            </w:r>
          </w:p>
        </w:tc>
        <w:tc>
          <w:tcPr>
            <w:tcW w:w="8745" w:type="dxa"/>
            <w:tcBorders/>
            <w:shd w:fill="auto" w:val="clear"/>
            <w:vAlign w:val="center"/>
          </w:tcPr>
          <w:p>
            <w:pPr>
              <w:pStyle w:val="TableContents"/>
              <w:spacing w:before="0" w:after="283"/>
              <w:rPr/>
            </w:pPr>
            <w:r>
              <w:rPr>
                <w:b/>
              </w:rPr>
              <w:t>FOR</w:t>
            </w:r>
            <w:r>
              <w:rPr/>
              <w:t xml:space="preserve"> the approval, on an advisory basis, of the compensation of our named executive officers, as disclosed in this Proxy Statement.</w:t>
            </w:r>
          </w:p>
        </w:tc>
      </w:tr>
      <w:tr>
        <w:trPr/>
        <w:tc>
          <w:tcPr>
            <w:tcW w:w="1340" w:type="dxa"/>
            <w:tcBorders/>
            <w:shd w:fill="auto" w:val="clear"/>
            <w:vAlign w:val="center"/>
          </w:tcPr>
          <w:p>
            <w:pPr>
              <w:pStyle w:val="TableContents"/>
              <w:spacing w:before="0" w:after="283"/>
              <w:rPr>
                <w:sz w:val="4"/>
                <w:szCs w:val="4"/>
              </w:rPr>
            </w:pPr>
            <w:r>
              <w:rPr>
                <w:sz w:val="4"/>
                <w:szCs w:val="4"/>
              </w:rPr>
            </w:r>
          </w:p>
        </w:tc>
        <w:tc>
          <w:tcPr>
            <w:tcW w:w="8865" w:type="dxa"/>
            <w:gridSpan w:val="2"/>
            <w:tcBorders/>
            <w:shd w:fill="auto" w:val="clear"/>
            <w:vAlign w:val="center"/>
          </w:tcPr>
          <w:p>
            <w:pPr>
              <w:pStyle w:val="TableContents"/>
              <w:spacing w:before="0" w:after="283"/>
              <w:rPr>
                <w:sz w:val="4"/>
                <w:szCs w:val="4"/>
              </w:rPr>
            </w:pPr>
            <w:r>
              <w:rPr>
                <w:sz w:val="4"/>
                <w:szCs w:val="4"/>
              </w:rPr>
            </w:r>
          </w:p>
        </w:tc>
      </w:tr>
      <w:tr>
        <w:trPr/>
        <w:tc>
          <w:tcPr>
            <w:tcW w:w="1340" w:type="dxa"/>
            <w:tcBorders/>
            <w:shd w:fill="auto" w:val="clear"/>
            <w:vAlign w:val="center"/>
          </w:tcPr>
          <w:p>
            <w:pPr>
              <w:pStyle w:val="TableContents"/>
              <w:spacing w:before="0" w:after="283"/>
              <w:rPr/>
            </w:pPr>
            <w:r>
              <w:rPr/>
              <w:t>Proposal 3 —</w:t>
            </w:r>
          </w:p>
        </w:tc>
        <w:tc>
          <w:tcPr>
            <w:tcW w:w="120" w:type="dxa"/>
            <w:tcBorders/>
            <w:shd w:fill="auto" w:val="clear"/>
            <w:vAlign w:val="center"/>
          </w:tcPr>
          <w:p>
            <w:pPr>
              <w:pStyle w:val="TableContents"/>
              <w:spacing w:before="0" w:after="283"/>
              <w:rPr/>
            </w:pPr>
            <w:r>
              <w:rPr/>
              <w:t>  </w:t>
            </w:r>
          </w:p>
        </w:tc>
        <w:tc>
          <w:tcPr>
            <w:tcW w:w="8745" w:type="dxa"/>
            <w:tcBorders/>
            <w:shd w:fill="auto" w:val="clear"/>
            <w:vAlign w:val="center"/>
          </w:tcPr>
          <w:p>
            <w:pPr>
              <w:pStyle w:val="TableContents"/>
              <w:spacing w:before="0" w:after="283"/>
              <w:rPr/>
            </w:pPr>
            <w:r>
              <w:rPr>
                <w:b/>
              </w:rPr>
              <w:t>FOR</w:t>
            </w:r>
            <w:r>
              <w:rPr/>
              <w:t xml:space="preserve"> the option of every “one year”, on an advisory basis, as to the frequency with which stockholders are provided future advisory votes on the compensation of our named executive officers.</w:t>
            </w:r>
          </w:p>
        </w:tc>
      </w:tr>
      <w:tr>
        <w:trPr/>
        <w:tc>
          <w:tcPr>
            <w:tcW w:w="1340" w:type="dxa"/>
            <w:tcBorders/>
            <w:shd w:fill="auto" w:val="clear"/>
            <w:vAlign w:val="center"/>
          </w:tcPr>
          <w:p>
            <w:pPr>
              <w:pStyle w:val="TableContents"/>
              <w:spacing w:before="0" w:after="283"/>
              <w:rPr>
                <w:sz w:val="4"/>
                <w:szCs w:val="4"/>
              </w:rPr>
            </w:pPr>
            <w:r>
              <w:rPr>
                <w:sz w:val="4"/>
                <w:szCs w:val="4"/>
              </w:rPr>
            </w:r>
          </w:p>
        </w:tc>
        <w:tc>
          <w:tcPr>
            <w:tcW w:w="8865" w:type="dxa"/>
            <w:gridSpan w:val="2"/>
            <w:tcBorders/>
            <w:shd w:fill="auto" w:val="clear"/>
            <w:vAlign w:val="center"/>
          </w:tcPr>
          <w:p>
            <w:pPr>
              <w:pStyle w:val="TableContents"/>
              <w:spacing w:before="0" w:after="283"/>
              <w:rPr>
                <w:sz w:val="4"/>
                <w:szCs w:val="4"/>
              </w:rPr>
            </w:pPr>
            <w:r>
              <w:rPr>
                <w:sz w:val="4"/>
                <w:szCs w:val="4"/>
              </w:rPr>
            </w:r>
          </w:p>
        </w:tc>
      </w:tr>
      <w:tr>
        <w:trPr/>
        <w:tc>
          <w:tcPr>
            <w:tcW w:w="1340" w:type="dxa"/>
            <w:tcBorders/>
            <w:shd w:fill="auto" w:val="clear"/>
            <w:vAlign w:val="center"/>
          </w:tcPr>
          <w:p>
            <w:pPr>
              <w:pStyle w:val="TableContents"/>
              <w:spacing w:before="0" w:after="283"/>
              <w:rPr/>
            </w:pPr>
            <w:r>
              <w:rPr/>
              <w:t>Proposal 4 —</w:t>
            </w:r>
          </w:p>
        </w:tc>
        <w:tc>
          <w:tcPr>
            <w:tcW w:w="120" w:type="dxa"/>
            <w:tcBorders/>
            <w:shd w:fill="auto" w:val="clear"/>
            <w:vAlign w:val="center"/>
          </w:tcPr>
          <w:p>
            <w:pPr>
              <w:pStyle w:val="TableContents"/>
              <w:spacing w:before="0" w:after="283"/>
              <w:rPr/>
            </w:pPr>
            <w:r>
              <w:rPr/>
              <w:t>  </w:t>
            </w:r>
          </w:p>
        </w:tc>
        <w:tc>
          <w:tcPr>
            <w:tcW w:w="8745" w:type="dxa"/>
            <w:tcBorders/>
            <w:shd w:fill="auto" w:val="clear"/>
            <w:vAlign w:val="center"/>
          </w:tcPr>
          <w:p>
            <w:pPr>
              <w:pStyle w:val="TableContents"/>
              <w:spacing w:before="0" w:after="283"/>
              <w:rPr/>
            </w:pPr>
            <w:r>
              <w:rPr>
                <w:b/>
              </w:rPr>
              <w:t>FOR</w:t>
            </w:r>
            <w:r>
              <w:rPr/>
              <w:t xml:space="preserve"> the approval of the amendment and restatement of the 2009 Plan, which was approved by the Board on March 22, 2023, subject to stockholder approval.</w:t>
            </w:r>
          </w:p>
        </w:tc>
      </w:tr>
      <w:tr>
        <w:trPr/>
        <w:tc>
          <w:tcPr>
            <w:tcW w:w="1340" w:type="dxa"/>
            <w:tcBorders/>
            <w:shd w:fill="auto" w:val="clear"/>
            <w:vAlign w:val="center"/>
          </w:tcPr>
          <w:p>
            <w:pPr>
              <w:pStyle w:val="TableContents"/>
              <w:spacing w:before="0" w:after="283"/>
              <w:rPr>
                <w:sz w:val="4"/>
                <w:szCs w:val="4"/>
              </w:rPr>
            </w:pPr>
            <w:r>
              <w:rPr>
                <w:sz w:val="4"/>
                <w:szCs w:val="4"/>
              </w:rPr>
            </w:r>
          </w:p>
        </w:tc>
        <w:tc>
          <w:tcPr>
            <w:tcW w:w="8865" w:type="dxa"/>
            <w:gridSpan w:val="2"/>
            <w:tcBorders/>
            <w:shd w:fill="auto" w:val="clear"/>
            <w:vAlign w:val="center"/>
          </w:tcPr>
          <w:p>
            <w:pPr>
              <w:pStyle w:val="TableContents"/>
              <w:spacing w:before="0" w:after="283"/>
              <w:rPr>
                <w:sz w:val="4"/>
                <w:szCs w:val="4"/>
              </w:rPr>
            </w:pPr>
            <w:r>
              <w:rPr>
                <w:sz w:val="4"/>
                <w:szCs w:val="4"/>
              </w:rPr>
            </w:r>
          </w:p>
        </w:tc>
      </w:tr>
      <w:tr>
        <w:trPr/>
        <w:tc>
          <w:tcPr>
            <w:tcW w:w="1340" w:type="dxa"/>
            <w:tcBorders/>
            <w:shd w:fill="auto" w:val="clear"/>
            <w:vAlign w:val="center"/>
          </w:tcPr>
          <w:p>
            <w:pPr>
              <w:pStyle w:val="TableContents"/>
              <w:spacing w:before="0" w:after="283"/>
              <w:rPr/>
            </w:pPr>
            <w:r>
              <w:rPr/>
              <w:t>Proposal 5 —</w:t>
            </w:r>
          </w:p>
        </w:tc>
        <w:tc>
          <w:tcPr>
            <w:tcW w:w="120" w:type="dxa"/>
            <w:tcBorders/>
            <w:shd w:fill="auto" w:val="clear"/>
            <w:vAlign w:val="center"/>
          </w:tcPr>
          <w:p>
            <w:pPr>
              <w:pStyle w:val="TableContents"/>
              <w:spacing w:before="0" w:after="283"/>
              <w:rPr/>
            </w:pPr>
            <w:r>
              <w:rPr/>
              <w:t>  </w:t>
            </w:r>
          </w:p>
        </w:tc>
        <w:tc>
          <w:tcPr>
            <w:tcW w:w="8745" w:type="dxa"/>
            <w:tcBorders/>
            <w:shd w:fill="auto" w:val="clear"/>
            <w:vAlign w:val="center"/>
          </w:tcPr>
          <w:p>
            <w:pPr>
              <w:pStyle w:val="TableContents"/>
              <w:spacing w:before="0" w:after="283"/>
              <w:rPr/>
            </w:pPr>
            <w:r>
              <w:rPr>
                <w:b/>
              </w:rPr>
              <w:t>FOR</w:t>
            </w:r>
            <w:r>
              <w:rPr/>
              <w:t xml:space="preserve"> the ratification of the appointment of Deloitte &amp; Touche LLP as the Company’s independent registered public accounting firm (independent auditors) for the fiscal year ending December 31, 2023.</w:t>
            </w:r>
          </w:p>
        </w:tc>
      </w:tr>
    </w:tbl>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3 </w:t>
      </w:r>
      <w:r>
        <w:br w:type="page"/>
      </w:r>
    </w:p>
    <w:p>
      <w:pPr>
        <w:pStyle w:val="HorizontalLine"/>
        <w:rPr/>
      </w:pPr>
      <w:r>
        <w:rPr/>
      </w:r>
    </w:p>
    <w:p>
      <w:pPr>
        <w:pStyle w:val="TextBody"/>
        <w:spacing w:before="0" w:after="0"/>
        <w:jc w:val="left"/>
        <w:rPr>
          <w:rFonts w:ascii="ARIAL" w:hAnsi="ARIAL"/>
          <w:b/>
          <w:i/>
          <w:sz w:val="20"/>
        </w:rPr>
      </w:pPr>
      <w:r>
        <w:rPr>
          <w:rFonts w:ascii="ARIAL" w:hAnsi="ARIAL"/>
          <w:b/>
          <w:i/>
          <w:sz w:val="20"/>
        </w:rPr>
        <w:t xml:space="preserve">How would my shares be voted if I do not specify how they should be voted? </w:t>
      </w:r>
    </w:p>
    <w:p>
      <w:pPr>
        <w:pStyle w:val="TextBody"/>
        <w:spacing w:before="200" w:after="0"/>
        <w:jc w:val="left"/>
        <w:rPr>
          <w:rFonts w:ascii="ARIAL" w:hAnsi="ARIAL"/>
          <w:sz w:val="20"/>
        </w:rPr>
      </w:pPr>
      <w:r>
        <w:rPr>
          <w:rFonts w:ascii="ARIAL" w:hAnsi="ARIAL"/>
          <w:sz w:val="20"/>
        </w:rPr>
        <w:t xml:space="preserve">If you are a stockholder of record and you sign and return your proxy card without indicating how you want your shares to be voted, your shares will be voted in accordance with the Board’s recommendations for the proposals listed above and in the discretion of the named proxies regarding any other matters properly presented for a vote at the Meeting. </w:t>
      </w:r>
    </w:p>
    <w:p>
      <w:pPr>
        <w:pStyle w:val="TextBody"/>
        <w:spacing w:before="200" w:after="0"/>
        <w:jc w:val="left"/>
        <w:rPr>
          <w:rFonts w:ascii="ARIAL" w:hAnsi="ARIAL"/>
          <w:sz w:val="20"/>
        </w:rPr>
      </w:pPr>
      <w:r>
        <w:rPr>
          <w:rFonts w:ascii="ARIAL" w:hAnsi="ARIAL"/>
          <w:sz w:val="20"/>
        </w:rPr>
        <w:t xml:space="preserve">If you are a beneficial owner of shares held in “street name” and do not provide each broker, bank, trustee or other nominee that holds your shares with specific voting instructions as described above under “How do I vote my shares?”, under the rules of the New York Stock Exchange (“NYSE”), the broker, bank, trustee or other nominee that holds your shares may generally vote on “routine” matters without instructions from you. We expect the ratification of the appointment of Deloitte &amp; Touche LLP as the Company’s independent registered public accounting firm for the fiscal year ending December 31, 2023 (Proposal 5) to be the only proposal that is considered a “routine” matter. Accordingly, if your shares are held through a broker, bank, trust or other nominee, that person will have discretion to vote your shares on only that matter if you fail to provide instructions. </w:t>
      </w:r>
    </w:p>
    <w:p>
      <w:pPr>
        <w:pStyle w:val="TextBody"/>
        <w:spacing w:before="200" w:after="0"/>
        <w:jc w:val="left"/>
        <w:rPr>
          <w:rFonts w:ascii="ARIAL" w:hAnsi="ARIAL"/>
          <w:sz w:val="20"/>
        </w:rPr>
      </w:pPr>
      <w:r>
        <w:rPr>
          <w:rFonts w:ascii="ARIAL" w:hAnsi="ARIAL"/>
          <w:sz w:val="20"/>
        </w:rPr>
        <w:t xml:space="preserve">On the other hand, under NYSE rules, your broker, bank, trustee or other nominee is not entitled to vote your shares on any “non-routine” matters if it does not receive instructions from you on how to vote. The election of directors (Proposal 1), the approval, on an advisory basis, of named executive officer (“NEO”) compensation (Proposal 2), the vote, on an advisory basis, on the frequency of future advisory votes on named executive officer compensation (Proposal 3) and the proposal to approve the amendment and restatement of the 2009 Plan (Proposal 4) will be considered “non-routine” matters. Thus, if you do not give your broker, bank, trustee or other nominee specific instructions on how to vote your shares with respect to those proposals, your broker, bank, trustee or other nominee will inform the Inspectors of Election that it does not have the authority to vote on those matters with respect to your shares. This is generally referred to as a “broker non-vote.” A broker non-vote may also occur if your broker, bank, trustee or other nominee fails to vote your shares for any reason. </w:t>
      </w:r>
      <w:r>
        <w:rPr>
          <w:rFonts w:ascii="ARIAL" w:hAnsi="ARIAL"/>
          <w:i/>
          <w:sz w:val="20"/>
        </w:rPr>
        <w:t>Therefore, if you hold your shares through a broker, bank, trustee or other nominee, please instruct that person regarding how to vote your shares on at least Proposals 1, 2, 3 and 4.</w:t>
      </w:r>
      <w:r>
        <w:rPr>
          <w:rFonts w:ascii="ARIAL" w:hAnsi="ARIAL"/>
          <w:sz w:val="20"/>
        </w:rPr>
        <w:t xml:space="preserve"> </w:t>
      </w:r>
    </w:p>
    <w:p>
      <w:pPr>
        <w:pStyle w:val="TextBody"/>
        <w:spacing w:before="200" w:after="0"/>
        <w:jc w:val="left"/>
        <w:rPr>
          <w:rFonts w:ascii="ARIAL" w:hAnsi="ARIAL"/>
          <w:b/>
          <w:i/>
          <w:sz w:val="20"/>
        </w:rPr>
      </w:pPr>
      <w:r>
        <w:rPr>
          <w:rFonts w:ascii="ARIAL" w:hAnsi="ARIAL"/>
          <w:b/>
          <w:i/>
          <w:sz w:val="20"/>
        </w:rPr>
        <w:t xml:space="preserve">How many votes must be present to hold the Meeting? </w:t>
      </w:r>
    </w:p>
    <w:p>
      <w:pPr>
        <w:pStyle w:val="TextBody"/>
        <w:spacing w:before="200" w:after="0"/>
        <w:jc w:val="left"/>
        <w:rPr>
          <w:rFonts w:ascii="ARIAL" w:hAnsi="ARIAL"/>
          <w:sz w:val="20"/>
        </w:rPr>
      </w:pPr>
      <w:r>
        <w:rPr>
          <w:rFonts w:ascii="ARIAL" w:hAnsi="ARIAL"/>
          <w:sz w:val="20"/>
        </w:rPr>
        <w:t xml:space="preserve">The presence, in person or represented by proxy, of the holders of a majority of the shares of Common Stock issued and outstanding on the record date for the Meeting will constitute a quorum for the transaction of business at the Meeting. </w:t>
      </w:r>
    </w:p>
    <w:p>
      <w:pPr>
        <w:pStyle w:val="TextBody"/>
        <w:spacing w:before="200" w:after="0"/>
        <w:jc w:val="left"/>
        <w:rPr>
          <w:rFonts w:ascii="ARIAL" w:hAnsi="ARIAL"/>
          <w:b/>
          <w:i/>
          <w:sz w:val="20"/>
        </w:rPr>
      </w:pPr>
      <w:r>
        <w:rPr>
          <w:rFonts w:ascii="ARIAL" w:hAnsi="ARIAL"/>
          <w:b/>
          <w:i/>
          <w:sz w:val="20"/>
        </w:rPr>
        <w:t xml:space="preserve">How are abstentions and broker non-votes treated? </w:t>
      </w:r>
    </w:p>
    <w:p>
      <w:pPr>
        <w:pStyle w:val="TextBody"/>
        <w:spacing w:before="200" w:after="0"/>
        <w:jc w:val="left"/>
        <w:rPr>
          <w:rFonts w:ascii="ARIAL" w:hAnsi="ARIAL"/>
          <w:sz w:val="20"/>
        </w:rPr>
      </w:pPr>
      <w:r>
        <w:rPr>
          <w:rFonts w:ascii="ARIAL" w:hAnsi="ARIAL"/>
          <w:sz w:val="20"/>
        </w:rPr>
        <w:t xml:space="preserve">Abstentions are deemed to be “present” at the Meeting, are counted for quorum purposes and, other than for the election of directors (Proposal 1) and the frequency of when we will hold future advisory votes on named executive officer compensation (Proposal 3), will have the same effect as a vote against the matter. In the case of Proposal 1, an abstention will not be deemed to be a vote cast either for or against any nominee. In the case of Proposal 3, an abstention will have no impact on the outcome of the vote. Broker non-votes, if any, while counted for general quorum purposes, will have no effect on the voting results for any non-routine matter in respect of which there may be broker non-votes. </w:t>
      </w:r>
    </w:p>
    <w:p>
      <w:pPr>
        <w:pStyle w:val="TextBody"/>
        <w:spacing w:before="200" w:after="0"/>
        <w:jc w:val="left"/>
        <w:rPr>
          <w:rFonts w:ascii="ARIAL" w:hAnsi="ARIAL"/>
          <w:b/>
          <w:i/>
          <w:sz w:val="20"/>
        </w:rPr>
      </w:pPr>
      <w:r>
        <w:rPr>
          <w:rFonts w:ascii="ARIAL" w:hAnsi="ARIAL"/>
          <w:b/>
          <w:i/>
          <w:sz w:val="20"/>
        </w:rPr>
        <w:t xml:space="preserve">Can I change my vote? </w:t>
      </w:r>
    </w:p>
    <w:p>
      <w:pPr>
        <w:pStyle w:val="TextBody"/>
        <w:spacing w:before="200" w:after="0"/>
        <w:jc w:val="left"/>
        <w:rPr>
          <w:rFonts w:ascii="ARIAL" w:hAnsi="ARIAL"/>
          <w:sz w:val="20"/>
        </w:rPr>
      </w:pPr>
      <w:r>
        <w:rPr>
          <w:rFonts w:ascii="ARIAL" w:hAnsi="ARIAL"/>
          <w:sz w:val="20"/>
        </w:rPr>
        <w:t xml:space="preserve">If you are a stockholder of record, you may revoke your proxy by doing one of the following: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40"/>
        <w:gridCol w:w="9990"/>
      </w:tblGrid>
      <w:tr>
        <w:trPr/>
        <w:tc>
          <w:tcPr>
            <w:tcW w:w="75"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w:t>
            </w:r>
          </w:p>
        </w:tc>
        <w:tc>
          <w:tcPr>
            <w:tcW w:w="9990" w:type="dxa"/>
            <w:tcBorders/>
            <w:shd w:fill="auto" w:val="clear"/>
            <w:vAlign w:val="center"/>
          </w:tcPr>
          <w:p>
            <w:pPr>
              <w:pStyle w:val="TableContents"/>
              <w:spacing w:before="0" w:after="0"/>
              <w:jc w:val="left"/>
              <w:rPr>
                <w:rFonts w:ascii="ARIAL" w:hAnsi="ARIAL"/>
                <w:sz w:val="20"/>
              </w:rPr>
            </w:pPr>
            <w:r>
              <w:rPr>
                <w:rFonts w:ascii="ARIAL" w:hAnsi="ARIAL"/>
                <w:sz w:val="20"/>
              </w:rPr>
              <w:t xml:space="preserve">By sending a written notice of revocation to the Corporate Secretary of the Company that must be received prior to the Meeting, stating that you revoke your proxy; </w:t>
            </w:r>
          </w:p>
        </w:tc>
      </w:tr>
    </w:tbl>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4 </w:t>
      </w:r>
      <w:r>
        <w:br w:type="page"/>
      </w:r>
    </w:p>
    <w:p>
      <w:pPr>
        <w:pStyle w:val="HorizontalLine"/>
        <w:rPr/>
      </w:pPr>
      <w:r>
        <w:rPr/>
      </w:r>
    </w:p>
    <w:tbl>
      <w:tblPr>
        <w:tblW w:w="10205" w:type="dxa"/>
        <w:jc w:val="left"/>
        <w:tblInd w:w="0" w:type="dxa"/>
        <w:tblCellMar>
          <w:top w:w="0" w:type="dxa"/>
          <w:left w:w="0" w:type="dxa"/>
          <w:bottom w:w="0" w:type="dxa"/>
          <w:right w:w="0" w:type="dxa"/>
        </w:tblCellMar>
      </w:tblPr>
      <w:tblGrid>
        <w:gridCol w:w="75"/>
        <w:gridCol w:w="140"/>
        <w:gridCol w:w="9990"/>
      </w:tblGrid>
      <w:tr>
        <w:trPr/>
        <w:tc>
          <w:tcPr>
            <w:tcW w:w="75"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w:t>
            </w:r>
          </w:p>
        </w:tc>
        <w:tc>
          <w:tcPr>
            <w:tcW w:w="9990" w:type="dxa"/>
            <w:tcBorders/>
            <w:shd w:fill="auto" w:val="clear"/>
            <w:vAlign w:val="center"/>
          </w:tcPr>
          <w:p>
            <w:pPr>
              <w:pStyle w:val="TableContents"/>
              <w:spacing w:before="0" w:after="0"/>
              <w:jc w:val="left"/>
              <w:rPr>
                <w:rFonts w:ascii="ARIAL" w:hAnsi="ARIAL"/>
                <w:sz w:val="20"/>
              </w:rPr>
            </w:pPr>
            <w:r>
              <w:rPr>
                <w:rFonts w:ascii="ARIAL" w:hAnsi="ARIAL"/>
                <w:sz w:val="20"/>
              </w:rPr>
              <w:t xml:space="preserve">By signing a later-dated proxy card and submitting it so that it is received prior to the Meeting in accordance with the instructions included in the proxy card; </w:t>
            </w:r>
          </w:p>
        </w:tc>
      </w:tr>
    </w:tbl>
    <w:p>
      <w:pPr>
        <w:pStyle w:val="TextBody"/>
        <w:spacing w:before="0" w:after="0"/>
        <w:jc w:val="left"/>
        <w:rPr/>
      </w:pPr>
      <w:r>
        <w:rPr/>
        <w:t> </w:t>
      </w:r>
    </w:p>
    <w:tbl>
      <w:tblPr>
        <w:tblW w:w="7420" w:type="dxa"/>
        <w:jc w:val="left"/>
        <w:tblInd w:w="0" w:type="dxa"/>
        <w:tblCellMar>
          <w:top w:w="0" w:type="dxa"/>
          <w:left w:w="0" w:type="dxa"/>
          <w:bottom w:w="0" w:type="dxa"/>
          <w:right w:w="0" w:type="dxa"/>
        </w:tblCellMar>
      </w:tblPr>
      <w:tblGrid>
        <w:gridCol w:w="75"/>
        <w:gridCol w:w="140"/>
        <w:gridCol w:w="7205"/>
      </w:tblGrid>
      <w:tr>
        <w:trPr/>
        <w:tc>
          <w:tcPr>
            <w:tcW w:w="75"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w:t>
            </w:r>
          </w:p>
        </w:tc>
        <w:tc>
          <w:tcPr>
            <w:tcW w:w="7205" w:type="dxa"/>
            <w:tcBorders/>
            <w:shd w:fill="auto" w:val="clear"/>
            <w:vAlign w:val="center"/>
          </w:tcPr>
          <w:p>
            <w:pPr>
              <w:pStyle w:val="TableContents"/>
              <w:spacing w:before="0" w:after="0"/>
              <w:jc w:val="left"/>
              <w:rPr>
                <w:rFonts w:ascii="ARIAL" w:hAnsi="ARIAL"/>
                <w:sz w:val="20"/>
              </w:rPr>
            </w:pPr>
            <w:r>
              <w:rPr>
                <w:rFonts w:ascii="ARIAL" w:hAnsi="ARIAL"/>
                <w:sz w:val="20"/>
              </w:rPr>
              <w:t xml:space="preserve">By submitting another vote by telephone or via the internet prior to the Meeting; or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40"/>
        <w:gridCol w:w="9990"/>
      </w:tblGrid>
      <w:tr>
        <w:trPr/>
        <w:tc>
          <w:tcPr>
            <w:tcW w:w="75"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w:t>
            </w:r>
          </w:p>
        </w:tc>
        <w:tc>
          <w:tcPr>
            <w:tcW w:w="9990" w:type="dxa"/>
            <w:tcBorders/>
            <w:shd w:fill="auto" w:val="clear"/>
            <w:vAlign w:val="center"/>
          </w:tcPr>
          <w:p>
            <w:pPr>
              <w:pStyle w:val="TableContents"/>
              <w:spacing w:before="0" w:after="0"/>
              <w:jc w:val="left"/>
              <w:rPr>
                <w:rFonts w:ascii="ARIAL" w:hAnsi="ARIAL"/>
                <w:sz w:val="20"/>
              </w:rPr>
            </w:pPr>
            <w:r>
              <w:rPr>
                <w:rFonts w:ascii="ARIAL" w:hAnsi="ARIAL"/>
                <w:sz w:val="20"/>
              </w:rPr>
              <w:t xml:space="preserve">By attending the Meeting and voting your shares in person at the Meeting before your proxy is exercised at the Meeting. </w:t>
            </w:r>
          </w:p>
        </w:tc>
      </w:tr>
    </w:tbl>
    <w:p>
      <w:pPr>
        <w:pStyle w:val="TextBody"/>
        <w:spacing w:before="200" w:after="0"/>
        <w:jc w:val="left"/>
        <w:rPr>
          <w:rFonts w:ascii="ARIAL" w:hAnsi="ARIAL"/>
          <w:sz w:val="20"/>
        </w:rPr>
      </w:pPr>
      <w:r>
        <w:rPr>
          <w:rFonts w:ascii="ARIAL" w:hAnsi="ARIAL"/>
          <w:sz w:val="20"/>
        </w:rPr>
        <w:t xml:space="preserve">If you hold your shares in “street name,” your broker, bank, trustee or other nominee will provide you with instructions on how to revoke your proxy. </w:t>
      </w:r>
    </w:p>
    <w:p>
      <w:pPr>
        <w:pStyle w:val="TextBody"/>
        <w:spacing w:before="200" w:after="0"/>
        <w:jc w:val="left"/>
        <w:rPr>
          <w:rFonts w:ascii="ARIAL" w:hAnsi="ARIAL"/>
          <w:b/>
          <w:i/>
          <w:sz w:val="20"/>
        </w:rPr>
      </w:pPr>
      <w:r>
        <w:rPr>
          <w:rFonts w:ascii="ARIAL" w:hAnsi="ARIAL"/>
          <w:b/>
          <w:i/>
          <w:sz w:val="20"/>
        </w:rPr>
        <w:t xml:space="preserve">What vote is required to approve each proposal?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340"/>
        <w:gridCol w:w="60"/>
        <w:gridCol w:w="2292"/>
        <w:gridCol w:w="120"/>
        <w:gridCol w:w="5082"/>
        <w:gridCol w:w="60"/>
        <w:gridCol w:w="1251"/>
      </w:tblGrid>
      <w:tr>
        <w:trPr/>
        <w:tc>
          <w:tcPr>
            <w:tcW w:w="13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29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508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51" w:type="dxa"/>
            <w:tcBorders/>
            <w:shd w:fill="auto" w:val="clear"/>
            <w:vAlign w:val="center"/>
          </w:tcPr>
          <w:p>
            <w:pPr>
              <w:pStyle w:val="TableContents"/>
              <w:spacing w:before="0" w:after="283"/>
              <w:rPr>
                <w:sz w:val="4"/>
                <w:szCs w:val="4"/>
              </w:rPr>
            </w:pPr>
            <w:r>
              <w:rPr>
                <w:sz w:val="4"/>
                <w:szCs w:val="4"/>
              </w:rPr>
            </w:r>
          </w:p>
        </w:tc>
      </w:tr>
      <w:tr>
        <w:trPr/>
        <w:tc>
          <w:tcPr>
            <w:tcW w:w="1340" w:type="dxa"/>
            <w:tcBorders>
              <w:bottom w:val="single" w:sz="6" w:space="0" w:color="000000"/>
            </w:tcBorders>
            <w:shd w:fill="auto" w:val="clear"/>
            <w:tcMar>
              <w:bottom w:w="28" w:type="dxa"/>
            </w:tcMar>
            <w:vAlign w:val="center"/>
          </w:tcPr>
          <w:p>
            <w:pPr>
              <w:pStyle w:val="TableContents"/>
              <w:spacing w:before="0" w:after="283"/>
              <w:rPr>
                <w:b/>
              </w:rPr>
            </w:pPr>
            <w:r>
              <w:rPr>
                <w:b/>
              </w:rPr>
              <w:t>Proposal</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2292" w:type="dxa"/>
            <w:tcBorders>
              <w:bottom w:val="single" w:sz="6" w:space="0" w:color="000000"/>
            </w:tcBorders>
            <w:shd w:fill="auto" w:val="clear"/>
            <w:tcMar>
              <w:bottom w:w="28" w:type="dxa"/>
            </w:tcMar>
            <w:vAlign w:val="center"/>
          </w:tcPr>
          <w:p>
            <w:pPr>
              <w:pStyle w:val="TableContents"/>
              <w:spacing w:before="0" w:after="283"/>
              <w:rPr/>
            </w:pPr>
            <w:r>
              <w:rPr/>
              <w:t>  </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5082" w:type="dxa"/>
            <w:tcBorders>
              <w:bottom w:val="single" w:sz="6" w:space="0" w:color="000000"/>
            </w:tcBorders>
            <w:shd w:fill="auto" w:val="clear"/>
            <w:tcMar>
              <w:bottom w:w="28" w:type="dxa"/>
            </w:tcMar>
            <w:vAlign w:val="center"/>
          </w:tcPr>
          <w:p>
            <w:pPr>
              <w:pStyle w:val="TableContents"/>
              <w:spacing w:before="0" w:after="283"/>
              <w:rPr>
                <w:b/>
              </w:rPr>
            </w:pPr>
            <w:r>
              <w:rPr>
                <w:b/>
              </w:rPr>
              <w:t>Vote Required</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1251" w:type="dxa"/>
            <w:tcBorders>
              <w:bottom w:val="single" w:sz="6" w:space="0" w:color="000000"/>
            </w:tcBorders>
            <w:shd w:fill="auto" w:val="clear"/>
            <w:tcMar>
              <w:bottom w:w="28" w:type="dxa"/>
            </w:tcMar>
            <w:vAlign w:val="center"/>
          </w:tcPr>
          <w:p>
            <w:pPr>
              <w:pStyle w:val="TableContents"/>
              <w:spacing w:before="0" w:after="0"/>
              <w:jc w:val="center"/>
              <w:rPr>
                <w:rFonts w:ascii="ARIAL" w:hAnsi="ARIAL"/>
                <w:b/>
                <w:sz w:val="16"/>
              </w:rPr>
            </w:pPr>
            <w:r>
              <w:rPr>
                <w:rFonts w:ascii="ARIAL" w:hAnsi="ARIAL"/>
                <w:b/>
                <w:sz w:val="16"/>
              </w:rPr>
              <w:t>Broker</w:t>
            </w:r>
          </w:p>
          <w:p>
            <w:pPr>
              <w:pStyle w:val="TableContents"/>
              <w:spacing w:before="0" w:after="0"/>
              <w:jc w:val="center"/>
              <w:rPr>
                <w:rFonts w:ascii="ARIAL" w:hAnsi="ARIAL"/>
                <w:b/>
                <w:sz w:val="16"/>
              </w:rPr>
            </w:pPr>
            <w:r>
              <w:rPr>
                <w:rFonts w:ascii="ARIAL" w:hAnsi="ARIAL"/>
                <w:b/>
                <w:sz w:val="16"/>
              </w:rPr>
              <w:t>Discretionary</w:t>
            </w:r>
          </w:p>
          <w:p>
            <w:pPr>
              <w:pStyle w:val="TableContents"/>
              <w:spacing w:before="0" w:after="20"/>
              <w:jc w:val="center"/>
              <w:rPr>
                <w:rFonts w:ascii="ARIAL" w:hAnsi="ARIAL"/>
                <w:b/>
                <w:sz w:val="16"/>
              </w:rPr>
            </w:pPr>
            <w:r>
              <w:rPr>
                <w:rFonts w:ascii="ARIAL" w:hAnsi="ARIAL"/>
                <w:b/>
                <w:sz w:val="16"/>
              </w:rPr>
              <w:t>Voting Allowed</w:t>
            </w:r>
          </w:p>
        </w:tc>
      </w:tr>
      <w:tr>
        <w:trPr/>
        <w:tc>
          <w:tcPr>
            <w:tcW w:w="1340" w:type="dxa"/>
            <w:tcBorders/>
            <w:shd w:fill="auto" w:val="clear"/>
            <w:vAlign w:val="center"/>
          </w:tcPr>
          <w:p>
            <w:pPr>
              <w:pStyle w:val="TableContents"/>
              <w:spacing w:before="0" w:after="283"/>
              <w:rPr/>
            </w:pPr>
            <w:r>
              <w:rPr/>
              <w:t>Proposal 1 —</w:t>
            </w:r>
          </w:p>
        </w:tc>
        <w:tc>
          <w:tcPr>
            <w:tcW w:w="60" w:type="dxa"/>
            <w:tcBorders/>
            <w:shd w:fill="auto" w:val="clear"/>
            <w:vAlign w:val="center"/>
          </w:tcPr>
          <w:p>
            <w:pPr>
              <w:pStyle w:val="TableContents"/>
              <w:spacing w:before="0" w:after="283"/>
              <w:rPr/>
            </w:pPr>
            <w:r>
              <w:rPr/>
              <w:t> </w:t>
            </w:r>
          </w:p>
        </w:tc>
        <w:tc>
          <w:tcPr>
            <w:tcW w:w="2292" w:type="dxa"/>
            <w:tcBorders/>
            <w:shd w:fill="auto" w:val="clear"/>
            <w:vAlign w:val="center"/>
          </w:tcPr>
          <w:p>
            <w:pPr>
              <w:pStyle w:val="TableContents"/>
              <w:spacing w:before="0" w:after="283"/>
              <w:rPr/>
            </w:pPr>
            <w:r>
              <w:rPr/>
              <w:t>Election of twelve (12) directors</w:t>
            </w:r>
          </w:p>
        </w:tc>
        <w:tc>
          <w:tcPr>
            <w:tcW w:w="120" w:type="dxa"/>
            <w:tcBorders/>
            <w:shd w:fill="auto" w:val="clear"/>
            <w:vAlign w:val="center"/>
          </w:tcPr>
          <w:p>
            <w:pPr>
              <w:pStyle w:val="TableContents"/>
              <w:spacing w:before="0" w:after="283"/>
              <w:rPr/>
            </w:pPr>
            <w:r>
              <w:rPr/>
              <w:t>  </w:t>
            </w:r>
          </w:p>
        </w:tc>
        <w:tc>
          <w:tcPr>
            <w:tcW w:w="5082" w:type="dxa"/>
            <w:tcBorders/>
            <w:shd w:fill="auto" w:val="clear"/>
            <w:vAlign w:val="center"/>
          </w:tcPr>
          <w:p>
            <w:pPr>
              <w:pStyle w:val="TableContents"/>
              <w:spacing w:before="0" w:after="283"/>
              <w:rPr/>
            </w:pPr>
            <w:r>
              <w:rPr/>
              <w:t>Votes cast for the election of that nominee must exceed votes cast against the election of that nominee</w:t>
            </w:r>
          </w:p>
        </w:tc>
        <w:tc>
          <w:tcPr>
            <w:tcW w:w="60" w:type="dxa"/>
            <w:tcBorders/>
            <w:shd w:fill="auto" w:val="clear"/>
            <w:vAlign w:val="center"/>
          </w:tcPr>
          <w:p>
            <w:pPr>
              <w:pStyle w:val="TableContents"/>
              <w:spacing w:before="0" w:after="283"/>
              <w:rPr/>
            </w:pPr>
            <w:r>
              <w:rPr/>
              <w:t> </w:t>
            </w:r>
          </w:p>
        </w:tc>
        <w:tc>
          <w:tcPr>
            <w:tcW w:w="1251" w:type="dxa"/>
            <w:tcBorders/>
            <w:shd w:fill="auto" w:val="clear"/>
            <w:vAlign w:val="center"/>
          </w:tcPr>
          <w:p>
            <w:pPr>
              <w:pStyle w:val="TableContents"/>
              <w:spacing w:before="0" w:after="283"/>
              <w:jc w:val="center"/>
              <w:rPr/>
            </w:pPr>
            <w:r>
              <w:rPr/>
              <w:t>No</w:t>
            </w:r>
          </w:p>
        </w:tc>
      </w:tr>
      <w:tr>
        <w:trPr/>
        <w:tc>
          <w:tcPr>
            <w:tcW w:w="1340" w:type="dxa"/>
            <w:tcBorders/>
            <w:shd w:fill="auto" w:val="clear"/>
            <w:vAlign w:val="center"/>
          </w:tcPr>
          <w:p>
            <w:pPr>
              <w:pStyle w:val="TableContents"/>
              <w:spacing w:before="0" w:after="283"/>
              <w:rPr>
                <w:sz w:val="4"/>
                <w:szCs w:val="4"/>
              </w:rPr>
            </w:pPr>
            <w:r>
              <w:rPr>
                <w:sz w:val="4"/>
                <w:szCs w:val="4"/>
              </w:rPr>
            </w:r>
          </w:p>
        </w:tc>
        <w:tc>
          <w:tcPr>
            <w:tcW w:w="2352" w:type="dxa"/>
            <w:gridSpan w:val="2"/>
            <w:tcBorders/>
            <w:shd w:fill="auto" w:val="clear"/>
            <w:vAlign w:val="center"/>
          </w:tcPr>
          <w:p>
            <w:pPr>
              <w:pStyle w:val="TableContents"/>
              <w:spacing w:before="0" w:after="283"/>
              <w:rPr>
                <w:sz w:val="4"/>
                <w:szCs w:val="4"/>
              </w:rPr>
            </w:pPr>
            <w:r>
              <w:rPr>
                <w:sz w:val="4"/>
                <w:szCs w:val="4"/>
              </w:rPr>
            </w:r>
          </w:p>
        </w:tc>
        <w:tc>
          <w:tcPr>
            <w:tcW w:w="5202" w:type="dxa"/>
            <w:gridSpan w:val="2"/>
            <w:tcBorders/>
            <w:shd w:fill="auto" w:val="clear"/>
            <w:vAlign w:val="center"/>
          </w:tcPr>
          <w:p>
            <w:pPr>
              <w:pStyle w:val="TableContents"/>
              <w:spacing w:before="0" w:after="283"/>
              <w:rPr>
                <w:sz w:val="4"/>
                <w:szCs w:val="4"/>
              </w:rPr>
            </w:pPr>
            <w:r>
              <w:rPr>
                <w:sz w:val="4"/>
                <w:szCs w:val="4"/>
              </w:rPr>
            </w:r>
          </w:p>
        </w:tc>
        <w:tc>
          <w:tcPr>
            <w:tcW w:w="1311" w:type="dxa"/>
            <w:gridSpan w:val="2"/>
            <w:tcBorders/>
            <w:shd w:fill="auto" w:val="clear"/>
            <w:vAlign w:val="center"/>
          </w:tcPr>
          <w:p>
            <w:pPr>
              <w:pStyle w:val="TableContents"/>
              <w:spacing w:before="0" w:after="283"/>
              <w:rPr>
                <w:sz w:val="4"/>
                <w:szCs w:val="4"/>
              </w:rPr>
            </w:pPr>
            <w:r>
              <w:rPr>
                <w:sz w:val="4"/>
                <w:szCs w:val="4"/>
              </w:rPr>
            </w:r>
          </w:p>
        </w:tc>
      </w:tr>
      <w:tr>
        <w:trPr/>
        <w:tc>
          <w:tcPr>
            <w:tcW w:w="1340" w:type="dxa"/>
            <w:tcBorders/>
            <w:shd w:fill="auto" w:val="clear"/>
            <w:vAlign w:val="center"/>
          </w:tcPr>
          <w:p>
            <w:pPr>
              <w:pStyle w:val="TableContents"/>
              <w:spacing w:before="0" w:after="283"/>
              <w:rPr/>
            </w:pPr>
            <w:r>
              <w:rPr/>
              <w:t>Proposal 2 —</w:t>
            </w:r>
          </w:p>
        </w:tc>
        <w:tc>
          <w:tcPr>
            <w:tcW w:w="60" w:type="dxa"/>
            <w:tcBorders/>
            <w:shd w:fill="auto" w:val="clear"/>
            <w:vAlign w:val="center"/>
          </w:tcPr>
          <w:p>
            <w:pPr>
              <w:pStyle w:val="TableContents"/>
              <w:spacing w:before="0" w:after="283"/>
              <w:rPr/>
            </w:pPr>
            <w:r>
              <w:rPr/>
              <w:t> </w:t>
            </w:r>
          </w:p>
        </w:tc>
        <w:tc>
          <w:tcPr>
            <w:tcW w:w="2292" w:type="dxa"/>
            <w:tcBorders/>
            <w:shd w:fill="auto" w:val="clear"/>
            <w:vAlign w:val="center"/>
          </w:tcPr>
          <w:p>
            <w:pPr>
              <w:pStyle w:val="TableContents"/>
              <w:spacing w:before="0" w:after="283"/>
              <w:rPr/>
            </w:pPr>
            <w:r>
              <w:rPr/>
              <w:t>Advisory vote on executive compensation</w:t>
            </w:r>
          </w:p>
        </w:tc>
        <w:tc>
          <w:tcPr>
            <w:tcW w:w="120" w:type="dxa"/>
            <w:tcBorders/>
            <w:shd w:fill="auto" w:val="clear"/>
            <w:vAlign w:val="center"/>
          </w:tcPr>
          <w:p>
            <w:pPr>
              <w:pStyle w:val="TableContents"/>
              <w:spacing w:before="0" w:after="283"/>
              <w:rPr/>
            </w:pPr>
            <w:r>
              <w:rPr/>
              <w:t>  </w:t>
            </w:r>
          </w:p>
        </w:tc>
        <w:tc>
          <w:tcPr>
            <w:tcW w:w="5082" w:type="dxa"/>
            <w:tcBorders/>
            <w:shd w:fill="auto" w:val="clear"/>
            <w:vAlign w:val="center"/>
          </w:tcPr>
          <w:p>
            <w:pPr>
              <w:pStyle w:val="TableContents"/>
              <w:spacing w:before="0" w:after="283"/>
              <w:rPr/>
            </w:pPr>
            <w:r>
              <w:rPr/>
              <w:t>Majority of the shares entitled to vote and present in person or represented by proxy</w:t>
            </w:r>
          </w:p>
        </w:tc>
        <w:tc>
          <w:tcPr>
            <w:tcW w:w="60" w:type="dxa"/>
            <w:tcBorders/>
            <w:shd w:fill="auto" w:val="clear"/>
            <w:vAlign w:val="center"/>
          </w:tcPr>
          <w:p>
            <w:pPr>
              <w:pStyle w:val="TableContents"/>
              <w:spacing w:before="0" w:after="283"/>
              <w:rPr/>
            </w:pPr>
            <w:r>
              <w:rPr/>
              <w:t> </w:t>
            </w:r>
          </w:p>
        </w:tc>
        <w:tc>
          <w:tcPr>
            <w:tcW w:w="1251" w:type="dxa"/>
            <w:tcBorders/>
            <w:shd w:fill="auto" w:val="clear"/>
            <w:vAlign w:val="center"/>
          </w:tcPr>
          <w:p>
            <w:pPr>
              <w:pStyle w:val="TableContents"/>
              <w:spacing w:before="0" w:after="283"/>
              <w:jc w:val="center"/>
              <w:rPr/>
            </w:pPr>
            <w:r>
              <w:rPr/>
              <w:t>No</w:t>
            </w:r>
          </w:p>
        </w:tc>
      </w:tr>
      <w:tr>
        <w:trPr/>
        <w:tc>
          <w:tcPr>
            <w:tcW w:w="1340" w:type="dxa"/>
            <w:tcBorders/>
            <w:shd w:fill="auto" w:val="clear"/>
            <w:vAlign w:val="center"/>
          </w:tcPr>
          <w:p>
            <w:pPr>
              <w:pStyle w:val="TableContents"/>
              <w:spacing w:before="0" w:after="283"/>
              <w:rPr>
                <w:sz w:val="4"/>
                <w:szCs w:val="4"/>
              </w:rPr>
            </w:pPr>
            <w:r>
              <w:rPr>
                <w:sz w:val="4"/>
                <w:szCs w:val="4"/>
              </w:rPr>
            </w:r>
          </w:p>
        </w:tc>
        <w:tc>
          <w:tcPr>
            <w:tcW w:w="2352" w:type="dxa"/>
            <w:gridSpan w:val="2"/>
            <w:tcBorders/>
            <w:shd w:fill="auto" w:val="clear"/>
            <w:vAlign w:val="center"/>
          </w:tcPr>
          <w:p>
            <w:pPr>
              <w:pStyle w:val="TableContents"/>
              <w:spacing w:before="0" w:after="283"/>
              <w:rPr>
                <w:sz w:val="4"/>
                <w:szCs w:val="4"/>
              </w:rPr>
            </w:pPr>
            <w:r>
              <w:rPr>
                <w:sz w:val="4"/>
                <w:szCs w:val="4"/>
              </w:rPr>
            </w:r>
          </w:p>
        </w:tc>
        <w:tc>
          <w:tcPr>
            <w:tcW w:w="5202" w:type="dxa"/>
            <w:gridSpan w:val="2"/>
            <w:tcBorders/>
            <w:shd w:fill="auto" w:val="clear"/>
            <w:vAlign w:val="center"/>
          </w:tcPr>
          <w:p>
            <w:pPr>
              <w:pStyle w:val="TableContents"/>
              <w:spacing w:before="0" w:after="283"/>
              <w:rPr>
                <w:sz w:val="4"/>
                <w:szCs w:val="4"/>
              </w:rPr>
            </w:pPr>
            <w:r>
              <w:rPr>
                <w:sz w:val="4"/>
                <w:szCs w:val="4"/>
              </w:rPr>
            </w:r>
          </w:p>
        </w:tc>
        <w:tc>
          <w:tcPr>
            <w:tcW w:w="1311" w:type="dxa"/>
            <w:gridSpan w:val="2"/>
            <w:tcBorders/>
            <w:shd w:fill="auto" w:val="clear"/>
            <w:vAlign w:val="center"/>
          </w:tcPr>
          <w:p>
            <w:pPr>
              <w:pStyle w:val="TableContents"/>
              <w:spacing w:before="0" w:after="283"/>
              <w:rPr>
                <w:sz w:val="4"/>
                <w:szCs w:val="4"/>
              </w:rPr>
            </w:pPr>
            <w:r>
              <w:rPr>
                <w:sz w:val="4"/>
                <w:szCs w:val="4"/>
              </w:rPr>
            </w:r>
          </w:p>
        </w:tc>
      </w:tr>
      <w:tr>
        <w:trPr/>
        <w:tc>
          <w:tcPr>
            <w:tcW w:w="1340" w:type="dxa"/>
            <w:tcBorders/>
            <w:shd w:fill="auto" w:val="clear"/>
            <w:vAlign w:val="center"/>
          </w:tcPr>
          <w:p>
            <w:pPr>
              <w:pStyle w:val="TableContents"/>
              <w:spacing w:before="0" w:after="283"/>
              <w:rPr/>
            </w:pPr>
            <w:r>
              <w:rPr/>
              <w:t>Proposal 3 —</w:t>
            </w:r>
          </w:p>
        </w:tc>
        <w:tc>
          <w:tcPr>
            <w:tcW w:w="60" w:type="dxa"/>
            <w:tcBorders/>
            <w:shd w:fill="auto" w:val="clear"/>
            <w:vAlign w:val="center"/>
          </w:tcPr>
          <w:p>
            <w:pPr>
              <w:pStyle w:val="TableContents"/>
              <w:spacing w:before="0" w:after="283"/>
              <w:rPr/>
            </w:pPr>
            <w:r>
              <w:rPr/>
              <w:t> </w:t>
            </w:r>
          </w:p>
        </w:tc>
        <w:tc>
          <w:tcPr>
            <w:tcW w:w="2292" w:type="dxa"/>
            <w:tcBorders/>
            <w:shd w:fill="auto" w:val="clear"/>
            <w:vAlign w:val="center"/>
          </w:tcPr>
          <w:p>
            <w:pPr>
              <w:pStyle w:val="TableContents"/>
              <w:spacing w:before="0" w:after="283"/>
              <w:rPr/>
            </w:pPr>
            <w:r>
              <w:rPr/>
              <w:t>Advisory vote on frequency of future advisory votes on executive compensation</w:t>
            </w:r>
          </w:p>
        </w:tc>
        <w:tc>
          <w:tcPr>
            <w:tcW w:w="120" w:type="dxa"/>
            <w:tcBorders/>
            <w:shd w:fill="auto" w:val="clear"/>
            <w:vAlign w:val="center"/>
          </w:tcPr>
          <w:p>
            <w:pPr>
              <w:pStyle w:val="TableContents"/>
              <w:spacing w:before="0" w:after="283"/>
              <w:rPr/>
            </w:pPr>
            <w:r>
              <w:rPr/>
              <w:t>  </w:t>
            </w:r>
          </w:p>
        </w:tc>
        <w:tc>
          <w:tcPr>
            <w:tcW w:w="5082" w:type="dxa"/>
            <w:tcBorders/>
            <w:shd w:fill="auto" w:val="clear"/>
            <w:vAlign w:val="center"/>
          </w:tcPr>
          <w:p>
            <w:pPr>
              <w:pStyle w:val="TableContents"/>
              <w:spacing w:before="0" w:after="283"/>
              <w:rPr/>
            </w:pPr>
            <w:r>
              <w:rPr/>
              <w:t>The Company will consider stockholders to have expressed a non-binding preference for the option (every one year, every two years, or every three years) that receives the highest number of affirmative votes of shares entitled to vote and present in person or represented by proxy</w:t>
            </w:r>
          </w:p>
        </w:tc>
        <w:tc>
          <w:tcPr>
            <w:tcW w:w="60" w:type="dxa"/>
            <w:tcBorders/>
            <w:shd w:fill="auto" w:val="clear"/>
            <w:vAlign w:val="center"/>
          </w:tcPr>
          <w:p>
            <w:pPr>
              <w:pStyle w:val="TableContents"/>
              <w:spacing w:before="0" w:after="283"/>
              <w:rPr/>
            </w:pPr>
            <w:r>
              <w:rPr/>
              <w:t> </w:t>
            </w:r>
          </w:p>
        </w:tc>
        <w:tc>
          <w:tcPr>
            <w:tcW w:w="1251" w:type="dxa"/>
            <w:tcBorders/>
            <w:shd w:fill="auto" w:val="clear"/>
            <w:vAlign w:val="center"/>
          </w:tcPr>
          <w:p>
            <w:pPr>
              <w:pStyle w:val="TableContents"/>
              <w:spacing w:before="0" w:after="283"/>
              <w:jc w:val="center"/>
              <w:rPr/>
            </w:pPr>
            <w:r>
              <w:rPr/>
              <w:t>No</w:t>
            </w:r>
          </w:p>
        </w:tc>
      </w:tr>
      <w:tr>
        <w:trPr/>
        <w:tc>
          <w:tcPr>
            <w:tcW w:w="1340" w:type="dxa"/>
            <w:tcBorders/>
            <w:shd w:fill="auto" w:val="clear"/>
            <w:vAlign w:val="center"/>
          </w:tcPr>
          <w:p>
            <w:pPr>
              <w:pStyle w:val="TableContents"/>
              <w:spacing w:before="0" w:after="283"/>
              <w:rPr>
                <w:sz w:val="4"/>
                <w:szCs w:val="4"/>
              </w:rPr>
            </w:pPr>
            <w:r>
              <w:rPr>
                <w:sz w:val="4"/>
                <w:szCs w:val="4"/>
              </w:rPr>
            </w:r>
          </w:p>
        </w:tc>
        <w:tc>
          <w:tcPr>
            <w:tcW w:w="2352" w:type="dxa"/>
            <w:gridSpan w:val="2"/>
            <w:tcBorders/>
            <w:shd w:fill="auto" w:val="clear"/>
            <w:vAlign w:val="center"/>
          </w:tcPr>
          <w:p>
            <w:pPr>
              <w:pStyle w:val="TableContents"/>
              <w:spacing w:before="0" w:after="283"/>
              <w:rPr>
                <w:sz w:val="4"/>
                <w:szCs w:val="4"/>
              </w:rPr>
            </w:pPr>
            <w:r>
              <w:rPr>
                <w:sz w:val="4"/>
                <w:szCs w:val="4"/>
              </w:rPr>
            </w:r>
          </w:p>
        </w:tc>
        <w:tc>
          <w:tcPr>
            <w:tcW w:w="5202" w:type="dxa"/>
            <w:gridSpan w:val="2"/>
            <w:tcBorders/>
            <w:shd w:fill="auto" w:val="clear"/>
            <w:vAlign w:val="center"/>
          </w:tcPr>
          <w:p>
            <w:pPr>
              <w:pStyle w:val="TableContents"/>
              <w:spacing w:before="0" w:after="283"/>
              <w:rPr>
                <w:sz w:val="4"/>
                <w:szCs w:val="4"/>
              </w:rPr>
            </w:pPr>
            <w:r>
              <w:rPr>
                <w:sz w:val="4"/>
                <w:szCs w:val="4"/>
              </w:rPr>
            </w:r>
          </w:p>
        </w:tc>
        <w:tc>
          <w:tcPr>
            <w:tcW w:w="1311" w:type="dxa"/>
            <w:gridSpan w:val="2"/>
            <w:tcBorders/>
            <w:shd w:fill="auto" w:val="clear"/>
            <w:vAlign w:val="center"/>
          </w:tcPr>
          <w:p>
            <w:pPr>
              <w:pStyle w:val="TableContents"/>
              <w:spacing w:before="0" w:after="283"/>
              <w:rPr>
                <w:sz w:val="4"/>
                <w:szCs w:val="4"/>
              </w:rPr>
            </w:pPr>
            <w:r>
              <w:rPr>
                <w:sz w:val="4"/>
                <w:szCs w:val="4"/>
              </w:rPr>
            </w:r>
          </w:p>
        </w:tc>
      </w:tr>
      <w:tr>
        <w:trPr/>
        <w:tc>
          <w:tcPr>
            <w:tcW w:w="1340" w:type="dxa"/>
            <w:tcBorders/>
            <w:shd w:fill="auto" w:val="clear"/>
            <w:vAlign w:val="center"/>
          </w:tcPr>
          <w:p>
            <w:pPr>
              <w:pStyle w:val="TableContents"/>
              <w:spacing w:before="0" w:after="283"/>
              <w:rPr/>
            </w:pPr>
            <w:r>
              <w:rPr/>
              <w:t>Proposal 4 —</w:t>
            </w:r>
          </w:p>
        </w:tc>
        <w:tc>
          <w:tcPr>
            <w:tcW w:w="60" w:type="dxa"/>
            <w:tcBorders/>
            <w:shd w:fill="auto" w:val="clear"/>
            <w:vAlign w:val="center"/>
          </w:tcPr>
          <w:p>
            <w:pPr>
              <w:pStyle w:val="TableContents"/>
              <w:spacing w:before="0" w:after="283"/>
              <w:rPr/>
            </w:pPr>
            <w:r>
              <w:rPr/>
              <w:t> </w:t>
            </w:r>
          </w:p>
        </w:tc>
        <w:tc>
          <w:tcPr>
            <w:tcW w:w="2292" w:type="dxa"/>
            <w:tcBorders/>
            <w:shd w:fill="auto" w:val="clear"/>
            <w:vAlign w:val="center"/>
          </w:tcPr>
          <w:p>
            <w:pPr>
              <w:pStyle w:val="TableContents"/>
              <w:spacing w:before="0" w:after="283"/>
              <w:rPr/>
            </w:pPr>
            <w:r>
              <w:rPr/>
              <w:t xml:space="preserve">Approval of the amendment and restatement of the 2009 Plan, </w:t>
              <w:br/>
              <w:t xml:space="preserve">which was approved by the </w:t>
              <w:br/>
              <w:t xml:space="preserve">Board on March 22, 2023, </w:t>
              <w:br/>
              <w:t xml:space="preserve">subject to stockholder approval </w:t>
              <w:br/>
              <w:t>at this Meeting</w:t>
            </w:r>
          </w:p>
        </w:tc>
        <w:tc>
          <w:tcPr>
            <w:tcW w:w="120" w:type="dxa"/>
            <w:tcBorders/>
            <w:shd w:fill="auto" w:val="clear"/>
            <w:vAlign w:val="center"/>
          </w:tcPr>
          <w:p>
            <w:pPr>
              <w:pStyle w:val="TableContents"/>
              <w:spacing w:before="0" w:after="283"/>
              <w:rPr/>
            </w:pPr>
            <w:r>
              <w:rPr/>
              <w:t>  </w:t>
            </w:r>
          </w:p>
        </w:tc>
        <w:tc>
          <w:tcPr>
            <w:tcW w:w="5082" w:type="dxa"/>
            <w:tcBorders/>
            <w:shd w:fill="auto" w:val="clear"/>
            <w:vAlign w:val="center"/>
          </w:tcPr>
          <w:p>
            <w:pPr>
              <w:pStyle w:val="TableContents"/>
              <w:spacing w:before="0" w:after="283"/>
              <w:rPr/>
            </w:pPr>
            <w:r>
              <w:rPr/>
              <w:t>Majority of the shares entitled to vote and present in person or represented by proxy</w:t>
            </w:r>
          </w:p>
        </w:tc>
        <w:tc>
          <w:tcPr>
            <w:tcW w:w="60" w:type="dxa"/>
            <w:tcBorders/>
            <w:shd w:fill="auto" w:val="clear"/>
            <w:vAlign w:val="center"/>
          </w:tcPr>
          <w:p>
            <w:pPr>
              <w:pStyle w:val="TableContents"/>
              <w:spacing w:before="0" w:after="283"/>
              <w:rPr/>
            </w:pPr>
            <w:r>
              <w:rPr/>
              <w:t> </w:t>
            </w:r>
          </w:p>
        </w:tc>
        <w:tc>
          <w:tcPr>
            <w:tcW w:w="1251" w:type="dxa"/>
            <w:tcBorders/>
            <w:shd w:fill="auto" w:val="clear"/>
            <w:vAlign w:val="center"/>
          </w:tcPr>
          <w:p>
            <w:pPr>
              <w:pStyle w:val="TableContents"/>
              <w:spacing w:before="0" w:after="283"/>
              <w:jc w:val="center"/>
              <w:rPr/>
            </w:pPr>
            <w:r>
              <w:rPr/>
              <w:t>No</w:t>
            </w:r>
          </w:p>
        </w:tc>
      </w:tr>
      <w:tr>
        <w:trPr/>
        <w:tc>
          <w:tcPr>
            <w:tcW w:w="1340" w:type="dxa"/>
            <w:tcBorders/>
            <w:shd w:fill="auto" w:val="clear"/>
            <w:vAlign w:val="center"/>
          </w:tcPr>
          <w:p>
            <w:pPr>
              <w:pStyle w:val="TableContents"/>
              <w:spacing w:before="0" w:after="283"/>
              <w:rPr>
                <w:sz w:val="4"/>
                <w:szCs w:val="4"/>
              </w:rPr>
            </w:pPr>
            <w:r>
              <w:rPr>
                <w:sz w:val="4"/>
                <w:szCs w:val="4"/>
              </w:rPr>
            </w:r>
          </w:p>
        </w:tc>
        <w:tc>
          <w:tcPr>
            <w:tcW w:w="2352" w:type="dxa"/>
            <w:gridSpan w:val="2"/>
            <w:tcBorders/>
            <w:shd w:fill="auto" w:val="clear"/>
            <w:vAlign w:val="center"/>
          </w:tcPr>
          <w:p>
            <w:pPr>
              <w:pStyle w:val="TableContents"/>
              <w:spacing w:before="0" w:after="283"/>
              <w:rPr>
                <w:sz w:val="4"/>
                <w:szCs w:val="4"/>
              </w:rPr>
            </w:pPr>
            <w:r>
              <w:rPr>
                <w:sz w:val="4"/>
                <w:szCs w:val="4"/>
              </w:rPr>
            </w:r>
          </w:p>
        </w:tc>
        <w:tc>
          <w:tcPr>
            <w:tcW w:w="5202" w:type="dxa"/>
            <w:gridSpan w:val="2"/>
            <w:tcBorders/>
            <w:shd w:fill="auto" w:val="clear"/>
            <w:vAlign w:val="center"/>
          </w:tcPr>
          <w:p>
            <w:pPr>
              <w:pStyle w:val="TableContents"/>
              <w:spacing w:before="0" w:after="283"/>
              <w:rPr>
                <w:sz w:val="4"/>
                <w:szCs w:val="4"/>
              </w:rPr>
            </w:pPr>
            <w:r>
              <w:rPr>
                <w:sz w:val="4"/>
                <w:szCs w:val="4"/>
              </w:rPr>
            </w:r>
          </w:p>
        </w:tc>
        <w:tc>
          <w:tcPr>
            <w:tcW w:w="1311" w:type="dxa"/>
            <w:gridSpan w:val="2"/>
            <w:tcBorders/>
            <w:shd w:fill="auto" w:val="clear"/>
            <w:vAlign w:val="center"/>
          </w:tcPr>
          <w:p>
            <w:pPr>
              <w:pStyle w:val="TableContents"/>
              <w:spacing w:before="0" w:after="283"/>
              <w:rPr>
                <w:sz w:val="4"/>
                <w:szCs w:val="4"/>
              </w:rPr>
            </w:pPr>
            <w:r>
              <w:rPr>
                <w:sz w:val="4"/>
                <w:szCs w:val="4"/>
              </w:rPr>
            </w:r>
          </w:p>
        </w:tc>
      </w:tr>
      <w:tr>
        <w:trPr/>
        <w:tc>
          <w:tcPr>
            <w:tcW w:w="1340" w:type="dxa"/>
            <w:tcBorders/>
            <w:shd w:fill="auto" w:val="clear"/>
            <w:vAlign w:val="center"/>
          </w:tcPr>
          <w:p>
            <w:pPr>
              <w:pStyle w:val="TableContents"/>
              <w:spacing w:before="0" w:after="283"/>
              <w:rPr/>
            </w:pPr>
            <w:r>
              <w:rPr/>
              <w:t>Proposal 5 —</w:t>
            </w:r>
          </w:p>
        </w:tc>
        <w:tc>
          <w:tcPr>
            <w:tcW w:w="60" w:type="dxa"/>
            <w:tcBorders/>
            <w:shd w:fill="auto" w:val="clear"/>
            <w:vAlign w:val="center"/>
          </w:tcPr>
          <w:p>
            <w:pPr>
              <w:pStyle w:val="TableContents"/>
              <w:spacing w:before="0" w:after="283"/>
              <w:rPr/>
            </w:pPr>
            <w:r>
              <w:rPr/>
              <w:t> </w:t>
            </w:r>
          </w:p>
        </w:tc>
        <w:tc>
          <w:tcPr>
            <w:tcW w:w="2292" w:type="dxa"/>
            <w:tcBorders/>
            <w:shd w:fill="auto" w:val="clear"/>
            <w:vAlign w:val="center"/>
          </w:tcPr>
          <w:p>
            <w:pPr>
              <w:pStyle w:val="TableContents"/>
              <w:spacing w:before="0" w:after="283"/>
              <w:rPr/>
            </w:pPr>
            <w:r>
              <w:rPr/>
              <w:t>Ratification of auditors for 2023</w:t>
            </w:r>
          </w:p>
        </w:tc>
        <w:tc>
          <w:tcPr>
            <w:tcW w:w="120" w:type="dxa"/>
            <w:tcBorders/>
            <w:shd w:fill="auto" w:val="clear"/>
            <w:vAlign w:val="center"/>
          </w:tcPr>
          <w:p>
            <w:pPr>
              <w:pStyle w:val="TableContents"/>
              <w:spacing w:before="0" w:after="283"/>
              <w:rPr/>
            </w:pPr>
            <w:r>
              <w:rPr/>
              <w:t>  </w:t>
            </w:r>
          </w:p>
        </w:tc>
        <w:tc>
          <w:tcPr>
            <w:tcW w:w="5082" w:type="dxa"/>
            <w:tcBorders/>
            <w:shd w:fill="auto" w:val="clear"/>
            <w:vAlign w:val="center"/>
          </w:tcPr>
          <w:p>
            <w:pPr>
              <w:pStyle w:val="TableContents"/>
              <w:spacing w:before="0" w:after="283"/>
              <w:rPr/>
            </w:pPr>
            <w:r>
              <w:rPr/>
              <w:t>Majority of the shares entitled to vote and present in person or represented by proxy</w:t>
            </w:r>
          </w:p>
        </w:tc>
        <w:tc>
          <w:tcPr>
            <w:tcW w:w="60" w:type="dxa"/>
            <w:tcBorders/>
            <w:shd w:fill="auto" w:val="clear"/>
            <w:vAlign w:val="center"/>
          </w:tcPr>
          <w:p>
            <w:pPr>
              <w:pStyle w:val="TableContents"/>
              <w:spacing w:before="0" w:after="283"/>
              <w:rPr/>
            </w:pPr>
            <w:r>
              <w:rPr/>
              <w:t> </w:t>
            </w:r>
          </w:p>
        </w:tc>
        <w:tc>
          <w:tcPr>
            <w:tcW w:w="1251" w:type="dxa"/>
            <w:tcBorders/>
            <w:shd w:fill="auto" w:val="clear"/>
            <w:vAlign w:val="center"/>
          </w:tcPr>
          <w:p>
            <w:pPr>
              <w:pStyle w:val="TableContents"/>
              <w:spacing w:before="0" w:after="283"/>
              <w:jc w:val="center"/>
              <w:rPr/>
            </w:pPr>
            <w:r>
              <w:rPr/>
              <w:t>Yes</w:t>
            </w:r>
          </w:p>
        </w:tc>
      </w:tr>
    </w:tbl>
    <w:p>
      <w:pPr>
        <w:pStyle w:val="TextBody"/>
        <w:spacing w:before="200" w:after="0"/>
        <w:jc w:val="left"/>
        <w:rPr>
          <w:rFonts w:ascii="ARIAL" w:hAnsi="ARIAL"/>
          <w:sz w:val="20"/>
        </w:rPr>
      </w:pPr>
      <w:r>
        <w:rPr>
          <w:rFonts w:ascii="ARIAL" w:hAnsi="ARIAL"/>
          <w:sz w:val="20"/>
        </w:rPr>
        <w:t xml:space="preserve">With respect to Proposal 1, you may vote FOR, AGAINST or ABSTAIN with respect to each nominee. If you ABSTAIN from voting on Proposal 1 with respect to any nominee, the abstention will not have any effect on the outcome of the vote with respect to such nominee. </w:t>
      </w:r>
    </w:p>
    <w:p>
      <w:pPr>
        <w:pStyle w:val="TextBody"/>
        <w:spacing w:before="200" w:after="0"/>
        <w:jc w:val="left"/>
        <w:rPr>
          <w:rFonts w:ascii="ARIAL" w:hAnsi="ARIAL"/>
          <w:sz w:val="20"/>
        </w:rPr>
      </w:pPr>
      <w:r>
        <w:rPr>
          <w:rFonts w:ascii="ARIAL" w:hAnsi="ARIAL"/>
          <w:sz w:val="20"/>
        </w:rPr>
        <w:t xml:space="preserve">With respect to Proposals 2, 4 and 5, you may vote FOR, AGAINST or ABSTAIN. If you ABSTAIN from voting on either of Proposals 2, 4 or 5, the abstention will have the same effect as a vote AGAINST the proposal. </w:t>
      </w:r>
    </w:p>
    <w:p>
      <w:pPr>
        <w:pStyle w:val="TextBody"/>
        <w:spacing w:before="200" w:after="0"/>
        <w:jc w:val="left"/>
        <w:rPr>
          <w:rFonts w:ascii="ARIAL" w:hAnsi="ARIAL"/>
          <w:sz w:val="20"/>
        </w:rPr>
      </w:pPr>
      <w:r>
        <w:rPr>
          <w:rFonts w:ascii="ARIAL" w:hAnsi="ARIAL"/>
          <w:sz w:val="20"/>
        </w:rPr>
        <w:t xml:space="preserve">With respect to Proposal 3, you may vote FOR Every One Year, FOR Every Two Years, FOR Every Three Years or ABSTAIN. If you ABSTAIN from voting on Proposal 3, the abstention will not have any effect on the outcome of the vote. </w:t>
      </w:r>
    </w:p>
    <w:p>
      <w:pPr>
        <w:pStyle w:val="TextBody"/>
        <w:spacing w:before="200" w:after="0"/>
        <w:jc w:val="left"/>
        <w:rPr>
          <w:rFonts w:ascii="ARIAL" w:hAnsi="ARIAL"/>
          <w:b/>
          <w:i/>
          <w:sz w:val="20"/>
        </w:rPr>
      </w:pPr>
      <w:r>
        <w:rPr>
          <w:rFonts w:ascii="ARIAL" w:hAnsi="ARIAL"/>
          <w:b/>
          <w:i/>
          <w:sz w:val="20"/>
        </w:rPr>
        <w:t xml:space="preserve">Who will count the votes? </w:t>
      </w:r>
    </w:p>
    <w:p>
      <w:pPr>
        <w:pStyle w:val="TextBody"/>
        <w:spacing w:before="200" w:after="0"/>
        <w:jc w:val="left"/>
        <w:rPr>
          <w:rFonts w:ascii="ARIAL" w:hAnsi="ARIAL"/>
          <w:sz w:val="20"/>
        </w:rPr>
      </w:pPr>
      <w:r>
        <w:rPr>
          <w:rFonts w:ascii="ARIAL" w:hAnsi="ARIAL"/>
          <w:sz w:val="20"/>
        </w:rPr>
        <w:t xml:space="preserve">Representatives from Broadridge Financial Solutions, Inc. will count the votes and serve as our Inspectors of Election. The Inspectors of Election will be present at the Meeting.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5 </w:t>
      </w:r>
      <w:r>
        <w:br w:type="page"/>
      </w:r>
    </w:p>
    <w:p>
      <w:pPr>
        <w:pStyle w:val="HorizontalLine"/>
        <w:rPr/>
      </w:pPr>
      <w:r>
        <w:rPr/>
      </w:r>
    </w:p>
    <w:p>
      <w:pPr>
        <w:pStyle w:val="TextBody"/>
        <w:spacing w:before="0" w:after="0"/>
        <w:jc w:val="left"/>
        <w:rPr>
          <w:rFonts w:ascii="ARIAL" w:hAnsi="ARIAL"/>
          <w:b/>
          <w:i/>
          <w:sz w:val="20"/>
        </w:rPr>
      </w:pPr>
      <w:r>
        <w:rPr>
          <w:rFonts w:ascii="ARIAL" w:hAnsi="ARIAL"/>
          <w:b/>
          <w:i/>
          <w:sz w:val="20"/>
        </w:rPr>
        <w:t xml:space="preserve">Who pays the cost of proxy solicitation? </w:t>
      </w:r>
    </w:p>
    <w:p>
      <w:pPr>
        <w:pStyle w:val="TextBody"/>
        <w:spacing w:before="200" w:after="0"/>
        <w:jc w:val="left"/>
        <w:rPr>
          <w:rFonts w:ascii="ARIAL" w:hAnsi="ARIAL"/>
          <w:sz w:val="20"/>
        </w:rPr>
      </w:pPr>
      <w:r>
        <w:rPr>
          <w:rFonts w:ascii="ARIAL" w:hAnsi="ARIAL"/>
          <w:sz w:val="20"/>
        </w:rPr>
        <w:t xml:space="preserve">The Company pays the costs of soliciting proxies. The Company has engaged Georgeson Inc. to aid in the solicitation of proxies for a fee of approximately $19,000, plus reimbursement of reasonable expenses. Upon request, the Company will reimburse brokers, banks, trustees or their other nominees for reasonable expenses incurred by them in forwarding proxy materials to beneficial owners of shares of the Company’s Common Stock. In addition, certain of our directors and officers, as well as employees of our management company, may aid in the solicitation of proxies. These individuals will receive no compensation in addition to their regular compensation. </w:t>
      </w:r>
    </w:p>
    <w:p>
      <w:pPr>
        <w:pStyle w:val="TextBody"/>
        <w:spacing w:before="200" w:after="0"/>
        <w:jc w:val="left"/>
        <w:rPr>
          <w:rFonts w:ascii="ARIAL" w:hAnsi="ARIAL"/>
          <w:b/>
          <w:i/>
          <w:sz w:val="20"/>
        </w:rPr>
      </w:pPr>
      <w:r>
        <w:rPr>
          <w:rFonts w:ascii="ARIAL" w:hAnsi="ARIAL"/>
          <w:b/>
          <w:i/>
          <w:sz w:val="20"/>
        </w:rPr>
        <w:t xml:space="preserve">Is this Proxy Statement the only way that proxies are being solicited? </w:t>
      </w:r>
    </w:p>
    <w:p>
      <w:pPr>
        <w:pStyle w:val="TextBody"/>
        <w:spacing w:before="200" w:after="0"/>
        <w:jc w:val="left"/>
        <w:rPr>
          <w:rFonts w:ascii="ARIAL" w:hAnsi="ARIAL"/>
          <w:sz w:val="20"/>
        </w:rPr>
      </w:pPr>
      <w:r>
        <w:rPr>
          <w:rFonts w:ascii="ARIAL" w:hAnsi="ARIAL"/>
          <w:sz w:val="20"/>
        </w:rPr>
        <w:t xml:space="preserve">No. As stated above, in addition to mailing or providing notice of the availability of these proxy materials, our proxy solicitor, Georgeson Inc., and certain of our directors and officers, as well as employees, may solicit proxies by telephone, e-mail or personal contact. These directors, officers and employees will not be specifically compensated for doing so. </w:t>
      </w:r>
    </w:p>
    <w:p>
      <w:pPr>
        <w:pStyle w:val="TextBody"/>
        <w:spacing w:before="200" w:after="0"/>
        <w:jc w:val="left"/>
        <w:rPr>
          <w:rFonts w:ascii="ARIAL" w:hAnsi="ARIAL"/>
          <w:b/>
          <w:sz w:val="20"/>
        </w:rPr>
      </w:pPr>
      <w:r>
        <w:rPr>
          <w:rFonts w:ascii="ARIAL" w:hAnsi="ARIAL"/>
          <w:b/>
          <w:sz w:val="20"/>
        </w:rPr>
        <w:t xml:space="preserve">If you have any further questions about voting your shares or attending the Meeting, please call our Corporate Secretary at (615) 465-7000.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6 </w:t>
      </w:r>
      <w:r>
        <w:br w:type="page"/>
      </w:r>
    </w:p>
    <w:p>
      <w:pPr>
        <w:pStyle w:val="HorizontalLine"/>
        <w:rPr/>
      </w:pPr>
      <w:r>
        <w:rPr/>
      </w:r>
    </w:p>
    <w:p>
      <w:pPr>
        <w:pStyle w:val="TextBody"/>
        <w:spacing w:before="0" w:after="0"/>
        <w:jc w:val="left"/>
        <w:rPr>
          <w:rFonts w:ascii="ARIAL" w:hAnsi="ARIAL"/>
          <w:b/>
          <w:sz w:val="20"/>
          <w:u w:val="single"/>
        </w:rPr>
      </w:pPr>
      <w:bookmarkStart w:id="5" w:name="toc360141_3"/>
      <w:bookmarkEnd w:id="5"/>
      <w:r>
        <w:rPr>
          <w:rFonts w:ascii="ARIAL" w:hAnsi="ARIAL"/>
          <w:b/>
          <w:sz w:val="20"/>
          <w:u w:val="single"/>
        </w:rPr>
        <w:t xml:space="preserve">GENERAL INFORMATION </w:t>
      </w:r>
    </w:p>
    <w:p>
      <w:pPr>
        <w:pStyle w:val="TextBody"/>
        <w:spacing w:before="200" w:after="0"/>
        <w:jc w:val="left"/>
        <w:rPr>
          <w:rFonts w:ascii="ARIAL" w:hAnsi="ARIAL"/>
          <w:b/>
          <w:i/>
          <w:sz w:val="20"/>
        </w:rPr>
      </w:pPr>
      <w:r>
        <w:rPr>
          <w:rFonts w:ascii="ARIAL" w:hAnsi="ARIAL"/>
          <w:b/>
          <w:i/>
          <w:sz w:val="20"/>
        </w:rPr>
        <w:t xml:space="preserve">How may I contact the Chairman of the Board of Directors, the Lead Director or other non-management members of the Board of Directors? </w:t>
      </w:r>
    </w:p>
    <w:p>
      <w:pPr>
        <w:pStyle w:val="TextBody"/>
        <w:spacing w:before="200" w:after="0"/>
        <w:jc w:val="left"/>
        <w:rPr>
          <w:rFonts w:ascii="ARIAL" w:hAnsi="ARIAL"/>
          <w:sz w:val="20"/>
        </w:rPr>
      </w:pPr>
      <w:r>
        <w:rPr>
          <w:rFonts w:ascii="ARIAL" w:hAnsi="ARIAL"/>
          <w:sz w:val="20"/>
        </w:rPr>
        <w:t xml:space="preserve">The Chairman of the Board of Directors, or Board Chair, is Wayne T. Smith, and the independent Lead Director is John C. Clerico. They and any of the other non-management directors (including the chair of any of the standing committees of our Board) may be contacted by any stockholder or other interested party in the following manner: </w:t>
      </w:r>
    </w:p>
    <w:p>
      <w:pPr>
        <w:pStyle w:val="TextBody"/>
        <w:spacing w:before="200" w:after="0"/>
        <w:jc w:val="left"/>
        <w:rPr>
          <w:rFonts w:ascii="ARIAL" w:hAnsi="ARIAL"/>
          <w:sz w:val="20"/>
        </w:rPr>
      </w:pPr>
      <w:r>
        <w:rPr>
          <w:rFonts w:ascii="ARIAL" w:hAnsi="ARIAL"/>
          <w:sz w:val="20"/>
        </w:rPr>
        <w:t xml:space="preserve">c/o Community Health Systems </w:t>
      </w:r>
    </w:p>
    <w:p>
      <w:pPr>
        <w:pStyle w:val="TextBody"/>
        <w:spacing w:before="0" w:after="0"/>
        <w:jc w:val="left"/>
        <w:rPr>
          <w:rFonts w:ascii="ARIAL" w:hAnsi="ARIAL"/>
          <w:sz w:val="20"/>
        </w:rPr>
      </w:pPr>
      <w:r>
        <w:rPr>
          <w:rFonts w:ascii="ARIAL" w:hAnsi="ARIAL"/>
          <w:sz w:val="20"/>
        </w:rPr>
        <w:t xml:space="preserve">4000 Meridian Boulevard </w:t>
      </w:r>
    </w:p>
    <w:p>
      <w:pPr>
        <w:pStyle w:val="TextBody"/>
        <w:spacing w:before="0" w:after="0"/>
        <w:jc w:val="left"/>
        <w:rPr>
          <w:rFonts w:ascii="ARIAL" w:hAnsi="ARIAL"/>
          <w:sz w:val="20"/>
        </w:rPr>
      </w:pPr>
      <w:r>
        <w:rPr>
          <w:rFonts w:ascii="ARIAL" w:hAnsi="ARIAL"/>
          <w:sz w:val="20"/>
        </w:rPr>
        <w:t xml:space="preserve">Franklin, TN 37067 </w:t>
      </w:r>
    </w:p>
    <w:p>
      <w:pPr>
        <w:pStyle w:val="TextBody"/>
        <w:spacing w:before="0" w:after="0"/>
        <w:jc w:val="left"/>
        <w:rPr>
          <w:rFonts w:ascii="ARIAL" w:hAnsi="ARIAL"/>
          <w:sz w:val="20"/>
        </w:rPr>
      </w:pPr>
      <w:r>
        <w:rPr>
          <w:rFonts w:ascii="ARIAL" w:hAnsi="ARIAL"/>
          <w:sz w:val="20"/>
        </w:rPr>
        <w:t xml:space="preserve">Attention: Corporate Secretary </w:t>
      </w:r>
    </w:p>
    <w:p>
      <w:pPr>
        <w:pStyle w:val="TextBody"/>
        <w:spacing w:before="0" w:after="0"/>
        <w:jc w:val="left"/>
        <w:rPr>
          <w:rFonts w:ascii="ARIAL" w:hAnsi="ARIAL"/>
          <w:sz w:val="20"/>
        </w:rPr>
      </w:pPr>
      <w:r>
        <w:rPr>
          <w:rFonts w:ascii="ARIAL" w:hAnsi="ARIAL"/>
          <w:sz w:val="20"/>
        </w:rPr>
        <w:t xml:space="preserve">(615) 465-7000 </w:t>
      </w:r>
    </w:p>
    <w:p>
      <w:pPr>
        <w:pStyle w:val="TextBody"/>
        <w:spacing w:before="0" w:after="0"/>
        <w:jc w:val="left"/>
        <w:rPr>
          <w:rFonts w:ascii="ARIAL" w:hAnsi="ARIAL"/>
          <w:sz w:val="20"/>
        </w:rPr>
      </w:pPr>
      <w:r>
        <w:rPr>
          <w:rFonts w:ascii="ARIAL" w:hAnsi="ARIAL"/>
          <w:sz w:val="20"/>
        </w:rPr>
        <w:t xml:space="preserve">Investor_Communications@chs.net </w:t>
      </w:r>
    </w:p>
    <w:p>
      <w:pPr>
        <w:pStyle w:val="TextBody"/>
        <w:spacing w:before="200" w:after="0"/>
        <w:jc w:val="left"/>
        <w:rPr>
          <w:rFonts w:ascii="ARIAL" w:hAnsi="ARIAL"/>
          <w:sz w:val="20"/>
        </w:rPr>
      </w:pPr>
      <w:r>
        <w:rPr>
          <w:rFonts w:ascii="ARIAL" w:hAnsi="ARIAL"/>
          <w:sz w:val="20"/>
        </w:rPr>
        <w:t xml:space="preserve">In the alternative, stockholders or other interested parties may communicate with our directors or our corporate compliance officer by accessing the Confidential Disclosure Program established under our Code of Conduct: </w:t>
      </w:r>
    </w:p>
    <w:p>
      <w:pPr>
        <w:pStyle w:val="TextBody"/>
        <w:spacing w:before="200" w:after="0"/>
        <w:jc w:val="left"/>
        <w:rPr>
          <w:rFonts w:ascii="ARIAL" w:hAnsi="ARIAL"/>
          <w:sz w:val="20"/>
        </w:rPr>
      </w:pPr>
      <w:r>
        <w:rPr>
          <w:rFonts w:ascii="ARIAL" w:hAnsi="ARIAL"/>
          <w:sz w:val="20"/>
        </w:rPr>
        <w:t xml:space="preserve">Corporate Compliance and Privacy Officer </w:t>
      </w:r>
    </w:p>
    <w:p>
      <w:pPr>
        <w:pStyle w:val="TextBody"/>
        <w:spacing w:before="0" w:after="0"/>
        <w:jc w:val="left"/>
        <w:rPr>
          <w:rFonts w:ascii="ARIAL" w:hAnsi="ARIAL"/>
          <w:sz w:val="20"/>
        </w:rPr>
      </w:pPr>
      <w:r>
        <w:rPr>
          <w:rFonts w:ascii="ARIAL" w:hAnsi="ARIAL"/>
          <w:sz w:val="20"/>
        </w:rPr>
        <w:t xml:space="preserve">Community Health Systems </w:t>
      </w:r>
    </w:p>
    <w:p>
      <w:pPr>
        <w:pStyle w:val="TextBody"/>
        <w:spacing w:before="0" w:after="0"/>
        <w:jc w:val="left"/>
        <w:rPr>
          <w:rFonts w:ascii="ARIAL" w:hAnsi="ARIAL"/>
          <w:sz w:val="20"/>
        </w:rPr>
      </w:pPr>
      <w:r>
        <w:rPr>
          <w:rFonts w:ascii="ARIAL" w:hAnsi="ARIAL"/>
          <w:sz w:val="20"/>
        </w:rPr>
        <w:t xml:space="preserve">4000 Meridian Boulevard </w:t>
      </w:r>
    </w:p>
    <w:p>
      <w:pPr>
        <w:pStyle w:val="TextBody"/>
        <w:spacing w:before="0" w:after="0"/>
        <w:jc w:val="left"/>
        <w:rPr>
          <w:rFonts w:ascii="ARIAL" w:hAnsi="ARIAL"/>
          <w:sz w:val="20"/>
        </w:rPr>
      </w:pPr>
      <w:r>
        <w:rPr>
          <w:rFonts w:ascii="ARIAL" w:hAnsi="ARIAL"/>
          <w:sz w:val="20"/>
        </w:rPr>
        <w:t xml:space="preserve">Franklin, TN 37067 </w:t>
      </w:r>
    </w:p>
    <w:p>
      <w:pPr>
        <w:pStyle w:val="TextBody"/>
        <w:spacing w:before="0" w:after="0"/>
        <w:jc w:val="left"/>
        <w:rPr>
          <w:rFonts w:ascii="ARIAL" w:hAnsi="ARIAL"/>
          <w:sz w:val="20"/>
        </w:rPr>
      </w:pPr>
      <w:r>
        <w:rPr>
          <w:rFonts w:ascii="ARIAL" w:hAnsi="ARIAL"/>
          <w:sz w:val="20"/>
        </w:rPr>
        <w:t xml:space="preserve">(800) 495-9510 </w:t>
      </w:r>
    </w:p>
    <w:p>
      <w:pPr>
        <w:pStyle w:val="TextBody"/>
        <w:spacing w:before="0" w:after="0"/>
        <w:jc w:val="left"/>
        <w:rPr>
          <w:rFonts w:ascii="ARIAL" w:hAnsi="ARIAL"/>
          <w:sz w:val="20"/>
        </w:rPr>
      </w:pPr>
      <w:r>
        <w:rPr>
          <w:rFonts w:ascii="ARIAL" w:hAnsi="ARIAL"/>
          <w:sz w:val="20"/>
          <w:u w:val="single"/>
        </w:rPr>
        <w:t>https://www.mycompliancereport.com/</w:t>
      </w:r>
      <w:r>
        <w:rPr>
          <w:rFonts w:ascii="ARIAL" w:hAnsi="ARIAL"/>
          <w:sz w:val="20"/>
        </w:rPr>
        <w:t xml:space="preserve"> (use code “CYH”) </w:t>
      </w:r>
    </w:p>
    <w:p>
      <w:pPr>
        <w:pStyle w:val="TextBody"/>
        <w:spacing w:before="200" w:after="0"/>
        <w:jc w:val="left"/>
        <w:rPr>
          <w:rFonts w:ascii="ARIAL" w:hAnsi="ARIAL"/>
          <w:sz w:val="20"/>
        </w:rPr>
      </w:pPr>
      <w:r>
        <w:rPr>
          <w:rFonts w:ascii="ARIAL" w:hAnsi="ARIAL"/>
          <w:sz w:val="20"/>
        </w:rPr>
        <w:t xml:space="preserve">Generally, all materials that are appropriate director communications will be forwarded to the intended recipient; however, management may simultaneously conduct an investigation of any operational, compliance, or legal matter in accordance with its established policies and procedures. Management reserves the right to reject from this process any material that is harassing, unduly offensive or otherwise not credible, or that solicits business on behalf of the sender. </w:t>
      </w:r>
    </w:p>
    <w:p>
      <w:pPr>
        <w:pStyle w:val="TextBody"/>
        <w:spacing w:before="200" w:after="0"/>
        <w:jc w:val="left"/>
        <w:rPr>
          <w:rFonts w:ascii="ARIAL" w:hAnsi="ARIAL"/>
          <w:b/>
          <w:i/>
          <w:sz w:val="20"/>
        </w:rPr>
      </w:pPr>
      <w:r>
        <w:rPr>
          <w:rFonts w:ascii="ARIAL" w:hAnsi="ARIAL"/>
          <w:b/>
          <w:i/>
          <w:sz w:val="20"/>
        </w:rPr>
        <w:t xml:space="preserve">How is the Board of Directors organized and how is the independence of the Board of Directors determined? </w:t>
      </w:r>
    </w:p>
    <w:p>
      <w:pPr>
        <w:pStyle w:val="TextBody"/>
        <w:spacing w:before="200" w:after="0"/>
        <w:jc w:val="left"/>
        <w:rPr>
          <w:rFonts w:ascii="ARIAL" w:hAnsi="ARIAL"/>
          <w:sz w:val="20"/>
        </w:rPr>
      </w:pPr>
      <w:r>
        <w:rPr>
          <w:rFonts w:ascii="ARIAL" w:hAnsi="ARIAL"/>
          <w:sz w:val="20"/>
        </w:rPr>
        <w:t xml:space="preserve">The role of our Board is governed by the Company’s Amended and Restated By-laws (the “By-laws”), and is further described in our Governance Guidelines (the “Governance Guidelines”). Currently, our Board has twelve (12) members. </w:t>
      </w:r>
    </w:p>
    <w:p>
      <w:pPr>
        <w:pStyle w:val="TextBody"/>
        <w:spacing w:before="200" w:after="0"/>
        <w:jc w:val="left"/>
        <w:rPr>
          <w:rFonts w:ascii="ARIAL" w:hAnsi="ARIAL"/>
          <w:sz w:val="20"/>
        </w:rPr>
      </w:pPr>
      <w:r>
        <w:rPr>
          <w:rFonts w:ascii="ARIAL" w:hAnsi="ARIAL"/>
          <w:sz w:val="20"/>
        </w:rPr>
        <w:t xml:space="preserve">A majority of our directors must be “independent” under NYSE rules. In addition, our Governance Guidelines include independence standards established by our Board to assist it in determining independence in accordance with such rules. To determine whether our incumbent directors and any new director nominees are independent, the Board evaluates any relationships of our directors and director nominees with the Company and the members of the Company’s management, against the independence standards set forth in our Governance Guidelines and the applicable rules of the NYSE and SEC. In making its independence determinations, the Board broadly considers all relevant facts and circumstances, including the responses of our directors and director nominees to a questionnaire completed by each of them on an annual basis, which solicits information about their relationships and other facts and circumstances that may be relevant to such independence determination. The Board also considers any relationships between the Company and other organizations on which our directors or director nominees serve as directors or with respect to which such directors or director nominees are otherwise affiliated. The Board determined that each of our existing non-management directors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7 </w:t>
      </w:r>
      <w:r>
        <w:br w:type="page"/>
      </w:r>
    </w:p>
    <w:p>
      <w:pPr>
        <w:pStyle w:val="HorizontalLine"/>
        <w:rPr/>
      </w:pPr>
      <w:r>
        <w:rPr/>
      </w:r>
    </w:p>
    <w:p>
      <w:pPr>
        <w:pStyle w:val="TextBody"/>
        <w:spacing w:before="0" w:after="0"/>
        <w:jc w:val="left"/>
        <w:rPr>
          <w:rFonts w:ascii="ARIAL" w:hAnsi="ARIAL"/>
          <w:sz w:val="20"/>
        </w:rPr>
      </w:pPr>
      <w:r>
        <w:rPr>
          <w:rFonts w:ascii="ARIAL" w:hAnsi="ARIAL"/>
          <w:sz w:val="20"/>
        </w:rPr>
        <w:t xml:space="preserve">other than Mr. Smith, who served as our Executive Chairman until January 1, 2023 and now serves as non-executive Chairman of the Board, satisfied all of the independence standards set forth in the Governance Guidelines and the applicable rules of the NYSE and SEC (including the specific standards applicable to members of our Audit and Compliance Committee and Compensation Committee) and did not otherwise have a material relationship with the Company (either directly or as an officer, employee, shareholder or partner of an organization that has a relationship with the Company). After such evaluations, our Board has affirmatively determined that each of the following non-management directors are independent under the Governance Guidelines and the applicable rules of the NYSE and the SEC: </w:t>
      </w:r>
    </w:p>
    <w:p>
      <w:pPr>
        <w:pStyle w:val="TextBody"/>
        <w:spacing w:before="200" w:after="0"/>
        <w:jc w:val="left"/>
        <w:rPr>
          <w:rFonts w:ascii="ARIAL" w:hAnsi="ARIAL"/>
          <w:sz w:val="20"/>
        </w:rPr>
      </w:pPr>
      <w:r>
        <w:rPr>
          <w:rFonts w:ascii="ARIAL" w:hAnsi="ARIAL"/>
          <w:sz w:val="20"/>
        </w:rPr>
        <w:t xml:space="preserve">Susan W. Brooks </w:t>
      </w:r>
    </w:p>
    <w:p>
      <w:pPr>
        <w:pStyle w:val="TextBody"/>
        <w:spacing w:before="0" w:after="0"/>
        <w:jc w:val="left"/>
        <w:rPr>
          <w:rFonts w:ascii="ARIAL" w:hAnsi="ARIAL"/>
          <w:sz w:val="20"/>
        </w:rPr>
      </w:pPr>
      <w:r>
        <w:rPr>
          <w:rFonts w:ascii="ARIAL" w:hAnsi="ARIAL"/>
          <w:sz w:val="20"/>
        </w:rPr>
        <w:t xml:space="preserve">John A. Clerico </w:t>
      </w:r>
    </w:p>
    <w:p>
      <w:pPr>
        <w:pStyle w:val="TextBody"/>
        <w:spacing w:before="0" w:after="0"/>
        <w:jc w:val="left"/>
        <w:rPr>
          <w:rFonts w:ascii="ARIAL" w:hAnsi="ARIAL"/>
          <w:sz w:val="20"/>
        </w:rPr>
      </w:pPr>
      <w:r>
        <w:rPr>
          <w:rFonts w:ascii="ARIAL" w:hAnsi="ARIAL"/>
          <w:sz w:val="20"/>
        </w:rPr>
        <w:t xml:space="preserve">Michael Dinkins </w:t>
      </w:r>
    </w:p>
    <w:p>
      <w:pPr>
        <w:pStyle w:val="TextBody"/>
        <w:spacing w:before="0" w:after="0"/>
        <w:jc w:val="left"/>
        <w:rPr>
          <w:rFonts w:ascii="ARIAL" w:hAnsi="ARIAL"/>
          <w:sz w:val="20"/>
        </w:rPr>
      </w:pPr>
      <w:r>
        <w:rPr>
          <w:rFonts w:ascii="ARIAL" w:hAnsi="ARIAL"/>
          <w:sz w:val="20"/>
        </w:rPr>
        <w:t xml:space="preserve">James S. Ely III </w:t>
      </w:r>
    </w:p>
    <w:p>
      <w:pPr>
        <w:pStyle w:val="TextBody"/>
        <w:spacing w:before="0" w:after="0"/>
        <w:jc w:val="left"/>
        <w:rPr>
          <w:rFonts w:ascii="ARIAL" w:hAnsi="ARIAL"/>
          <w:sz w:val="20"/>
        </w:rPr>
      </w:pPr>
      <w:r>
        <w:rPr>
          <w:rFonts w:ascii="ARIAL" w:hAnsi="ARIAL"/>
          <w:sz w:val="20"/>
        </w:rPr>
        <w:t xml:space="preserve">John A. Fry </w:t>
      </w:r>
    </w:p>
    <w:p>
      <w:pPr>
        <w:pStyle w:val="TextBody"/>
        <w:spacing w:before="0" w:after="0"/>
        <w:jc w:val="left"/>
        <w:rPr>
          <w:rFonts w:ascii="ARIAL" w:hAnsi="ARIAL"/>
          <w:sz w:val="20"/>
        </w:rPr>
      </w:pPr>
      <w:r>
        <w:rPr>
          <w:rFonts w:ascii="ARIAL" w:hAnsi="ARIAL"/>
          <w:sz w:val="20"/>
        </w:rPr>
        <w:t xml:space="preserve">Joseph A. Hastings, D.M.D. </w:t>
      </w:r>
    </w:p>
    <w:p>
      <w:pPr>
        <w:pStyle w:val="TextBody"/>
        <w:spacing w:before="0" w:after="0"/>
        <w:jc w:val="left"/>
        <w:rPr>
          <w:rFonts w:ascii="ARIAL" w:hAnsi="ARIAL"/>
          <w:sz w:val="20"/>
        </w:rPr>
      </w:pPr>
      <w:r>
        <w:rPr>
          <w:rFonts w:ascii="ARIAL" w:hAnsi="ARIAL"/>
          <w:sz w:val="20"/>
        </w:rPr>
        <w:t xml:space="preserve">Elizabeth T. Hirsch </w:t>
      </w:r>
    </w:p>
    <w:p>
      <w:pPr>
        <w:pStyle w:val="TextBody"/>
        <w:spacing w:before="0" w:after="0"/>
        <w:jc w:val="left"/>
        <w:rPr>
          <w:rFonts w:ascii="ARIAL" w:hAnsi="ARIAL"/>
          <w:sz w:val="20"/>
        </w:rPr>
      </w:pPr>
      <w:r>
        <w:rPr>
          <w:rFonts w:ascii="ARIAL" w:hAnsi="ARIAL"/>
          <w:sz w:val="20"/>
        </w:rPr>
        <w:t xml:space="preserve">William Norris Jennings, M.D. </w:t>
      </w:r>
    </w:p>
    <w:p>
      <w:pPr>
        <w:pStyle w:val="TextBody"/>
        <w:spacing w:before="0" w:after="0"/>
        <w:jc w:val="left"/>
        <w:rPr>
          <w:rFonts w:ascii="ARIAL" w:hAnsi="ARIAL"/>
          <w:sz w:val="20"/>
        </w:rPr>
      </w:pPr>
      <w:r>
        <w:rPr>
          <w:rFonts w:ascii="ARIAL" w:hAnsi="ARIAL"/>
          <w:sz w:val="20"/>
        </w:rPr>
        <w:t xml:space="preserve">K. Ranga Krishnan, MBBS </w:t>
      </w:r>
    </w:p>
    <w:p>
      <w:pPr>
        <w:pStyle w:val="TextBody"/>
        <w:spacing w:before="0" w:after="0"/>
        <w:jc w:val="left"/>
        <w:rPr>
          <w:rFonts w:ascii="ARIAL" w:hAnsi="ARIAL"/>
          <w:sz w:val="20"/>
        </w:rPr>
      </w:pPr>
      <w:r>
        <w:rPr>
          <w:rFonts w:ascii="ARIAL" w:hAnsi="ARIAL"/>
          <w:sz w:val="20"/>
        </w:rPr>
        <w:t xml:space="preserve">H. James Williams, Ph.D. </w:t>
      </w:r>
    </w:p>
    <w:p>
      <w:pPr>
        <w:pStyle w:val="TextBody"/>
        <w:spacing w:before="200" w:after="0"/>
        <w:jc w:val="left"/>
        <w:rPr>
          <w:rFonts w:ascii="ARIAL" w:hAnsi="ARIAL"/>
          <w:sz w:val="20"/>
        </w:rPr>
      </w:pPr>
      <w:r>
        <w:rPr>
          <w:rFonts w:ascii="ARIAL" w:hAnsi="ARIAL"/>
          <w:sz w:val="20"/>
        </w:rPr>
        <w:t xml:space="preserve">In addition to Mr. Smith, Mr. Hingtgen, who is our Chief Executive Officer and employed by a subsidiary of the Company, is not independent. </w:t>
      </w:r>
    </w:p>
    <w:p>
      <w:pPr>
        <w:pStyle w:val="TextBody"/>
        <w:spacing w:before="200" w:after="0"/>
        <w:jc w:val="left"/>
        <w:rPr>
          <w:rFonts w:ascii="ARIAL" w:hAnsi="ARIAL"/>
          <w:b/>
          <w:i/>
          <w:sz w:val="20"/>
        </w:rPr>
      </w:pPr>
      <w:r>
        <w:rPr>
          <w:rFonts w:ascii="ARIAL" w:hAnsi="ARIAL"/>
          <w:b/>
          <w:i/>
          <w:sz w:val="20"/>
        </w:rPr>
        <w:t xml:space="preserve">Do the non-management members and independent members of the Board of Directors meet in separate sessions? </w:t>
      </w:r>
    </w:p>
    <w:p>
      <w:pPr>
        <w:pStyle w:val="TextBody"/>
        <w:spacing w:before="200" w:after="0"/>
        <w:jc w:val="left"/>
        <w:rPr>
          <w:rFonts w:ascii="ARIAL" w:hAnsi="ARIAL"/>
          <w:sz w:val="20"/>
        </w:rPr>
      </w:pPr>
      <w:r>
        <w:rPr>
          <w:rFonts w:ascii="ARIAL" w:hAnsi="ARIAL"/>
          <w:sz w:val="20"/>
        </w:rPr>
        <w:t xml:space="preserve">The non-management members of our Board meet frequently in executive sessions, typically at the end of each regularly scheduled Board meeting, and otherwise as needed. During 2022, the non-management members of our Board met in executive session twelve (12) times, either in conjunction with a Board meeting or a committee meeting at which the other non-management members were present. During 2022, when Mr. Smith was serving as our Executive Chairman and was a member of management, the Lead Director or the chair of the applicable Board committee presided over those sessions. In light of the retirement of Mr. Smith as Executive Chairman effective January 1, 2023, beginning in 2023, Mr. Smith, as the non-executive Board Chair, will generally preside over executive sessions. In the absence of the Board Chair or when leadership by the Board Chair is not deemed advisable, the Lead Director will preside at such meetings. If an executive session is held in conjunction with a committee meeting at which the other non-management directors are present, the chair of the applicable committee may preside at such meeting. In addition, at least annually, the independent directors meet in executive session presided over by the Lead Director. All directors are encouraged to offer feedback regarding topics to be included as agenda items for upcoming Board or committee meetings. </w:t>
      </w:r>
    </w:p>
    <w:p>
      <w:pPr>
        <w:pStyle w:val="TextBody"/>
        <w:spacing w:before="200" w:after="0"/>
        <w:jc w:val="left"/>
        <w:rPr>
          <w:rFonts w:ascii="ARIAL" w:hAnsi="ARIAL"/>
          <w:b/>
          <w:i/>
          <w:sz w:val="20"/>
        </w:rPr>
      </w:pPr>
      <w:r>
        <w:rPr>
          <w:rFonts w:ascii="ARIAL" w:hAnsi="ARIAL"/>
          <w:b/>
          <w:i/>
          <w:sz w:val="20"/>
        </w:rPr>
        <w:t xml:space="preserve">What is the leadership structure of the Board of Directors? </w:t>
      </w:r>
    </w:p>
    <w:p>
      <w:pPr>
        <w:pStyle w:val="TextBody"/>
        <w:spacing w:before="200" w:after="0"/>
        <w:jc w:val="left"/>
        <w:rPr>
          <w:rFonts w:ascii="ARIAL" w:hAnsi="ARIAL"/>
          <w:sz w:val="20"/>
        </w:rPr>
      </w:pPr>
      <w:r>
        <w:rPr>
          <w:rFonts w:ascii="ARIAL" w:hAnsi="ARIAL"/>
          <w:sz w:val="20"/>
        </w:rPr>
        <w:t xml:space="preserve">The Board is currently led by Wayne T. Smith as Chairman of the Board. The Board has carefully considered its leadership structure and believes at this time that the Company and its stockholders are best served by having the positions of Board Chair and Chief Executive Officer filled by different individuals. This allows the Chief Executive Officer to focus on the Company’s day-to-day operations, while allowing the Board Chair to lead the Board in providing advice and oversight to management. The Board believes that Mr. Smith’s broad and lengthy leadership experience in the healthcare industry, including 24 years of prior service as the Chief Executive Officer of the Company through the end of 2020, uniquely qualify him for the role of Board Chair. In addition, the Board believes that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8 </w:t>
      </w:r>
      <w:r>
        <w:br w:type="page"/>
      </w:r>
    </w:p>
    <w:p>
      <w:pPr>
        <w:pStyle w:val="HorizontalLine"/>
        <w:rPr/>
      </w:pPr>
      <w:r>
        <w:rPr/>
      </w:r>
    </w:p>
    <w:p>
      <w:pPr>
        <w:pStyle w:val="TextBody"/>
        <w:spacing w:before="0" w:after="0"/>
        <w:jc w:val="left"/>
        <w:rPr>
          <w:rFonts w:ascii="ARIAL" w:hAnsi="ARIAL"/>
          <w:sz w:val="20"/>
        </w:rPr>
      </w:pPr>
      <w:r>
        <w:rPr>
          <w:rFonts w:ascii="ARIAL" w:hAnsi="ARIAL"/>
          <w:sz w:val="20"/>
        </w:rPr>
        <w:t xml:space="preserve">certain other practices and policies (including the role of our independent Lead Director) assure that the independent members of the Board (who comprise a super-majority of the Board) provide appropriate oversight, consultation, and involvement. The Governance and Nominating Committee regularly reviews the Board’s leadership structure to assess whether to separate or combine the roles of Chairman of the Board and Chief Executive Officer based on the Company’s particular facts and circumstances at the time, and the Board retains flexibility to determine the appropriate leadership structure for the Company based on such facts and circumstances. </w:t>
      </w:r>
    </w:p>
    <w:p>
      <w:pPr>
        <w:pStyle w:val="TextBody"/>
        <w:spacing w:before="200" w:after="0"/>
        <w:jc w:val="left"/>
        <w:rPr>
          <w:rFonts w:ascii="ARIAL" w:hAnsi="ARIAL"/>
          <w:sz w:val="20"/>
        </w:rPr>
      </w:pPr>
      <w:r>
        <w:rPr>
          <w:rFonts w:ascii="ARIAL" w:hAnsi="ARIAL"/>
          <w:sz w:val="20"/>
        </w:rPr>
        <w:t xml:space="preserve">The Board is responsible for broad corporate policy and overseeing the overall performance of the Company. Members of the Board are kept informed of the Company’s business by various documents sent to them before each meeting and oral reports made to them during these meetings by the Company’s Chief Executive Officer and other corporate executives. All directors are advised of actions taken by the various committees of the Board and are invited to, and frequently do, attend meetings of Board committees on which they do not serve. Directors have access to the Company’s books, records and reports, and members of management are available at all times to answer their questions. </w:t>
      </w:r>
    </w:p>
    <w:p>
      <w:pPr>
        <w:pStyle w:val="TextBody"/>
        <w:spacing w:before="200" w:after="0"/>
        <w:jc w:val="left"/>
        <w:rPr>
          <w:rFonts w:ascii="ARIAL" w:hAnsi="ARIAL"/>
          <w:sz w:val="20"/>
        </w:rPr>
      </w:pPr>
      <w:r>
        <w:rPr>
          <w:rFonts w:ascii="ARIAL" w:hAnsi="ARIAL"/>
          <w:sz w:val="20"/>
        </w:rPr>
        <w:t xml:space="preserve">The Governance and Nominating Committee, which consists entirely of independent directors, periodically examines the Board leadership structure, as well as other governance practices, and also conducts an annual assessment of the Board’s and each committee’s effectiveness. The Governance and Nominating Committee has determined that the present leadership structure is effective and appropriate. </w:t>
      </w:r>
    </w:p>
    <w:p>
      <w:pPr>
        <w:pStyle w:val="TextBody"/>
        <w:spacing w:before="200" w:after="0"/>
        <w:jc w:val="left"/>
        <w:rPr>
          <w:rFonts w:ascii="ARIAL" w:hAnsi="ARIAL"/>
          <w:sz w:val="20"/>
        </w:rPr>
      </w:pPr>
      <w:r>
        <w:rPr>
          <w:rFonts w:ascii="ARIAL" w:hAnsi="ARIAL"/>
          <w:sz w:val="20"/>
        </w:rPr>
        <w:t xml:space="preserve">As indicated above, the non-management members of the Board meet in executive sessions. During 2022, those executive sessions were presided over by the independent Lead Director, currently John Clerico. Mr. Clerico has been a member of our Board since 2003 with former service as chair of both our Audit and Compliance Committee and our Compensation Committee. The Lead Director has the authority to call meetings of the independent directors and prepare agendas for such meetings. The Lead Director may serve as a liaison between the independent directors and management, as needed. The Lead Director may advise on the quality, sufficiency and currency of the materials sent to the Board in connection with its meetings and offer input on regular meeting agendas. Upon request, the Lead Director is also available for consultation and direct communication with major stockholders. </w:t>
      </w:r>
    </w:p>
    <w:p>
      <w:pPr>
        <w:pStyle w:val="TextBody"/>
        <w:spacing w:before="200" w:after="0"/>
        <w:jc w:val="left"/>
        <w:rPr>
          <w:rFonts w:ascii="ARIAL" w:hAnsi="ARIAL"/>
          <w:sz w:val="20"/>
        </w:rPr>
      </w:pPr>
      <w:r>
        <w:rPr>
          <w:rFonts w:ascii="ARIAL" w:hAnsi="ARIAL"/>
          <w:sz w:val="20"/>
        </w:rPr>
        <w:t xml:space="preserve">Board independence is further achieved through the completely independent composition of the three standing committees of the Board: Audit and Compliance, Compensation, and Governance and Nominating, each of which is supported by an appropriate charter and holds executive sessions without management present. Each of the Board’s independent directors serves on one or more of these committees and, as noted above, is invited to, and frequently does, attend meetings and executive sessions of Board committees on which he or she does not serve. Thus, there is ample opportunity to meet and confer without any member of management present. </w:t>
      </w:r>
    </w:p>
    <w:p>
      <w:pPr>
        <w:pStyle w:val="TextBody"/>
        <w:spacing w:before="200" w:after="0"/>
        <w:jc w:val="left"/>
        <w:rPr>
          <w:rFonts w:ascii="ARIAL" w:hAnsi="ARIAL"/>
          <w:sz w:val="20"/>
        </w:rPr>
      </w:pPr>
      <w:r>
        <w:rPr>
          <w:rFonts w:ascii="ARIAL" w:hAnsi="ARIAL"/>
          <w:sz w:val="20"/>
        </w:rPr>
        <w:t xml:space="preserve">The Board has concluded that the structure and practices of the independent members of the Board assure effective independent oversight, as well as effective independent leadership while maintaining practical efficiency. </w:t>
      </w:r>
    </w:p>
    <w:p>
      <w:pPr>
        <w:pStyle w:val="TextBody"/>
        <w:spacing w:before="200" w:after="0"/>
        <w:jc w:val="left"/>
        <w:rPr>
          <w:rFonts w:ascii="ARIAL" w:hAnsi="ARIAL"/>
          <w:b/>
          <w:i/>
          <w:sz w:val="20"/>
        </w:rPr>
      </w:pPr>
      <w:r>
        <w:rPr>
          <w:rFonts w:ascii="ARIAL" w:hAnsi="ARIAL"/>
          <w:b/>
          <w:i/>
          <w:sz w:val="20"/>
        </w:rPr>
        <w:t xml:space="preserve">What are the Company’s environmental, social and governance initiatives and where can I find additional information regarding these initiatives? </w:t>
      </w:r>
    </w:p>
    <w:p>
      <w:pPr>
        <w:pStyle w:val="TextBody"/>
        <w:spacing w:before="200" w:after="0"/>
        <w:jc w:val="left"/>
        <w:rPr>
          <w:rFonts w:ascii="ARIAL" w:hAnsi="ARIAL"/>
          <w:sz w:val="20"/>
        </w:rPr>
      </w:pPr>
      <w:r>
        <w:rPr>
          <w:rFonts w:ascii="ARIAL" w:hAnsi="ARIAL"/>
          <w:sz w:val="20"/>
        </w:rPr>
        <w:t xml:space="preserve">In addition to our good corporate governance practices highlighted above in the Corporate Governance Highlights section, we have implemented, various environmental, social and governance (“ESG”) initiatives, including in the following areas: </w:t>
      </w:r>
    </w:p>
    <w:p>
      <w:pPr>
        <w:pStyle w:val="TextBody"/>
        <w:spacing w:before="200" w:after="0"/>
        <w:jc w:val="left"/>
        <w:rPr>
          <w:rFonts w:ascii="ARIAL" w:hAnsi="ARIAL"/>
          <w:sz w:val="20"/>
        </w:rPr>
      </w:pPr>
      <w:r>
        <w:rPr>
          <w:rFonts w:ascii="ARIAL" w:hAnsi="ARIAL"/>
          <w:i/>
          <w:sz w:val="20"/>
        </w:rPr>
        <w:t xml:space="preserve">Environment/Sustainability. </w:t>
      </w:r>
      <w:r>
        <w:rPr>
          <w:rFonts w:ascii="ARIAL" w:hAnsi="ARIAL"/>
          <w:sz w:val="20"/>
        </w:rPr>
        <w:t xml:space="preserve">We are committed to providing high-quality care in the communities we serve while identifying and implementing processes that improve energy efficiency, reduce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9 </w:t>
      </w:r>
      <w:r>
        <w:br w:type="page"/>
      </w:r>
    </w:p>
    <w:p>
      <w:pPr>
        <w:pStyle w:val="HorizontalLine"/>
        <w:rPr/>
      </w:pPr>
      <w:r>
        <w:rPr/>
      </w:r>
    </w:p>
    <w:p>
      <w:pPr>
        <w:pStyle w:val="TextBody"/>
        <w:spacing w:before="0" w:after="0"/>
        <w:jc w:val="left"/>
        <w:rPr>
          <w:rFonts w:ascii="ARIAL" w:hAnsi="ARIAL"/>
          <w:sz w:val="20"/>
        </w:rPr>
      </w:pPr>
      <w:r>
        <w:rPr>
          <w:rFonts w:ascii="ARIAL" w:hAnsi="ARIAL"/>
          <w:sz w:val="20"/>
        </w:rPr>
        <w:t xml:space="preserve">consumption and waste, minimize environmental impact and improve community well-being. We continue to be focused on the reduction of our carbon footprint, water and energy usage and material waste, and our initiatives in this area can often be cost-effective as well as important for environmental sustainability. Our key environmental initiatives include the following: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ARIAL" w:hAnsi="ARIAL"/>
                <w:sz w:val="20"/>
              </w:rPr>
            </w:pPr>
            <w:r>
              <w:rPr>
                <w:rFonts w:ascii="ARIAL" w:hAnsi="ARIAL"/>
                <w:i/>
                <w:sz w:val="20"/>
              </w:rPr>
              <w:t xml:space="preserve">Meet or Exceed Applicable Legal and Regulatory Environmental Standards. </w:t>
            </w:r>
            <w:r>
              <w:rPr>
                <w:rFonts w:ascii="ARIAL" w:hAnsi="ARIAL"/>
                <w:sz w:val="20"/>
              </w:rPr>
              <w:t xml:space="preserve">We endeavor to meet or exceed applicable legal and regulatory standards for the safe operation of our facilities and the protection of our environment, including through the following measures: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ARIAL" w:hAnsi="ARIAL"/>
                <w:sz w:val="20"/>
              </w:rPr>
            </w:pPr>
            <w:r>
              <w:rPr>
                <w:rFonts w:ascii="ARIAL" w:hAnsi="ARIAL"/>
                <w:sz w:val="20"/>
              </w:rPr>
              <w:t xml:space="preserve">establishing design standards and focusing on sustainability considerations for architectural design, facility construction and waste management in connection with the construction of new buildings and significant renovation projects, which may also result in such facilities being more energy efficient and having lower operation and maintenance costs;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ARIAL" w:hAnsi="ARIAL"/>
                <w:sz w:val="20"/>
              </w:rPr>
            </w:pPr>
            <w:r>
              <w:rPr>
                <w:rFonts w:ascii="ARIAL" w:hAnsi="ARIAL"/>
                <w:sz w:val="20"/>
              </w:rPr>
              <w:t xml:space="preserve">making capital investments to update our facilities to withstand extreme weather conditions, including as the result of climate change, and establishing emergency preparedness plans and incident response teams to help sustain our facilities in the event of extreme weather conditions;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ARIAL" w:hAnsi="ARIAL"/>
                <w:sz w:val="20"/>
              </w:rPr>
            </w:pPr>
            <w:r>
              <w:rPr>
                <w:rFonts w:ascii="ARIAL" w:hAnsi="ARIAL"/>
                <w:sz w:val="20"/>
              </w:rPr>
              <w:t xml:space="preserve">seeking Green Building Initiative Green Globes Program certification for recent new construction and major renovation projects; and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ARIAL" w:hAnsi="ARIAL"/>
                <w:sz w:val="20"/>
              </w:rPr>
            </w:pPr>
            <w:r>
              <w:rPr>
                <w:rFonts w:ascii="ARIAL" w:hAnsi="ARIAL"/>
                <w:sz w:val="20"/>
              </w:rPr>
              <w:t xml:space="preserve">procuring sustainably sourced products, including through the policies of HealthTrust Purchasing Group, L.P., our group purchasing organization.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ARIAL" w:hAnsi="ARIAL"/>
                <w:sz w:val="20"/>
              </w:rPr>
            </w:pPr>
            <w:r>
              <w:rPr>
                <w:rFonts w:ascii="ARIAL" w:hAnsi="ARIAL"/>
                <w:i/>
                <w:sz w:val="20"/>
              </w:rPr>
              <w:t xml:space="preserve">Reduce, Reuse and Recycle Materials. </w:t>
            </w:r>
            <w:r>
              <w:rPr>
                <w:rFonts w:ascii="ARIAL" w:hAnsi="ARIAL"/>
                <w:sz w:val="20"/>
              </w:rPr>
              <w:t xml:space="preserve">We reduce, reuse and recycle materials where possible and practical to conserve resources and minimize the need for treatment or disposal, including through reducing printing and paper usage, environmental services measures, reprocessing medical supplies, diverting plastic and cardboard from landfills and engaging in other effective waste management practices, and engaging in various recycling measures,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ARIAL" w:hAnsi="ARIAL"/>
                <w:sz w:val="20"/>
              </w:rPr>
            </w:pPr>
            <w:r>
              <w:rPr>
                <w:rFonts w:ascii="ARIAL" w:hAnsi="ARIAL"/>
                <w:i/>
                <w:sz w:val="20"/>
              </w:rPr>
              <w:t xml:space="preserve">Reduce Energy Usage, Emissions and Water Consumption. </w:t>
            </w:r>
            <w:r>
              <w:rPr>
                <w:rFonts w:ascii="ARIAL" w:hAnsi="ARIAL"/>
                <w:sz w:val="20"/>
              </w:rPr>
              <w:t xml:space="preserve">We are committed to reducing energy usage, emissions and water consumption, and are considering new initiatives which may help measure our progress in this area. Our current initiatives in this area include: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ARIAL" w:hAnsi="ARIAL"/>
                <w:sz w:val="20"/>
              </w:rPr>
            </w:pPr>
            <w:r>
              <w:rPr>
                <w:rFonts w:ascii="ARIAL" w:hAnsi="ARIAL"/>
                <w:sz w:val="20"/>
              </w:rPr>
              <w:t xml:space="preserve">investing in infrastructure to reduce energy consumption, such as through roof, replacement and repair projects, installation of high-efficiency LED lighting, replacement of older HVAC systems with more efficient equipment, and implementation of smarter building technology and automation systems; </w:t>
            </w:r>
          </w:p>
        </w:tc>
      </w:tr>
    </w:tbl>
    <w:p>
      <w:pPr>
        <w:pStyle w:val="TextBody"/>
        <w:spacing w:before="0" w:after="0"/>
        <w:jc w:val="left"/>
        <w:rPr/>
      </w:pPr>
      <w:r>
        <w:rPr/>
        <w:t> </w:t>
      </w:r>
    </w:p>
    <w:tbl>
      <w:tblPr>
        <w:tblW w:w="4285" w:type="dxa"/>
        <w:jc w:val="left"/>
        <w:tblInd w:w="0" w:type="dxa"/>
        <w:tblCellMar>
          <w:top w:w="0" w:type="dxa"/>
          <w:left w:w="0" w:type="dxa"/>
          <w:bottom w:w="0" w:type="dxa"/>
          <w:right w:w="0" w:type="dxa"/>
        </w:tblCellMar>
      </w:tblPr>
      <w:tblGrid>
        <w:gridCol w:w="75"/>
        <w:gridCol w:w="110"/>
        <w:gridCol w:w="60"/>
        <w:gridCol w:w="404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040" w:type="dxa"/>
            <w:tcBorders/>
            <w:shd w:fill="auto" w:val="clear"/>
            <w:vAlign w:val="center"/>
          </w:tcPr>
          <w:p>
            <w:pPr>
              <w:pStyle w:val="TableContents"/>
              <w:spacing w:before="0" w:after="0"/>
              <w:jc w:val="left"/>
              <w:rPr>
                <w:rFonts w:ascii="ARIAL" w:hAnsi="ARIAL"/>
                <w:sz w:val="20"/>
              </w:rPr>
            </w:pPr>
            <w:r>
              <w:rPr>
                <w:rFonts w:ascii="ARIAL" w:hAnsi="ARIAL"/>
                <w:sz w:val="20"/>
              </w:rPr>
              <w:t xml:space="preserve">implementing energy conservation measures; </w:t>
            </w:r>
          </w:p>
        </w:tc>
      </w:tr>
    </w:tbl>
    <w:p>
      <w:pPr>
        <w:pStyle w:val="TextBody"/>
        <w:spacing w:before="0" w:after="0"/>
        <w:jc w:val="left"/>
        <w:rPr/>
      </w:pPr>
      <w:r>
        <w:rPr/>
        <w:t> </w:t>
      </w:r>
    </w:p>
    <w:tbl>
      <w:tblPr>
        <w:tblW w:w="9265" w:type="dxa"/>
        <w:jc w:val="left"/>
        <w:tblInd w:w="0" w:type="dxa"/>
        <w:tblCellMar>
          <w:top w:w="0" w:type="dxa"/>
          <w:left w:w="0" w:type="dxa"/>
          <w:bottom w:w="0" w:type="dxa"/>
          <w:right w:w="0" w:type="dxa"/>
        </w:tblCellMar>
      </w:tblPr>
      <w:tblGrid>
        <w:gridCol w:w="75"/>
        <w:gridCol w:w="110"/>
        <w:gridCol w:w="60"/>
        <w:gridCol w:w="90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020" w:type="dxa"/>
            <w:tcBorders/>
            <w:shd w:fill="auto" w:val="clear"/>
            <w:vAlign w:val="center"/>
          </w:tcPr>
          <w:p>
            <w:pPr>
              <w:pStyle w:val="TableContents"/>
              <w:spacing w:before="0" w:after="0"/>
              <w:jc w:val="left"/>
              <w:rPr>
                <w:rFonts w:ascii="ARIAL" w:hAnsi="ARIAL"/>
                <w:sz w:val="20"/>
              </w:rPr>
            </w:pPr>
            <w:r>
              <w:rPr>
                <w:rFonts w:ascii="ARIAL" w:hAnsi="ARIAL"/>
                <w:sz w:val="20"/>
              </w:rPr>
              <w:t xml:space="preserve">performing preventative maintenance to ensure systems are performing at optimal operating efficiency; </w:t>
            </w:r>
          </w:p>
        </w:tc>
      </w:tr>
    </w:tbl>
    <w:p>
      <w:pPr>
        <w:pStyle w:val="TextBody"/>
        <w:spacing w:before="0" w:after="0"/>
        <w:jc w:val="left"/>
        <w:rPr/>
      </w:pPr>
      <w:r>
        <w:rPr/>
        <w:t> </w:t>
      </w:r>
    </w:p>
    <w:tbl>
      <w:tblPr>
        <w:tblW w:w="4855" w:type="dxa"/>
        <w:jc w:val="left"/>
        <w:tblInd w:w="0" w:type="dxa"/>
        <w:tblCellMar>
          <w:top w:w="0" w:type="dxa"/>
          <w:left w:w="0" w:type="dxa"/>
          <w:bottom w:w="0" w:type="dxa"/>
          <w:right w:w="0" w:type="dxa"/>
        </w:tblCellMar>
      </w:tblPr>
      <w:tblGrid>
        <w:gridCol w:w="75"/>
        <w:gridCol w:w="110"/>
        <w:gridCol w:w="60"/>
        <w:gridCol w:w="461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610" w:type="dxa"/>
            <w:tcBorders/>
            <w:shd w:fill="auto" w:val="clear"/>
            <w:vAlign w:val="center"/>
          </w:tcPr>
          <w:p>
            <w:pPr>
              <w:pStyle w:val="TableContents"/>
              <w:spacing w:before="0" w:after="0"/>
              <w:jc w:val="left"/>
              <w:rPr>
                <w:rFonts w:ascii="ARIAL" w:hAnsi="ARIAL"/>
                <w:sz w:val="20"/>
              </w:rPr>
            </w:pPr>
            <w:r>
              <w:rPr>
                <w:rFonts w:ascii="ARIAL" w:hAnsi="ARIAL"/>
                <w:sz w:val="20"/>
              </w:rPr>
              <w:t xml:space="preserve">auditing and monitoring our energy reduction efforts; </w:t>
            </w:r>
          </w:p>
        </w:tc>
      </w:tr>
    </w:tbl>
    <w:p>
      <w:pPr>
        <w:pStyle w:val="TextBody"/>
        <w:spacing w:before="0" w:after="0"/>
        <w:jc w:val="left"/>
        <w:rPr/>
      </w:pPr>
      <w:r>
        <w:rPr/>
        <w:t> </w:t>
      </w:r>
    </w:p>
    <w:tbl>
      <w:tblPr>
        <w:tblW w:w="4540" w:type="dxa"/>
        <w:jc w:val="left"/>
        <w:tblInd w:w="0" w:type="dxa"/>
        <w:tblCellMar>
          <w:top w:w="0" w:type="dxa"/>
          <w:left w:w="0" w:type="dxa"/>
          <w:bottom w:w="0" w:type="dxa"/>
          <w:right w:w="0" w:type="dxa"/>
        </w:tblCellMar>
      </w:tblPr>
      <w:tblGrid>
        <w:gridCol w:w="75"/>
        <w:gridCol w:w="110"/>
        <w:gridCol w:w="60"/>
        <w:gridCol w:w="429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295" w:type="dxa"/>
            <w:tcBorders/>
            <w:shd w:fill="auto" w:val="clear"/>
            <w:vAlign w:val="center"/>
          </w:tcPr>
          <w:p>
            <w:pPr>
              <w:pStyle w:val="TableContents"/>
              <w:spacing w:before="0" w:after="0"/>
              <w:jc w:val="left"/>
              <w:rPr>
                <w:rFonts w:ascii="ARIAL" w:hAnsi="ARIAL"/>
                <w:sz w:val="20"/>
              </w:rPr>
            </w:pPr>
            <w:r>
              <w:rPr>
                <w:rFonts w:ascii="ARIAL" w:hAnsi="ARIAL"/>
                <w:sz w:val="20"/>
              </w:rPr>
              <w:t xml:space="preserve">consolidating energy-intensive data centers; and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ARIAL" w:hAnsi="ARIAL"/>
                <w:sz w:val="20"/>
              </w:rPr>
            </w:pPr>
            <w:r>
              <w:rPr>
                <w:rFonts w:ascii="ARIAL" w:hAnsi="ARIAL"/>
                <w:sz w:val="20"/>
              </w:rPr>
              <w:t xml:space="preserve">reducing water consumption through measures such as effective water treatment programs and, where practicable, the utilization of ground water wells at certain of our locations. </w:t>
            </w:r>
          </w:p>
        </w:tc>
      </w:tr>
    </w:tbl>
    <w:p>
      <w:pPr>
        <w:pStyle w:val="TextBody"/>
        <w:spacing w:before="200" w:after="0"/>
        <w:jc w:val="left"/>
        <w:rPr>
          <w:rFonts w:ascii="ARIAL" w:hAnsi="ARIAL"/>
          <w:i/>
          <w:sz w:val="20"/>
        </w:rPr>
      </w:pPr>
      <w:r>
        <w:rPr>
          <w:rFonts w:ascii="ARIAL" w:hAnsi="ARIAL"/>
          <w:i/>
          <w:sz w:val="20"/>
        </w:rPr>
        <w:t xml:space="preserve">Patient Safety and High Quality of Care. We maintain an emphasis on patient safety and clinical outcomes and we are continuously focused on ways to improve patient, physician and employee satisfaction. To improve outcomes, healthcare personnel at our facilities use evidence-based medicine and clinical care paths in the treatment of our patients. We believe that a focus on continuous improvement yields the best results for patients, reduces risk and liability, and creates value for the people and communities we serve. As the result of our patient safety efforts, our Serious Safety Event Rate has declined significantly since 2013.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10 </w:t>
      </w:r>
      <w:r>
        <w:br w:type="page"/>
      </w:r>
    </w:p>
    <w:p>
      <w:pPr>
        <w:pStyle w:val="HorizontalLine"/>
        <w:rPr/>
      </w:pPr>
      <w:r>
        <w:rPr/>
      </w:r>
    </w:p>
    <w:p>
      <w:pPr>
        <w:pStyle w:val="TextBody"/>
        <w:spacing w:before="0" w:after="0"/>
        <w:jc w:val="left"/>
        <w:rPr>
          <w:rFonts w:ascii="ARIAL" w:hAnsi="ARIAL"/>
          <w:sz w:val="20"/>
        </w:rPr>
      </w:pPr>
      <w:r>
        <w:rPr>
          <w:rFonts w:ascii="ARIAL" w:hAnsi="ARIAL"/>
          <w:sz w:val="20"/>
        </w:rPr>
        <w:t xml:space="preserve">We also have expanded our network of outpatient services to create greater access and more convenience for our patients. Moreover, as conditions arising from the pandemic accelerated the need for telehealth appointments, we have significantly expanded our ability to provide remote care. </w:t>
      </w:r>
    </w:p>
    <w:p>
      <w:pPr>
        <w:pStyle w:val="TextBody"/>
        <w:spacing w:before="200" w:after="0"/>
        <w:jc w:val="left"/>
        <w:rPr>
          <w:rFonts w:ascii="ARIAL" w:hAnsi="ARIAL"/>
          <w:sz w:val="20"/>
        </w:rPr>
      </w:pPr>
      <w:r>
        <w:rPr>
          <w:rFonts w:ascii="ARIAL" w:hAnsi="ARIAL"/>
          <w:sz w:val="20"/>
        </w:rPr>
        <w:t xml:space="preserve">For additional information regarding our focus on patient safety and quality of care, see the discussion under “Our Business Strategy — Continuously improve patient safety and quality of care” in Part I, Item 1 (Business) of our Annual Report on Form 10-K for our fiscal year ended December 31, 2022, filed with the SEC on February 17, 2023. </w:t>
      </w:r>
    </w:p>
    <w:p>
      <w:pPr>
        <w:pStyle w:val="TextBody"/>
        <w:spacing w:before="200" w:after="0"/>
        <w:jc w:val="left"/>
        <w:rPr>
          <w:rFonts w:ascii="ARIAL" w:hAnsi="ARIAL"/>
          <w:sz w:val="20"/>
        </w:rPr>
      </w:pPr>
      <w:r>
        <w:rPr>
          <w:rFonts w:ascii="ARIAL" w:hAnsi="ARIAL"/>
          <w:i/>
          <w:sz w:val="20"/>
        </w:rPr>
        <w:t>Responding to COVID-19.</w:t>
      </w:r>
      <w:r>
        <w:rPr>
          <w:rFonts w:ascii="ARIAL" w:hAnsi="ARIAL"/>
          <w:sz w:val="20"/>
        </w:rPr>
        <w:t xml:space="preserve"> Since the onset of the COVID-19 pandemic in 2020, our hospitals, medical clinics, medical personnel, and employees have been actively caring for COVID-19 patients. The safety of our patients, physicians, nurses, and employees in the communities in which we serve has remained our primary focus. At the beginning of the pandemic, we established a COVID-19 Crisis Command Center and Response Team to ensure support for our workforce and the coordination of our resources and leadership in connection with responding to the pandemic. This team continues to meet as needed to address any necessary developments such as changes to infection prevention guidelines or patient care processes and to ensure that our caregivers have the personal protective equipment and other supplies to ensure safe, high quality care. </w:t>
      </w:r>
    </w:p>
    <w:p>
      <w:pPr>
        <w:pStyle w:val="TextBody"/>
        <w:spacing w:before="200" w:after="0"/>
        <w:jc w:val="left"/>
        <w:rPr>
          <w:rFonts w:ascii="ARIAL" w:hAnsi="ARIAL"/>
          <w:sz w:val="20"/>
        </w:rPr>
      </w:pPr>
      <w:r>
        <w:rPr>
          <w:rFonts w:ascii="ARIAL" w:hAnsi="ARIAL"/>
          <w:i/>
          <w:sz w:val="20"/>
        </w:rPr>
        <w:t>Diversity, Equity and Inclusion</w:t>
      </w:r>
      <w:r>
        <w:rPr>
          <w:rFonts w:ascii="ARIAL" w:hAnsi="ARIAL"/>
          <w:sz w:val="20"/>
        </w:rPr>
        <w:t xml:space="preserve">. We are committed to diversity, equity and inclusion, including recruiting and retaining a diverse population of employees with respect to their experiences, education, socioeconomic status, race, color, ethnicity, religion, national origin, disability, culture, sexual orientation and gender identity or expression that are reflective of the communities we serve. Our diversity, equity and inclusion plan objectives are to strengthen cultural competence, build a diverse talent pipeline, retain and develop high potential employees, improve patient experience and outcomes, and increase supplier diversity, and we have taken various actions to further these objectives. For example, as we strive to deepen our culture of inclusion, we endeavor to strengthen our individual and collective cultural competence through both formal training and development programs and by informally sharing lived experiences and relating to one another. We are also committed to building a diverse talent pipeline through a variety of venues and programs such as internships, residencies, mentorship programs and by partnering with diverse professional organizations. To further our priorities in this area, during 2021, we hired a new vice president and a new senior director of diversity, equity and inclusion, and also established a diversity leadership committee. By fostering a culture of inclusion, we believe that we are able to retain the best and brightest talent by making all employees feel valued by members of their respective team. As of December 31, 2022, approximately 81% of our employees were women and approximately 27% were people of color. </w:t>
      </w:r>
    </w:p>
    <w:p>
      <w:pPr>
        <w:pStyle w:val="TextBody"/>
        <w:spacing w:before="200" w:after="0"/>
        <w:jc w:val="left"/>
        <w:rPr>
          <w:rFonts w:ascii="ARIAL" w:hAnsi="ARIAL"/>
          <w:sz w:val="20"/>
        </w:rPr>
      </w:pPr>
      <w:r>
        <w:rPr>
          <w:rFonts w:ascii="ARIAL" w:hAnsi="ARIAL"/>
          <w:i/>
          <w:sz w:val="20"/>
        </w:rPr>
        <w:t xml:space="preserve">Supporting Our People. </w:t>
      </w:r>
      <w:r>
        <w:rPr>
          <w:rFonts w:ascii="ARIAL" w:hAnsi="ARIAL"/>
          <w:sz w:val="20"/>
        </w:rPr>
        <w:t xml:space="preserve">Our employees are vital contributors to the success of our organization, and we devote significant resources to recruit, retain and develop our workforce. Our healthcare personnel have provided quality and compassionate care to patients suffering from COVID-19 and other medical conditions, and we have offered mental health support for our personnel struggling with the emotional impact of caring for patients during the pandemic. We also provide a wide range of development programs and resources, several of which were initiated and/or expanded in 2022. These programs and resources include the following: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ARIAL" w:hAnsi="ARIAL"/>
                <w:sz w:val="20"/>
              </w:rPr>
            </w:pPr>
            <w:r>
              <w:rPr>
                <w:rFonts w:ascii="ARIAL" w:hAnsi="ARIAL"/>
                <w:sz w:val="20"/>
              </w:rPr>
              <w:t xml:space="preserve">an expanded tuition reimbursement program for all staff looking to further their education in any discipline employed by our health systems;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ARIAL" w:hAnsi="ARIAL"/>
                <w:sz w:val="20"/>
              </w:rPr>
            </w:pPr>
            <w:r>
              <w:rPr>
                <w:rFonts w:ascii="ARIAL" w:hAnsi="ARIAL"/>
                <w:sz w:val="20"/>
              </w:rPr>
              <w:t xml:space="preserve">a new student loan repayment program for numerous key clinical roles and reimbursement for licenses and certifications that are required for each individual role;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ARIAL" w:hAnsi="ARIAL"/>
                <w:sz w:val="20"/>
              </w:rPr>
            </w:pPr>
            <w:r>
              <w:rPr>
                <w:rFonts w:ascii="ARIAL" w:hAnsi="ARIAL"/>
                <w:sz w:val="20"/>
              </w:rPr>
              <w:t xml:space="preserve">nursing school partnerships with educational institutions which offer educational pathways to those desiring to become professional nurses; </w:t>
            </w:r>
          </w:p>
        </w:tc>
      </w:tr>
    </w:tbl>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11 </w:t>
      </w:r>
      <w:r>
        <w:br w:type="page"/>
      </w:r>
    </w:p>
    <w:p>
      <w:pPr>
        <w:pStyle w:val="HorizontalLine"/>
        <w:rPr/>
      </w:pPr>
      <w:r>
        <w:rPr/>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ARIAL" w:hAnsi="ARIAL"/>
                <w:sz w:val="20"/>
              </w:rPr>
            </w:pPr>
            <w:r>
              <w:rPr>
                <w:rFonts w:ascii="ARIAL" w:hAnsi="ARIAL"/>
                <w:sz w:val="20"/>
              </w:rPr>
              <w:t xml:space="preserve">residency training programs, in connection with which affiliated hospitals partner with graduate medical education residency programs, thereby providing residents with practical patient experience and growing the pool of practicing physicians.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ARIAL" w:hAnsi="ARIAL"/>
                <w:sz w:val="20"/>
              </w:rPr>
            </w:pPr>
            <w:r>
              <w:rPr>
                <w:rFonts w:ascii="ARIAL" w:hAnsi="ARIAL"/>
                <w:sz w:val="20"/>
              </w:rPr>
              <w:t xml:space="preserve">an executive development program, which identifies and develops qualified personnel for leadership-level positions at our healthcare facilities;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ARIAL" w:hAnsi="ARIAL"/>
                <w:sz w:val="20"/>
              </w:rPr>
            </w:pPr>
            <w:r>
              <w:rPr>
                <w:rFonts w:ascii="ARIAL" w:hAnsi="ARIAL"/>
                <w:sz w:val="20"/>
              </w:rPr>
              <w:t xml:space="preserve">Community LEADS, our Leadership Excellence and Development Series, a proprietary training program for directors, managers and supervisors at our hospitals; and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ARIAL" w:hAnsi="ARIAL"/>
                <w:sz w:val="20"/>
              </w:rPr>
            </w:pPr>
            <w:r>
              <w:rPr>
                <w:rFonts w:ascii="ARIAL" w:hAnsi="ARIAL"/>
                <w:sz w:val="20"/>
              </w:rPr>
              <w:t xml:space="preserve">our Advanced Learning Center (ALC) platform, a web-based portal which provides employees and contractors access to computer-based training courses as well as instructor led classes in various areas; </w:t>
            </w:r>
          </w:p>
        </w:tc>
      </w:tr>
    </w:tbl>
    <w:p>
      <w:pPr>
        <w:pStyle w:val="TextBody"/>
        <w:spacing w:before="200" w:after="0"/>
        <w:jc w:val="left"/>
        <w:rPr>
          <w:rFonts w:ascii="ARIAL" w:hAnsi="ARIAL"/>
          <w:sz w:val="20"/>
        </w:rPr>
      </w:pPr>
      <w:r>
        <w:rPr>
          <w:rFonts w:ascii="ARIAL" w:hAnsi="ARIAL"/>
          <w:i/>
          <w:sz w:val="20"/>
        </w:rPr>
        <w:t xml:space="preserve">Community Involvement. </w:t>
      </w:r>
      <w:r>
        <w:rPr>
          <w:rFonts w:ascii="ARIAL" w:hAnsi="ARIAL"/>
          <w:sz w:val="20"/>
        </w:rPr>
        <w:t xml:space="preserve">The Company is committed to supporting the communities in which we operate. For example, our hospitals improve the wellbeing of local residents through health fairs, screenings and educational programs, and actively participate in civic and charitable causes, sponsor community events and support local programs through volunteerism. Moreover, we and our employees support our communities and employees through organizations such as the CHS Foundation, a foundation funded by charitable gifts from the Company and its employees which supports organizations involved with education, health, human services and international development, and the CHS Cares Fund, a non-profit charitable fund (administered by The Community Foundation of Middle Tennessee) whose purpose is to provide financial assistance to employees of the Company’s affiliated entities, clinics and offices who have experienced hardship due to events beyond their control such as natural disasters and extended illnesses or injuries. In this regard, numerous grants have been made by the CHS Cares Fund to employees of the Company who have suffered financial hardship as the result of the pandemic. </w:t>
      </w:r>
    </w:p>
    <w:p>
      <w:pPr>
        <w:pStyle w:val="TextBody"/>
        <w:spacing w:before="200" w:after="0"/>
        <w:jc w:val="left"/>
        <w:rPr>
          <w:rFonts w:ascii="ARIAL" w:hAnsi="ARIAL"/>
          <w:sz w:val="20"/>
        </w:rPr>
      </w:pPr>
      <w:r>
        <w:rPr>
          <w:rFonts w:ascii="ARIAL" w:hAnsi="ARIAL"/>
          <w:sz w:val="20"/>
        </w:rPr>
        <w:t xml:space="preserve">In addition, we have developed strategies with our affiliated hospitals to manage controlled substances, especially opioids. Opioid management teams at our hospitals elevate awareness, define direction, and drive efforts related to pain assessment and management. </w:t>
      </w:r>
    </w:p>
    <w:p>
      <w:pPr>
        <w:pStyle w:val="TextBody"/>
        <w:spacing w:before="200" w:after="0"/>
        <w:jc w:val="left"/>
        <w:rPr>
          <w:rFonts w:ascii="ARIAL" w:hAnsi="ARIAL"/>
          <w:sz w:val="20"/>
        </w:rPr>
      </w:pPr>
      <w:r>
        <w:rPr>
          <w:rFonts w:ascii="ARIAL" w:hAnsi="ARIAL"/>
          <w:sz w:val="20"/>
        </w:rPr>
        <w:t xml:space="preserve">We have reported on our ESG initiatives since 2010. Our most recent reports are our 2020/2021 Community Impact Report and 2021 Environmental Sustainability Report, both of which are available on our internet website in the Company Overview — Community Impact Report section (www.chs.net/company-overview/community-impact-report/). Please note that our website is provided as an inactive textual reference and the information on our website (whether referenced here or elsewhere in this Proxy Statement) is not incorporated by reference in this Proxy Statement. </w:t>
      </w:r>
    </w:p>
    <w:p>
      <w:pPr>
        <w:pStyle w:val="TextBody"/>
        <w:spacing w:before="200" w:after="0"/>
        <w:jc w:val="left"/>
        <w:rPr>
          <w:rFonts w:ascii="ARIAL" w:hAnsi="ARIAL"/>
          <w:b/>
          <w:i/>
          <w:sz w:val="20"/>
        </w:rPr>
      </w:pPr>
      <w:r>
        <w:rPr>
          <w:rFonts w:ascii="ARIAL" w:hAnsi="ARIAL"/>
          <w:b/>
          <w:i/>
          <w:sz w:val="20"/>
        </w:rPr>
        <w:t xml:space="preserve">How does the Board of Directors oversee risk? </w:t>
      </w:r>
    </w:p>
    <w:p>
      <w:pPr>
        <w:pStyle w:val="TextBody"/>
        <w:spacing w:before="200" w:after="0"/>
        <w:jc w:val="left"/>
        <w:rPr>
          <w:rFonts w:ascii="ARIAL" w:hAnsi="ARIAL"/>
          <w:sz w:val="20"/>
        </w:rPr>
      </w:pPr>
      <w:r>
        <w:rPr>
          <w:rFonts w:ascii="ARIAL" w:hAnsi="ARIAL"/>
          <w:sz w:val="20"/>
        </w:rPr>
        <w:t xml:space="preserve">Risk management is primarily the responsibility of the Company’s management team, which is administered through a broad-based Executive Risk Committee that includes executives from our operations, internal audit, clinical services, compliance, quality, revenue management, accounting, risk management, finance, facilities management, human resources, information technology, and legal departments. The Company’s enterprise risk management process includes interviews and surveys with corporate officers and leaders, regional and market leadership, and members of the Board, as well as reviewing third-party publications that evaluate perceived risks to the Company, the industry or the broader market. Through this in-depth process the Enterprise Risk Committee identifies and monitors what are believed to be the key risks currently facing the Company. A comprehensive presentation regarding the enterprise risk management process and each of the key risks identified is presented annually at a meeting attended by all directors. In addition, management provides updates on each of the key risks on an on-going basis at meetings of the Board and applicable Board committees (depending on the subject matter of the risk) throughout the year.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12 </w:t>
      </w:r>
      <w:r>
        <w:br w:type="page"/>
      </w:r>
    </w:p>
    <w:p>
      <w:pPr>
        <w:pStyle w:val="HorizontalLine"/>
        <w:rPr/>
      </w:pPr>
      <w:r>
        <w:rPr/>
      </w:r>
    </w:p>
    <w:p>
      <w:pPr>
        <w:pStyle w:val="TextBody"/>
        <w:spacing w:before="0" w:after="0"/>
        <w:jc w:val="left"/>
        <w:rPr>
          <w:rFonts w:ascii="ARIAL" w:hAnsi="ARIAL"/>
          <w:sz w:val="20"/>
        </w:rPr>
      </w:pPr>
      <w:r>
        <w:rPr>
          <w:rFonts w:ascii="ARIAL" w:hAnsi="ARIAL"/>
          <w:sz w:val="20"/>
        </w:rPr>
        <w:t xml:space="preserve">The Board is responsible for the overall supervision of the Company’s risk management activities. The Board’s oversight of the material risks faced by the Company occurs at both the full board level and at the committee level. The types of risks overseen by the Board and/or applicable Board committees may include, as appropriate, without limitation, business, industry, economic, patient safety, cybersecurity and ESG risks. ESG matters overseen by the Board and/or Board committees may include, without limitation, risks related to climate, environmental, sustainability, corporate social responsibility, human capital, energy, and natural resource matters. For additional information regarding the Company’s ESG initiatives, see “What are the Company’s environmental, social and governance initiatives and where can I find additional information regarding these initiatives?” </w:t>
      </w:r>
    </w:p>
    <w:p>
      <w:pPr>
        <w:pStyle w:val="TextBody"/>
        <w:spacing w:before="200" w:after="0"/>
        <w:jc w:val="left"/>
        <w:rPr>
          <w:rFonts w:ascii="ARIAL" w:hAnsi="ARIAL"/>
          <w:sz w:val="20"/>
        </w:rPr>
      </w:pPr>
      <w:r>
        <w:rPr>
          <w:rFonts w:ascii="ARIAL" w:hAnsi="ARIAL"/>
          <w:sz w:val="20"/>
        </w:rPr>
        <w:t xml:space="preserve">The Audit and Compliance Committee has oversight responsibility, not only for financial reporting with respect to the Company’s major financial exposures and the steps management has taken to monitor and control such exposures, but also for the effectiveness of management’s enterprise risk management process. In addition, as discussed in greater detail below, the Audit and Compliance Committee has primary oversight responsibility regarding the Company’s information security, data security, data privacy, and other cybersecurity programs procedures and risks. See “What is the Board’s role in overseeing information security?” The Audit and Compliance Committee also considers the delegation of responsibility for the oversight of specific risk areas among the other Board committees, consistent with the committees’ charters and responsibilities. </w:t>
      </w:r>
    </w:p>
    <w:p>
      <w:pPr>
        <w:pStyle w:val="TextBody"/>
        <w:spacing w:before="200" w:after="0"/>
        <w:jc w:val="left"/>
        <w:rPr>
          <w:rFonts w:ascii="ARIAL" w:hAnsi="ARIAL"/>
          <w:sz w:val="20"/>
        </w:rPr>
      </w:pPr>
      <w:r>
        <w:rPr>
          <w:rFonts w:ascii="ARIAL" w:hAnsi="ARIAL"/>
          <w:sz w:val="20"/>
        </w:rPr>
        <w:t xml:space="preserve">The Compensation Committee oversees risks associated with the Company’s executive compensation programs, including confirming that such programs do not encourage conduct that would be reasonably likely to have a material adverse effect on the Company. Taking into account the Compensation Committee’s oversight of such risks, the Company has determined that any risks arising from its compensation programs and policies are not reasonably likely to have a material adverse effect on the Company. In addition, the Compensation Committee oversees risks with respect to human capital management matters, including with respect to diversity, equity, and inclusion and leadership and talent development. For additional information regarding the Company’s risk assessment of its compensation programs and practices, and relevant considerations in connection therewith, see “Compensation Discussion and Analysis — Risk Assessment of Executive Compensation.” </w:t>
      </w:r>
    </w:p>
    <w:p>
      <w:pPr>
        <w:pStyle w:val="TextBody"/>
        <w:spacing w:before="200" w:after="0"/>
        <w:jc w:val="left"/>
        <w:rPr>
          <w:rFonts w:ascii="ARIAL" w:hAnsi="ARIAL"/>
          <w:sz w:val="20"/>
        </w:rPr>
      </w:pPr>
      <w:r>
        <w:rPr>
          <w:rFonts w:ascii="ARIAL" w:hAnsi="ARIAL"/>
          <w:sz w:val="20"/>
        </w:rPr>
        <w:t xml:space="preserve">The Governance and Nominating Committee reviews and oversees certain ESG risks, including with respect to climate, environmental, sustainability, corporate social responsibilities, energy and natural resource matters. </w:t>
      </w:r>
    </w:p>
    <w:p>
      <w:pPr>
        <w:pStyle w:val="TextBody"/>
        <w:spacing w:before="200" w:after="0"/>
        <w:jc w:val="left"/>
        <w:rPr>
          <w:rFonts w:ascii="ARIAL" w:hAnsi="ARIAL"/>
          <w:sz w:val="20"/>
        </w:rPr>
      </w:pPr>
      <w:r>
        <w:rPr>
          <w:rFonts w:ascii="ARIAL" w:hAnsi="ARIAL"/>
          <w:sz w:val="20"/>
        </w:rPr>
        <w:t xml:space="preserve">Management provides regular updates throughout the year to the respective Board committees regarding the management of the risks each committee oversees, and each of these committees discusses those risks with the full Board at either regular meetings of the Board or at committee meetings in which all Board members participate. At least once every year, the Audit and Compliance Committee considers the allocation of risk responsibility among the Board’s committees and implements any changes it deems appropriate. The Audit and Compliance Committee, together with the full Board of Directors, is actively involved in the oversight of risk issue identification and assessment at the Company and mitigation strategies employed by the Company with respect to each of these risks. </w:t>
      </w:r>
    </w:p>
    <w:p>
      <w:pPr>
        <w:pStyle w:val="TextBody"/>
        <w:spacing w:before="200" w:after="0"/>
        <w:jc w:val="left"/>
        <w:rPr>
          <w:rFonts w:ascii="ARIAL" w:hAnsi="ARIAL"/>
          <w:sz w:val="20"/>
        </w:rPr>
      </w:pPr>
      <w:r>
        <w:rPr>
          <w:rFonts w:ascii="ARIAL" w:hAnsi="ARIAL"/>
          <w:sz w:val="20"/>
        </w:rPr>
        <w:t xml:space="preserve">In addition to the reports from the committees, the Board receives presentations throughout the year from various department and business unit leaders that include discussions of possible risks. At each Board meeting, the Chief Executive Officer address, in a director-only session, matters of particular importance or concern, including any areas of risk that require attention from the Board. Additionally, through dedicated sessions focusing entirely on corporate strategy, the full Board reviews in detail the Company’s short and long-term strategies, including consideration of risks facing the Company and their potential impact.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13 </w:t>
      </w:r>
      <w:r>
        <w:br w:type="page"/>
      </w:r>
    </w:p>
    <w:p>
      <w:pPr>
        <w:pStyle w:val="HorizontalLine"/>
        <w:rPr/>
      </w:pPr>
      <w:r>
        <w:rPr/>
      </w:r>
    </w:p>
    <w:p>
      <w:pPr>
        <w:pStyle w:val="TextBody"/>
        <w:spacing w:before="0" w:after="0"/>
        <w:jc w:val="left"/>
        <w:rPr>
          <w:rFonts w:ascii="ARIAL" w:hAnsi="ARIAL"/>
          <w:sz w:val="20"/>
        </w:rPr>
      </w:pPr>
      <w:r>
        <w:rPr>
          <w:rFonts w:ascii="ARIAL" w:hAnsi="ARIAL"/>
          <w:sz w:val="20"/>
        </w:rPr>
        <w:t xml:space="preserve">We believe that our approach to risk oversight, as described above, optimizes our ability to assess inter-relationships among the various risks, make informed cost-benefit decisions, and approach emerging risks in a proactive manner for the Company. We also believe that our risk structure complements our current Board leadership structure, as it allows our non-management directors, through the three fully independent Board committees, as well as the Board Chair and the independent Lead Director, to exercise effective oversight of the actions of management, led by Mr. Hingtgen as Chief Executive Officer, in identifying risks and implementing effective risk management policies and controls. </w:t>
      </w:r>
    </w:p>
    <w:p>
      <w:pPr>
        <w:pStyle w:val="TextBody"/>
        <w:spacing w:before="200" w:after="0"/>
        <w:jc w:val="left"/>
        <w:rPr>
          <w:rFonts w:ascii="ARIAL" w:hAnsi="ARIAL"/>
          <w:b/>
          <w:i/>
          <w:sz w:val="20"/>
        </w:rPr>
      </w:pPr>
      <w:r>
        <w:rPr>
          <w:rFonts w:ascii="ARIAL" w:hAnsi="ARIAL"/>
          <w:b/>
          <w:i/>
          <w:sz w:val="20"/>
        </w:rPr>
        <w:t xml:space="preserve">What is the Board’s role in overseeing information security? </w:t>
      </w:r>
    </w:p>
    <w:p>
      <w:pPr>
        <w:pStyle w:val="TextBody"/>
        <w:spacing w:before="200" w:after="0"/>
        <w:jc w:val="left"/>
        <w:rPr>
          <w:rFonts w:ascii="ARIAL" w:hAnsi="ARIAL"/>
          <w:sz w:val="20"/>
        </w:rPr>
      </w:pPr>
      <w:r>
        <w:rPr>
          <w:rFonts w:ascii="ARIAL" w:hAnsi="ARIAL"/>
          <w:sz w:val="20"/>
        </w:rPr>
        <w:t xml:space="preserve">The Company places the utmost importance on information security and privacy, including protecting the personal medical, financial and insurance information of its patients and employees. The Audit and Compliance Committee has primary oversight responsibility regarding the Company’s information security, data security, data privacy, and other cybersecurity programs, procedures and risks. The Audit and Compliance Committee and the full Board receive updates at least quarterly from management covering the Company’s programs for managing information security risks, including data privacy and data protection risks. The Company has adopted the National Institute of Standards and Technology (NIST) Cybersecurity Framework to assess the maturity of its cybersecurity programs. Other aspects of the Company’s comprehensive information security program include: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ARIAL" w:hAnsi="ARIAL"/>
                <w:sz w:val="20"/>
              </w:rPr>
            </w:pPr>
            <w:r>
              <w:rPr>
                <w:rFonts w:ascii="ARIAL" w:hAnsi="ARIAL"/>
                <w:sz w:val="20"/>
              </w:rPr>
              <w:t xml:space="preserve">information security and privacy modules included in the Company’s mandatory onboarding and annual compliance training for all personnel, as well as targeted specialized training for any personnel that routinely have access to patient information;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ARIAL" w:hAnsi="ARIAL"/>
                <w:sz w:val="20"/>
              </w:rPr>
            </w:pPr>
            <w:r>
              <w:rPr>
                <w:rFonts w:ascii="ARIAL" w:hAnsi="ARIAL"/>
                <w:sz w:val="20"/>
              </w:rPr>
              <w:t xml:space="preserve">regular comprehensive Cybersecurity Program Assessments (CPA) using the NIST framework conducted by an outside data security consultant; </w:t>
            </w:r>
          </w:p>
        </w:tc>
      </w:tr>
    </w:tbl>
    <w:p>
      <w:pPr>
        <w:pStyle w:val="TextBody"/>
        <w:spacing w:before="0" w:after="0"/>
        <w:jc w:val="left"/>
        <w:rPr/>
      </w:pPr>
      <w:r>
        <w:rPr/>
        <w:t> </w:t>
      </w:r>
    </w:p>
    <w:tbl>
      <w:tblPr>
        <w:tblW w:w="9400" w:type="dxa"/>
        <w:jc w:val="left"/>
        <w:tblInd w:w="0" w:type="dxa"/>
        <w:tblCellMar>
          <w:top w:w="0" w:type="dxa"/>
          <w:left w:w="0" w:type="dxa"/>
          <w:bottom w:w="0" w:type="dxa"/>
          <w:right w:w="0" w:type="dxa"/>
        </w:tblCellMar>
      </w:tblPr>
      <w:tblGrid>
        <w:gridCol w:w="75"/>
        <w:gridCol w:w="110"/>
        <w:gridCol w:w="60"/>
        <w:gridCol w:w="915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155" w:type="dxa"/>
            <w:tcBorders/>
            <w:shd w:fill="auto" w:val="clear"/>
            <w:vAlign w:val="center"/>
          </w:tcPr>
          <w:p>
            <w:pPr>
              <w:pStyle w:val="TableContents"/>
              <w:spacing w:before="0" w:after="0"/>
              <w:jc w:val="left"/>
              <w:rPr>
                <w:rFonts w:ascii="ARIAL" w:hAnsi="ARIAL"/>
                <w:sz w:val="20"/>
              </w:rPr>
            </w:pPr>
            <w:r>
              <w:rPr>
                <w:rFonts w:ascii="ARIAL" w:hAnsi="ARIAL"/>
                <w:sz w:val="20"/>
              </w:rPr>
              <w:t xml:space="preserve">regular testing, both by internal and external resources, of the Company’s information security defenses; </w:t>
            </w:r>
          </w:p>
        </w:tc>
      </w:tr>
    </w:tbl>
    <w:p>
      <w:pPr>
        <w:pStyle w:val="TextBody"/>
        <w:spacing w:before="0" w:after="0"/>
        <w:jc w:val="left"/>
        <w:rPr/>
      </w:pPr>
      <w:r>
        <w:rPr/>
        <w:t> </w:t>
      </w:r>
    </w:p>
    <w:tbl>
      <w:tblPr>
        <w:tblW w:w="9565" w:type="dxa"/>
        <w:jc w:val="left"/>
        <w:tblInd w:w="0" w:type="dxa"/>
        <w:tblCellMar>
          <w:top w:w="0" w:type="dxa"/>
          <w:left w:w="0" w:type="dxa"/>
          <w:bottom w:w="0" w:type="dxa"/>
          <w:right w:w="0" w:type="dxa"/>
        </w:tblCellMar>
      </w:tblPr>
      <w:tblGrid>
        <w:gridCol w:w="75"/>
        <w:gridCol w:w="110"/>
        <w:gridCol w:w="60"/>
        <w:gridCol w:w="93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320" w:type="dxa"/>
            <w:tcBorders/>
            <w:shd w:fill="auto" w:val="clear"/>
            <w:vAlign w:val="center"/>
          </w:tcPr>
          <w:p>
            <w:pPr>
              <w:pStyle w:val="TableContents"/>
              <w:spacing w:before="0" w:after="0"/>
              <w:jc w:val="left"/>
              <w:rPr>
                <w:rFonts w:ascii="ARIAL" w:hAnsi="ARIAL"/>
                <w:sz w:val="20"/>
              </w:rPr>
            </w:pPr>
            <w:r>
              <w:rPr>
                <w:rFonts w:ascii="ARIAL" w:hAnsi="ARIAL"/>
                <w:sz w:val="20"/>
              </w:rPr>
              <w:t xml:space="preserve">regular training with all personnel regarding risks arising from social engineering techniques (e.g. phishing); </w:t>
            </w:r>
          </w:p>
        </w:tc>
      </w:tr>
    </w:tbl>
    <w:p>
      <w:pPr>
        <w:pStyle w:val="TextBody"/>
        <w:spacing w:before="0" w:after="0"/>
        <w:jc w:val="left"/>
        <w:rPr/>
      </w:pPr>
      <w:r>
        <w:rPr/>
        <w:t> </w:t>
      </w:r>
    </w:p>
    <w:tbl>
      <w:tblPr>
        <w:tblW w:w="3445" w:type="dxa"/>
        <w:jc w:val="left"/>
        <w:tblInd w:w="0" w:type="dxa"/>
        <w:tblCellMar>
          <w:top w:w="0" w:type="dxa"/>
          <w:left w:w="0" w:type="dxa"/>
          <w:bottom w:w="0" w:type="dxa"/>
          <w:right w:w="0" w:type="dxa"/>
        </w:tblCellMar>
      </w:tblPr>
      <w:tblGrid>
        <w:gridCol w:w="75"/>
        <w:gridCol w:w="110"/>
        <w:gridCol w:w="60"/>
        <w:gridCol w:w="320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200" w:type="dxa"/>
            <w:tcBorders/>
            <w:shd w:fill="auto" w:val="clear"/>
            <w:vAlign w:val="center"/>
          </w:tcPr>
          <w:p>
            <w:pPr>
              <w:pStyle w:val="TableContents"/>
              <w:spacing w:before="0" w:after="0"/>
              <w:jc w:val="left"/>
              <w:rPr>
                <w:rFonts w:ascii="ARIAL" w:hAnsi="ARIAL"/>
                <w:sz w:val="20"/>
              </w:rPr>
            </w:pPr>
            <w:r>
              <w:rPr>
                <w:rFonts w:ascii="ARIAL" w:hAnsi="ARIAL"/>
                <w:sz w:val="20"/>
              </w:rPr>
              <w:t xml:space="preserve">global security and privacy policies; </w:t>
            </w:r>
          </w:p>
        </w:tc>
      </w:tr>
    </w:tbl>
    <w:p>
      <w:pPr>
        <w:pStyle w:val="TextBody"/>
        <w:spacing w:before="0" w:after="0"/>
        <w:jc w:val="left"/>
        <w:rPr/>
      </w:pPr>
      <w:r>
        <w:rPr/>
        <w:t> </w:t>
      </w:r>
    </w:p>
    <w:tbl>
      <w:tblPr>
        <w:tblW w:w="9520" w:type="dxa"/>
        <w:jc w:val="left"/>
        <w:tblInd w:w="0" w:type="dxa"/>
        <w:tblCellMar>
          <w:top w:w="0" w:type="dxa"/>
          <w:left w:w="0" w:type="dxa"/>
          <w:bottom w:w="0" w:type="dxa"/>
          <w:right w:w="0" w:type="dxa"/>
        </w:tblCellMar>
      </w:tblPr>
      <w:tblGrid>
        <w:gridCol w:w="75"/>
        <w:gridCol w:w="110"/>
        <w:gridCol w:w="60"/>
        <w:gridCol w:w="927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275" w:type="dxa"/>
            <w:tcBorders/>
            <w:shd w:fill="auto" w:val="clear"/>
            <w:vAlign w:val="center"/>
          </w:tcPr>
          <w:p>
            <w:pPr>
              <w:pStyle w:val="TableContents"/>
              <w:spacing w:before="0" w:after="0"/>
              <w:jc w:val="left"/>
              <w:rPr>
                <w:rFonts w:ascii="ARIAL" w:hAnsi="ARIAL"/>
                <w:sz w:val="20"/>
              </w:rPr>
            </w:pPr>
            <w:r>
              <w:rPr>
                <w:rFonts w:ascii="ARIAL" w:hAnsi="ARIAL"/>
                <w:sz w:val="20"/>
              </w:rPr>
              <w:t xml:space="preserve">regular newsletters highlighting current cybersecurity threats and how to recognize and mitigate them; and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ARIAL" w:hAnsi="ARIAL"/>
                <w:sz w:val="20"/>
              </w:rPr>
            </w:pPr>
            <w:r>
              <w:rPr>
                <w:rFonts w:ascii="ARIAL" w:hAnsi="ARIAL"/>
                <w:sz w:val="20"/>
              </w:rPr>
              <w:t xml:space="preserve">an annual Cybersecurity Awareness Month (CSAM) dedicated to raising cybersecurity awareness across the organization through specific communications and awareness items. </w:t>
            </w:r>
          </w:p>
        </w:tc>
      </w:tr>
    </w:tbl>
    <w:p>
      <w:pPr>
        <w:pStyle w:val="TextBody"/>
        <w:spacing w:before="200" w:after="0"/>
        <w:jc w:val="left"/>
        <w:rPr>
          <w:rFonts w:ascii="ARIAL" w:hAnsi="ARIAL"/>
          <w:sz w:val="20"/>
        </w:rPr>
      </w:pPr>
      <w:r>
        <w:rPr>
          <w:rFonts w:ascii="ARIAL" w:hAnsi="ARIAL"/>
          <w:sz w:val="20"/>
        </w:rPr>
        <w:t xml:space="preserve">The Company’s management regularly monitors best practices in this area and seeks to implement changes to the Company’s security programs as needed to ensure the Company maintains a robust data security and privacy program. The Company also maintains an information security insurance policy that provides coverage for data security breaches.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14 </w:t>
      </w:r>
      <w:r>
        <w:br w:type="page"/>
      </w:r>
    </w:p>
    <w:p>
      <w:pPr>
        <w:pStyle w:val="HorizontalLine"/>
        <w:rPr/>
      </w:pPr>
      <w:r>
        <w:rPr/>
      </w:r>
    </w:p>
    <w:p>
      <w:pPr>
        <w:pStyle w:val="TextBody"/>
        <w:spacing w:before="0" w:after="0"/>
        <w:jc w:val="left"/>
        <w:rPr>
          <w:rFonts w:ascii="ARIAL" w:hAnsi="ARIAL"/>
          <w:b/>
          <w:i/>
          <w:sz w:val="20"/>
        </w:rPr>
      </w:pPr>
      <w:r>
        <w:rPr>
          <w:rFonts w:ascii="ARIAL" w:hAnsi="ARIAL"/>
          <w:b/>
          <w:i/>
          <w:sz w:val="20"/>
        </w:rPr>
        <w:t xml:space="preserve">What are the standing committees of the Board of Directors? </w:t>
      </w:r>
    </w:p>
    <w:p>
      <w:pPr>
        <w:pStyle w:val="TextBody"/>
        <w:spacing w:before="200" w:after="0"/>
        <w:jc w:val="left"/>
        <w:rPr>
          <w:rFonts w:ascii="ARIAL" w:hAnsi="ARIAL"/>
          <w:sz w:val="20"/>
        </w:rPr>
      </w:pPr>
      <w:r>
        <w:rPr>
          <w:rFonts w:ascii="ARIAL" w:hAnsi="ARIAL"/>
          <w:sz w:val="20"/>
        </w:rPr>
        <w:t xml:space="preserve">Our Board has three standing committees: Audit and Compliance, Compensation, and Governance and Nominating. Each standing committee operates pursuant to a committee charter. Each of these committees is comprised solely of independent directors, and each independent director meets the additional criteria for committee membership, as set forth in the Company’s Governance Guidelines and the applicable committee charter. The current composition of our Board’s standing committees is as follows: </w:t>
      </w:r>
    </w:p>
    <w:p>
      <w:pPr>
        <w:pStyle w:val="TextBody"/>
        <w:spacing w:before="0" w:after="0"/>
        <w:jc w:val="left"/>
        <w:rPr/>
      </w:pPr>
      <w:r>
        <w:rPr/>
        <w:t> </w:t>
      </w:r>
    </w:p>
    <w:tbl>
      <w:tblPr>
        <w:tblW w:w="7845" w:type="dxa"/>
        <w:jc w:val="left"/>
        <w:tblInd w:w="0" w:type="dxa"/>
        <w:tblCellMar>
          <w:top w:w="0" w:type="dxa"/>
          <w:left w:w="0" w:type="dxa"/>
          <w:bottom w:w="0" w:type="dxa"/>
          <w:right w:w="0" w:type="dxa"/>
        </w:tblCellMar>
      </w:tblPr>
      <w:tblGrid>
        <w:gridCol w:w="2480"/>
        <w:gridCol w:w="120"/>
        <w:gridCol w:w="2165"/>
        <w:gridCol w:w="120"/>
        <w:gridCol w:w="2960"/>
      </w:tblGrid>
      <w:tr>
        <w:trPr/>
        <w:tc>
          <w:tcPr>
            <w:tcW w:w="248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16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960" w:type="dxa"/>
            <w:tcBorders/>
            <w:shd w:fill="auto" w:val="clear"/>
            <w:vAlign w:val="center"/>
          </w:tcPr>
          <w:p>
            <w:pPr>
              <w:pStyle w:val="TableContents"/>
              <w:spacing w:before="0" w:after="283"/>
              <w:rPr>
                <w:sz w:val="4"/>
                <w:szCs w:val="4"/>
              </w:rPr>
            </w:pPr>
            <w:r>
              <w:rPr>
                <w:sz w:val="4"/>
                <w:szCs w:val="4"/>
              </w:rPr>
            </w:r>
          </w:p>
        </w:tc>
      </w:tr>
      <w:tr>
        <w:trPr/>
        <w:tc>
          <w:tcPr>
            <w:tcW w:w="2480" w:type="dxa"/>
            <w:tcBorders>
              <w:bottom w:val="single" w:sz="6" w:space="0" w:color="000000"/>
            </w:tcBorders>
            <w:shd w:fill="auto" w:val="clear"/>
            <w:tcMar>
              <w:bottom w:w="28" w:type="dxa"/>
            </w:tcMar>
            <w:vAlign w:val="center"/>
          </w:tcPr>
          <w:p>
            <w:pPr>
              <w:pStyle w:val="TableContents"/>
              <w:spacing w:before="0" w:after="0"/>
              <w:jc w:val="center"/>
              <w:rPr>
                <w:rFonts w:ascii="ARIAL" w:hAnsi="ARIAL"/>
                <w:b/>
                <w:i/>
                <w:sz w:val="20"/>
              </w:rPr>
            </w:pPr>
            <w:r>
              <w:rPr>
                <w:rFonts w:ascii="ARIAL" w:hAnsi="ARIAL"/>
                <w:b/>
                <w:i/>
                <w:sz w:val="20"/>
              </w:rPr>
              <w:t>Audit and Compliance</w:t>
            </w:r>
          </w:p>
          <w:p>
            <w:pPr>
              <w:pStyle w:val="TableContents"/>
              <w:spacing w:before="0" w:after="20"/>
              <w:jc w:val="center"/>
              <w:rPr>
                <w:rFonts w:ascii="ARIAL" w:hAnsi="ARIAL"/>
                <w:b/>
                <w:i/>
                <w:sz w:val="20"/>
              </w:rPr>
            </w:pPr>
            <w:r>
              <w:rPr>
                <w:rFonts w:ascii="ARIAL" w:hAnsi="ARIAL"/>
                <w:b/>
                <w:i/>
                <w:sz w:val="20"/>
              </w:rPr>
              <w:t>Committee</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2165" w:type="dxa"/>
            <w:tcBorders>
              <w:bottom w:val="single" w:sz="6" w:space="0" w:color="000000"/>
            </w:tcBorders>
            <w:shd w:fill="auto" w:val="clear"/>
            <w:tcMar>
              <w:bottom w:w="28" w:type="dxa"/>
            </w:tcMar>
            <w:vAlign w:val="center"/>
          </w:tcPr>
          <w:p>
            <w:pPr>
              <w:pStyle w:val="TableContents"/>
              <w:spacing w:before="0" w:after="0"/>
              <w:jc w:val="center"/>
              <w:rPr>
                <w:rFonts w:ascii="ARIAL" w:hAnsi="ARIAL"/>
                <w:b/>
                <w:i/>
                <w:sz w:val="20"/>
              </w:rPr>
            </w:pPr>
            <w:r>
              <w:rPr>
                <w:rFonts w:ascii="ARIAL" w:hAnsi="ARIAL"/>
                <w:b/>
                <w:i/>
                <w:sz w:val="20"/>
              </w:rPr>
              <w:t>Compensation</w:t>
            </w:r>
          </w:p>
          <w:p>
            <w:pPr>
              <w:pStyle w:val="TableContents"/>
              <w:spacing w:before="0" w:after="20"/>
              <w:jc w:val="center"/>
              <w:rPr>
                <w:rFonts w:ascii="ARIAL" w:hAnsi="ARIAL"/>
                <w:b/>
                <w:i/>
                <w:sz w:val="20"/>
              </w:rPr>
            </w:pPr>
            <w:r>
              <w:rPr>
                <w:rFonts w:ascii="ARIAL" w:hAnsi="ARIAL"/>
                <w:b/>
                <w:i/>
                <w:sz w:val="20"/>
              </w:rPr>
              <w:t>Committee</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2960" w:type="dxa"/>
            <w:tcBorders>
              <w:bottom w:val="single" w:sz="6" w:space="0" w:color="000000"/>
            </w:tcBorders>
            <w:shd w:fill="auto" w:val="clear"/>
            <w:tcMar>
              <w:bottom w:w="28" w:type="dxa"/>
            </w:tcMar>
            <w:vAlign w:val="center"/>
          </w:tcPr>
          <w:p>
            <w:pPr>
              <w:pStyle w:val="TableContents"/>
              <w:spacing w:before="0" w:after="0"/>
              <w:jc w:val="center"/>
              <w:rPr>
                <w:rFonts w:ascii="ARIAL" w:hAnsi="ARIAL"/>
                <w:b/>
                <w:i/>
                <w:sz w:val="20"/>
              </w:rPr>
            </w:pPr>
            <w:r>
              <w:rPr>
                <w:rFonts w:ascii="ARIAL" w:hAnsi="ARIAL"/>
                <w:b/>
                <w:i/>
                <w:sz w:val="20"/>
              </w:rPr>
              <w:t>Governance and Nominating</w:t>
            </w:r>
          </w:p>
          <w:p>
            <w:pPr>
              <w:pStyle w:val="TableContents"/>
              <w:spacing w:before="0" w:after="20"/>
              <w:jc w:val="center"/>
              <w:rPr>
                <w:rFonts w:ascii="ARIAL" w:hAnsi="ARIAL"/>
                <w:b/>
                <w:i/>
                <w:sz w:val="20"/>
              </w:rPr>
            </w:pPr>
            <w:r>
              <w:rPr>
                <w:rFonts w:ascii="ARIAL" w:hAnsi="ARIAL"/>
                <w:b/>
                <w:i/>
                <w:sz w:val="20"/>
              </w:rPr>
              <w:t>Committee</w:t>
            </w:r>
          </w:p>
        </w:tc>
      </w:tr>
      <w:tr>
        <w:trPr/>
        <w:tc>
          <w:tcPr>
            <w:tcW w:w="2480" w:type="dxa"/>
            <w:tcBorders/>
            <w:shd w:fill="auto" w:val="clear"/>
            <w:vAlign w:val="center"/>
          </w:tcPr>
          <w:p>
            <w:pPr>
              <w:pStyle w:val="TableContents"/>
              <w:spacing w:before="0" w:after="283"/>
              <w:rPr>
                <w:sz w:val="4"/>
                <w:szCs w:val="4"/>
              </w:rPr>
            </w:pPr>
            <w:r>
              <w:rPr>
                <w:sz w:val="4"/>
                <w:szCs w:val="4"/>
              </w:rPr>
            </w:r>
          </w:p>
        </w:tc>
        <w:tc>
          <w:tcPr>
            <w:tcW w:w="2285" w:type="dxa"/>
            <w:gridSpan w:val="2"/>
            <w:tcBorders/>
            <w:shd w:fill="auto" w:val="clear"/>
            <w:vAlign w:val="center"/>
          </w:tcPr>
          <w:p>
            <w:pPr>
              <w:pStyle w:val="TableContents"/>
              <w:spacing w:before="0" w:after="283"/>
              <w:rPr>
                <w:sz w:val="4"/>
                <w:szCs w:val="4"/>
              </w:rPr>
            </w:pPr>
            <w:r>
              <w:rPr>
                <w:sz w:val="4"/>
                <w:szCs w:val="4"/>
              </w:rPr>
            </w:r>
          </w:p>
        </w:tc>
        <w:tc>
          <w:tcPr>
            <w:tcW w:w="3080" w:type="dxa"/>
            <w:gridSpan w:val="2"/>
            <w:tcBorders/>
            <w:shd w:fill="auto" w:val="clear"/>
            <w:vAlign w:val="center"/>
          </w:tcPr>
          <w:p>
            <w:pPr>
              <w:pStyle w:val="TableContents"/>
              <w:spacing w:before="0" w:after="283"/>
              <w:rPr>
                <w:sz w:val="4"/>
                <w:szCs w:val="4"/>
              </w:rPr>
            </w:pPr>
            <w:r>
              <w:rPr>
                <w:sz w:val="4"/>
                <w:szCs w:val="4"/>
              </w:rPr>
            </w:r>
          </w:p>
        </w:tc>
      </w:tr>
      <w:tr>
        <w:trPr/>
        <w:tc>
          <w:tcPr>
            <w:tcW w:w="2480" w:type="dxa"/>
            <w:tcBorders/>
            <w:shd w:fill="auto" w:val="clear"/>
            <w:vAlign w:val="center"/>
          </w:tcPr>
          <w:p>
            <w:pPr>
              <w:pStyle w:val="TableContents"/>
              <w:spacing w:before="0" w:after="283"/>
              <w:rPr/>
            </w:pPr>
            <w:r>
              <w:rPr/>
              <w:t>Michael Dinkins, Chair</w:t>
            </w:r>
          </w:p>
        </w:tc>
        <w:tc>
          <w:tcPr>
            <w:tcW w:w="120" w:type="dxa"/>
            <w:tcBorders/>
            <w:shd w:fill="auto" w:val="clear"/>
            <w:vAlign w:val="center"/>
          </w:tcPr>
          <w:p>
            <w:pPr>
              <w:pStyle w:val="TableContents"/>
              <w:spacing w:before="0" w:after="283"/>
              <w:rPr/>
            </w:pPr>
            <w:r>
              <w:rPr/>
              <w:t>  </w:t>
            </w:r>
          </w:p>
        </w:tc>
        <w:tc>
          <w:tcPr>
            <w:tcW w:w="2165" w:type="dxa"/>
            <w:tcBorders/>
            <w:shd w:fill="auto" w:val="clear"/>
            <w:vAlign w:val="center"/>
          </w:tcPr>
          <w:p>
            <w:pPr>
              <w:pStyle w:val="TableContents"/>
              <w:spacing w:before="0" w:after="283"/>
              <w:rPr/>
            </w:pPr>
            <w:r>
              <w:rPr/>
              <w:t>James S. Ely III, Chair</w:t>
            </w:r>
          </w:p>
        </w:tc>
        <w:tc>
          <w:tcPr>
            <w:tcW w:w="120" w:type="dxa"/>
            <w:tcBorders/>
            <w:shd w:fill="auto" w:val="clear"/>
            <w:vAlign w:val="center"/>
          </w:tcPr>
          <w:p>
            <w:pPr>
              <w:pStyle w:val="TableContents"/>
              <w:spacing w:before="0" w:after="283"/>
              <w:rPr/>
            </w:pPr>
            <w:r>
              <w:rPr/>
              <w:t>  </w:t>
            </w:r>
          </w:p>
        </w:tc>
        <w:tc>
          <w:tcPr>
            <w:tcW w:w="2960" w:type="dxa"/>
            <w:tcBorders/>
            <w:shd w:fill="auto" w:val="clear"/>
            <w:vAlign w:val="center"/>
          </w:tcPr>
          <w:p>
            <w:pPr>
              <w:pStyle w:val="TableContents"/>
              <w:spacing w:before="0" w:after="283"/>
              <w:rPr/>
            </w:pPr>
            <w:r>
              <w:rPr/>
              <w:t>John A. Fry, Chair</w:t>
            </w:r>
          </w:p>
        </w:tc>
      </w:tr>
      <w:tr>
        <w:trPr/>
        <w:tc>
          <w:tcPr>
            <w:tcW w:w="2480" w:type="dxa"/>
            <w:tcBorders/>
            <w:shd w:fill="auto" w:val="clear"/>
            <w:vAlign w:val="center"/>
          </w:tcPr>
          <w:p>
            <w:pPr>
              <w:pStyle w:val="TableContents"/>
              <w:spacing w:before="0" w:after="283"/>
              <w:rPr/>
            </w:pPr>
            <w:r>
              <w:rPr/>
              <w:t>James S. Ely III</w:t>
            </w:r>
          </w:p>
        </w:tc>
        <w:tc>
          <w:tcPr>
            <w:tcW w:w="120" w:type="dxa"/>
            <w:tcBorders/>
            <w:shd w:fill="auto" w:val="clear"/>
            <w:vAlign w:val="center"/>
          </w:tcPr>
          <w:p>
            <w:pPr>
              <w:pStyle w:val="TableContents"/>
              <w:spacing w:before="0" w:after="283"/>
              <w:rPr/>
            </w:pPr>
            <w:r>
              <w:rPr/>
              <w:t>  </w:t>
            </w:r>
          </w:p>
        </w:tc>
        <w:tc>
          <w:tcPr>
            <w:tcW w:w="2165" w:type="dxa"/>
            <w:tcBorders/>
            <w:shd w:fill="auto" w:val="clear"/>
            <w:vAlign w:val="center"/>
          </w:tcPr>
          <w:p>
            <w:pPr>
              <w:pStyle w:val="TableContents"/>
              <w:spacing w:before="0" w:after="283"/>
              <w:rPr/>
            </w:pPr>
            <w:r>
              <w:rPr/>
              <w:t>John A. Clerico</w:t>
            </w:r>
          </w:p>
        </w:tc>
        <w:tc>
          <w:tcPr>
            <w:tcW w:w="120" w:type="dxa"/>
            <w:tcBorders/>
            <w:shd w:fill="auto" w:val="clear"/>
            <w:vAlign w:val="center"/>
          </w:tcPr>
          <w:p>
            <w:pPr>
              <w:pStyle w:val="TableContents"/>
              <w:spacing w:before="0" w:after="283"/>
              <w:rPr/>
            </w:pPr>
            <w:r>
              <w:rPr/>
              <w:t>  </w:t>
            </w:r>
          </w:p>
        </w:tc>
        <w:tc>
          <w:tcPr>
            <w:tcW w:w="2960" w:type="dxa"/>
            <w:tcBorders/>
            <w:shd w:fill="auto" w:val="clear"/>
            <w:vAlign w:val="center"/>
          </w:tcPr>
          <w:p>
            <w:pPr>
              <w:pStyle w:val="TableContents"/>
              <w:spacing w:before="0" w:after="283"/>
              <w:rPr/>
            </w:pPr>
            <w:r>
              <w:rPr/>
              <w:t>Susan W. Brooks</w:t>
            </w:r>
          </w:p>
        </w:tc>
      </w:tr>
      <w:tr>
        <w:trPr/>
        <w:tc>
          <w:tcPr>
            <w:tcW w:w="2480" w:type="dxa"/>
            <w:tcBorders/>
            <w:shd w:fill="auto" w:val="clear"/>
            <w:vAlign w:val="center"/>
          </w:tcPr>
          <w:p>
            <w:pPr>
              <w:pStyle w:val="TableContents"/>
              <w:spacing w:before="0" w:after="283"/>
              <w:rPr/>
            </w:pPr>
            <w:r>
              <w:rPr/>
              <w:t>Elizabeth T. Hirsch</w:t>
            </w:r>
          </w:p>
        </w:tc>
        <w:tc>
          <w:tcPr>
            <w:tcW w:w="120" w:type="dxa"/>
            <w:tcBorders/>
            <w:shd w:fill="auto" w:val="clear"/>
            <w:vAlign w:val="center"/>
          </w:tcPr>
          <w:p>
            <w:pPr>
              <w:pStyle w:val="TableContents"/>
              <w:spacing w:before="0" w:after="283"/>
              <w:rPr/>
            </w:pPr>
            <w:r>
              <w:rPr/>
              <w:t>  </w:t>
            </w:r>
          </w:p>
        </w:tc>
        <w:tc>
          <w:tcPr>
            <w:tcW w:w="2165" w:type="dxa"/>
            <w:tcBorders/>
            <w:shd w:fill="auto" w:val="clear"/>
            <w:vAlign w:val="center"/>
          </w:tcPr>
          <w:p>
            <w:pPr>
              <w:pStyle w:val="TableContents"/>
              <w:spacing w:before="0" w:after="283"/>
              <w:rPr/>
            </w:pPr>
            <w:r>
              <w:rPr/>
              <w:t>John A. Fry</w:t>
            </w:r>
          </w:p>
        </w:tc>
        <w:tc>
          <w:tcPr>
            <w:tcW w:w="120" w:type="dxa"/>
            <w:tcBorders/>
            <w:shd w:fill="auto" w:val="clear"/>
            <w:vAlign w:val="center"/>
          </w:tcPr>
          <w:p>
            <w:pPr>
              <w:pStyle w:val="TableContents"/>
              <w:spacing w:before="0" w:after="283"/>
              <w:rPr/>
            </w:pPr>
            <w:r>
              <w:rPr/>
              <w:t>  </w:t>
            </w:r>
          </w:p>
        </w:tc>
        <w:tc>
          <w:tcPr>
            <w:tcW w:w="2960" w:type="dxa"/>
            <w:tcBorders/>
            <w:shd w:fill="auto" w:val="clear"/>
            <w:vAlign w:val="center"/>
          </w:tcPr>
          <w:p>
            <w:pPr>
              <w:pStyle w:val="TableContents"/>
              <w:spacing w:before="0" w:after="283"/>
              <w:rPr/>
            </w:pPr>
            <w:r>
              <w:rPr/>
              <w:t>Joseph A. Hastings, D.M.D.</w:t>
            </w:r>
          </w:p>
        </w:tc>
      </w:tr>
      <w:tr>
        <w:trPr/>
        <w:tc>
          <w:tcPr>
            <w:tcW w:w="2480" w:type="dxa"/>
            <w:tcBorders/>
            <w:shd w:fill="auto" w:val="clear"/>
            <w:vAlign w:val="center"/>
          </w:tcPr>
          <w:p>
            <w:pPr>
              <w:pStyle w:val="TableContents"/>
              <w:spacing w:before="0" w:after="283"/>
              <w:rPr/>
            </w:pPr>
            <w:r>
              <w:rPr/>
              <w:t>H. James Williams, Ph.D.</w:t>
            </w:r>
          </w:p>
        </w:tc>
        <w:tc>
          <w:tcPr>
            <w:tcW w:w="120" w:type="dxa"/>
            <w:tcBorders/>
            <w:shd w:fill="auto" w:val="clear"/>
            <w:vAlign w:val="center"/>
          </w:tcPr>
          <w:p>
            <w:pPr>
              <w:pStyle w:val="TableContents"/>
              <w:spacing w:before="0" w:after="283"/>
              <w:rPr/>
            </w:pPr>
            <w:r>
              <w:rPr/>
              <w:t>  </w:t>
            </w:r>
          </w:p>
        </w:tc>
        <w:tc>
          <w:tcPr>
            <w:tcW w:w="2165" w:type="dxa"/>
            <w:tcBorders/>
            <w:shd w:fill="auto" w:val="clear"/>
            <w:vAlign w:val="center"/>
          </w:tcPr>
          <w:p>
            <w:pPr>
              <w:pStyle w:val="TableContents"/>
              <w:spacing w:before="0" w:after="283"/>
              <w:rPr/>
            </w:pPr>
            <w:r>
              <w:rPr/>
              <w:t>Elizabeth T. Hirsch</w:t>
            </w:r>
          </w:p>
        </w:tc>
        <w:tc>
          <w:tcPr>
            <w:tcW w:w="120" w:type="dxa"/>
            <w:tcBorders/>
            <w:shd w:fill="auto" w:val="clear"/>
            <w:vAlign w:val="center"/>
          </w:tcPr>
          <w:p>
            <w:pPr>
              <w:pStyle w:val="TableContents"/>
              <w:spacing w:before="0" w:after="283"/>
              <w:rPr/>
            </w:pPr>
            <w:r>
              <w:rPr/>
              <w:t>  </w:t>
            </w:r>
          </w:p>
        </w:tc>
        <w:tc>
          <w:tcPr>
            <w:tcW w:w="2960" w:type="dxa"/>
            <w:tcBorders/>
            <w:shd w:fill="auto" w:val="clear"/>
            <w:vAlign w:val="center"/>
          </w:tcPr>
          <w:p>
            <w:pPr>
              <w:pStyle w:val="TableContents"/>
              <w:spacing w:before="0" w:after="283"/>
              <w:rPr/>
            </w:pPr>
            <w:r>
              <w:rPr/>
              <w:t>William Norris Jennings, M.D.</w:t>
            </w:r>
          </w:p>
        </w:tc>
      </w:tr>
      <w:tr>
        <w:trPr/>
        <w:tc>
          <w:tcPr>
            <w:tcW w:w="248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216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2960" w:type="dxa"/>
            <w:tcBorders/>
            <w:shd w:fill="auto" w:val="clear"/>
            <w:vAlign w:val="center"/>
          </w:tcPr>
          <w:p>
            <w:pPr>
              <w:pStyle w:val="TableContents"/>
              <w:spacing w:before="0" w:after="283"/>
              <w:rPr/>
            </w:pPr>
            <w:r>
              <w:rPr/>
              <w:t>K. Ranga Krishnan, MBBS</w:t>
            </w:r>
          </w:p>
        </w:tc>
      </w:tr>
    </w:tbl>
    <w:p>
      <w:pPr>
        <w:pStyle w:val="TextBody"/>
        <w:spacing w:before="200" w:after="0"/>
        <w:jc w:val="left"/>
        <w:rPr>
          <w:rFonts w:ascii="ARIAL" w:hAnsi="ARIAL"/>
          <w:b/>
          <w:i/>
          <w:sz w:val="20"/>
        </w:rPr>
      </w:pPr>
      <w:r>
        <w:rPr>
          <w:rFonts w:ascii="ARIAL" w:hAnsi="ARIAL"/>
          <w:b/>
          <w:i/>
          <w:sz w:val="20"/>
        </w:rPr>
        <w:t xml:space="preserve">How many times did the Board of Directors and its committees meet in 2022? What was the attendance by the members? What are the duties of the Board’s committees? </w:t>
      </w:r>
    </w:p>
    <w:p>
      <w:pPr>
        <w:pStyle w:val="TextBody"/>
        <w:spacing w:before="200" w:after="0"/>
        <w:jc w:val="left"/>
        <w:rPr>
          <w:rFonts w:ascii="ARIAL" w:hAnsi="ARIAL"/>
          <w:sz w:val="20"/>
        </w:rPr>
      </w:pPr>
      <w:r>
        <w:rPr>
          <w:rFonts w:ascii="ARIAL" w:hAnsi="ARIAL"/>
          <w:sz w:val="20"/>
        </w:rPr>
        <w:t xml:space="preserve">Directors are encouraged to attend our annual meeting of stockholders; all of our then-serving directors were present at our 2022 Annual Meeting of Stockholders. The annual meeting of the Board in 2022 was held immediately after the 2022 Annual Meeting of Stockholders. </w:t>
      </w:r>
    </w:p>
    <w:p>
      <w:pPr>
        <w:pStyle w:val="TextBody"/>
        <w:spacing w:before="200" w:after="0"/>
        <w:jc w:val="left"/>
        <w:rPr>
          <w:rFonts w:ascii="ARIAL" w:hAnsi="ARIAL"/>
          <w:sz w:val="20"/>
        </w:rPr>
      </w:pPr>
      <w:r>
        <w:rPr>
          <w:rFonts w:ascii="ARIAL" w:hAnsi="ARIAL"/>
          <w:sz w:val="20"/>
        </w:rPr>
        <w:t xml:space="preserve">In 2022, the Board held five (5) meetings (all of which were regular meetings). Each director attended at least 75% of the Board meetings and meetings of the committees of the Board on which he or she served during the period. </w:t>
      </w:r>
    </w:p>
    <w:p>
      <w:pPr>
        <w:pStyle w:val="TextBody"/>
        <w:spacing w:before="200" w:after="0"/>
        <w:jc w:val="left"/>
        <w:rPr>
          <w:rFonts w:ascii="ARIAL" w:hAnsi="ARIAL"/>
          <w:sz w:val="20"/>
        </w:rPr>
      </w:pPr>
      <w:r>
        <w:rPr>
          <w:rFonts w:ascii="ARIAL" w:hAnsi="ARIAL"/>
          <w:sz w:val="20"/>
        </w:rPr>
        <w:t xml:space="preserve">The Audit and Compliance Committee held eight (8) meetings during 2022. The other independent members of the Board were invited to and generally attended the meetings of the Audit and Compliance Committee. As set forth in its charter, the Audit and Compliance Committee’s responsibility is to provide advice and counsel to management regarding, and to assist the Board in its oversight of: (i) the integrity of the Company’s consolidated financial statements; (ii) the Company’s compliance with legal and regulatory requirements; (iii) the independent registered public accounting firm’s qualifications and independence; (v) the performance of the Company’s internal audit function and its independent registered public accounting firm; and (vi) the Company’s policy on the use of derivative products. As discussed above under “How does the Board of Directors Oversee Risks?” and “What is the Board’s role in overseeing information security?”, the Audit and Compliance Committee also has oversight responsibilities with respect to enterprise risk management and the Company’s information security programs. The Audit and Compliance Committee report is incorporated herein by reference to Part III of the Company’s Annual Report on Form 10-K filed with the SEC on February 17, 2023 under “Item 10. Directors, Executive Officers and Corporate Governance.” </w:t>
      </w:r>
    </w:p>
    <w:p>
      <w:pPr>
        <w:pStyle w:val="TextBody"/>
        <w:spacing w:before="200" w:after="0"/>
        <w:jc w:val="left"/>
        <w:rPr>
          <w:rFonts w:ascii="ARIAL" w:hAnsi="ARIAL"/>
          <w:sz w:val="20"/>
        </w:rPr>
      </w:pPr>
      <w:r>
        <w:rPr>
          <w:rFonts w:ascii="ARIAL" w:hAnsi="ARIAL"/>
          <w:sz w:val="20"/>
        </w:rPr>
        <w:t xml:space="preserve">The Compensation Committee held four (4) meetings during 2022. The primary purpose of the Compensation Committee is to: (i) assist the Board in discharging its responsibilities relating to compensation of the Company’s executives; (ii) administer the Company’s cash-based incentive compensation plans with regard to executive officers of the Company; (iii) approve awards and grants and administer outstanding awards and grants of equity-based compensation arrangements to directors, employees, and others pursuant to the Company’s equity compensation plans; (iv) produce an annual report on executive compensation for inclusion in the Company’s Proxy Statement in accordance with applicable rules and regulations under the Securities Exchange Act of 1934, as amended (the “Exchange Act”); and (v) review and oversee the Company’s human capital management strategies and programs. The Compensation Committee’s report is set forth later in this Proxy Statement.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15 </w:t>
      </w:r>
      <w:r>
        <w:br w:type="page"/>
      </w:r>
    </w:p>
    <w:p>
      <w:pPr>
        <w:pStyle w:val="HorizontalLine"/>
        <w:rPr/>
      </w:pPr>
      <w:r>
        <w:rPr/>
      </w:r>
    </w:p>
    <w:p>
      <w:pPr>
        <w:pStyle w:val="TextBody"/>
        <w:spacing w:before="0" w:after="0"/>
        <w:jc w:val="left"/>
        <w:rPr>
          <w:rFonts w:ascii="ARIAL" w:hAnsi="ARIAL"/>
          <w:sz w:val="20"/>
        </w:rPr>
      </w:pPr>
      <w:r>
        <w:rPr>
          <w:rFonts w:ascii="ARIAL" w:hAnsi="ARIAL"/>
          <w:sz w:val="20"/>
        </w:rPr>
        <w:t xml:space="preserve">As set forth in its charter, the primary responsibilities of the Compensation Committee are to oversee the elements of the compensation arrangements available to the Company and its subsidiaries that are used to compensate the Company’s executive officers, and in particular, the Chief Executive Officer. The Compensation Committee also approves the goals and objectives relevant to the compensation of the Chief Executive Officer and the other executive officers and determines whether targets have been attained in connection with target-based compensation awards and equity grants. </w:t>
      </w:r>
    </w:p>
    <w:p>
      <w:pPr>
        <w:pStyle w:val="TextBody"/>
        <w:spacing w:before="200" w:after="0"/>
        <w:jc w:val="left"/>
        <w:rPr>
          <w:rFonts w:ascii="ARIAL" w:hAnsi="ARIAL"/>
          <w:sz w:val="20"/>
        </w:rPr>
      </w:pPr>
      <w:r>
        <w:rPr>
          <w:rFonts w:ascii="ARIAL" w:hAnsi="ARIAL"/>
          <w:sz w:val="20"/>
        </w:rPr>
        <w:t xml:space="preserve">Pursuant to its charter, the Compensation Committee has authority to engage its own executive compensation consultants and legal advisors. Since 2005, Mercer Human Resources Consulting (“Mercer”), which is a wholly-owned subsidiary of Marsh &amp; McLennan Companies, Inc. (“MMC”), has served as the independent executive compensation consultant to the Compensation Committee. A representative of Mercer attends meetings of the Compensation Committee and communicates with the Compensation Committee chair between meetings on matters related to executive compensation. Mercer’s fees for serving as the Compensation Committee’s independent executive compensation consultant in 2022 were approximately $165,000. During 2022, the Company, at the direction of management, also retained MMC or its affiliates to provide limited consulting services to management, which services were limited primarily to conducting actuarial analyses of the Company’s Supplemental Executive Retirement Plans. In 2022, the total amount paid to MMC or its affiliates for such services was approximately $75,000. Although the Compensation Committee is aware that the Company uses MMC or its affiliates for such services, it does not specifically approve those services. The Compensation Committee has assessed Mercer’s independence pursuant to the independence factors set forth for compensation consultants in the NYSE listing standards and in the Compensation Committee’s charter and has determined that no conflicts of interest exist. </w:t>
      </w:r>
    </w:p>
    <w:p>
      <w:pPr>
        <w:pStyle w:val="TextBody"/>
        <w:spacing w:before="200" w:after="0"/>
        <w:jc w:val="left"/>
        <w:rPr>
          <w:rFonts w:ascii="ARIAL" w:hAnsi="ARIAL"/>
          <w:sz w:val="20"/>
        </w:rPr>
      </w:pPr>
      <w:r>
        <w:rPr>
          <w:rFonts w:ascii="ARIAL" w:hAnsi="ARIAL"/>
          <w:sz w:val="20"/>
        </w:rPr>
        <w:t xml:space="preserve">The Governance and Nominating Committee met two (2) times during 2022. The primary responsibilities of the Governance and Nominating Committee are to: (i) identify individuals qualified to become Board members and to select, or recommend that the Board select, the director nominees for the next annual meeting of stockholders, and make recommendations for directors’ assignments to the Committees of the Board; (ii) develop and recommend to the Board a set of corporate governance guidelines applicable to the Company and regularly review such corporate governance guidelines and recommend to the Board any changes thereto; (iii) review and make recommendations to the Board regarding compensation programs for non-management directors; (iv) review and discuss with management the Company’s policies on and responses to important stockholder issues and proposals, and recommend to the Board the placement of stockholder proposals, and the Board’s response thereto, in the Proxy Statement; and (v) review and oversee certain ESG considerations, programs, strategies and risks as may be delegated by the Board. </w:t>
      </w:r>
    </w:p>
    <w:p>
      <w:pPr>
        <w:pStyle w:val="TextBody"/>
        <w:spacing w:before="200" w:after="0"/>
        <w:jc w:val="left"/>
        <w:rPr>
          <w:rFonts w:ascii="ARIAL" w:hAnsi="ARIAL"/>
          <w:b/>
          <w:i/>
          <w:sz w:val="20"/>
        </w:rPr>
      </w:pPr>
      <w:r>
        <w:rPr>
          <w:rFonts w:ascii="ARIAL" w:hAnsi="ARIAL"/>
          <w:b/>
          <w:i/>
          <w:sz w:val="20"/>
        </w:rPr>
        <w:t xml:space="preserve">Who are the Company’s audit committee financial experts? </w:t>
      </w:r>
    </w:p>
    <w:p>
      <w:pPr>
        <w:pStyle w:val="TextBody"/>
        <w:spacing w:before="200" w:after="0"/>
        <w:jc w:val="left"/>
        <w:rPr>
          <w:rFonts w:ascii="ARIAL" w:hAnsi="ARIAL"/>
          <w:sz w:val="20"/>
        </w:rPr>
      </w:pPr>
      <w:r>
        <w:rPr>
          <w:rFonts w:ascii="ARIAL" w:hAnsi="ARIAL"/>
          <w:sz w:val="20"/>
        </w:rPr>
        <w:t xml:space="preserve">Our Board has determined that all four of the members of our Audit and Compliance Committee are “audit committee financial experts” as defined by the Exchange Act — Michael Dinkins, James S. Ely III, Elizabeth T. Hirsch, and H. James Williams, Ph.D. </w:t>
      </w:r>
    </w:p>
    <w:p>
      <w:pPr>
        <w:pStyle w:val="TextBody"/>
        <w:spacing w:before="200" w:after="0"/>
        <w:jc w:val="left"/>
        <w:rPr>
          <w:rFonts w:ascii="ARIAL" w:hAnsi="ARIAL"/>
          <w:b/>
          <w:i/>
          <w:sz w:val="20"/>
        </w:rPr>
      </w:pPr>
      <w:r>
        <w:rPr>
          <w:rFonts w:ascii="ARIAL" w:hAnsi="ARIAL"/>
          <w:b/>
          <w:i/>
          <w:sz w:val="20"/>
        </w:rPr>
        <w:t xml:space="preserve">Does the Company have limitations regarding service on other boards by the Company’s directors? </w:t>
      </w:r>
    </w:p>
    <w:p>
      <w:pPr>
        <w:pStyle w:val="TextBody"/>
        <w:spacing w:before="200" w:after="0"/>
        <w:jc w:val="left"/>
        <w:rPr>
          <w:rFonts w:ascii="ARIAL" w:hAnsi="ARIAL"/>
          <w:sz w:val="20"/>
        </w:rPr>
      </w:pPr>
      <w:r>
        <w:rPr>
          <w:rFonts w:ascii="ARIAL" w:hAnsi="ARIAL"/>
          <w:sz w:val="20"/>
        </w:rPr>
        <w:t xml:space="preserve">Yes, in order to ensure that our directors have sufficient time to devote to Company matters, under the Company’s Governance Guidelines, no non-management director of the Company may serve on more than four public companies’ boards of directors, including our Board. In addition, no member of the Company’s Audit and Compliance Committee may serve on more than two other public companies’ audit committees. No director who is an executive officer of the Company may serve on more than two public companies’ boards of directors, including our Board. The Chief Executive Officer is required to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16 </w:t>
      </w:r>
      <w:r>
        <w:br w:type="page"/>
      </w:r>
    </w:p>
    <w:p>
      <w:pPr>
        <w:pStyle w:val="HorizontalLine"/>
        <w:rPr/>
      </w:pPr>
      <w:r>
        <w:rPr/>
      </w:r>
    </w:p>
    <w:p>
      <w:pPr>
        <w:pStyle w:val="TextBody"/>
        <w:spacing w:before="0" w:after="0"/>
        <w:jc w:val="left"/>
        <w:rPr>
          <w:rFonts w:ascii="ARIAL" w:hAnsi="ARIAL"/>
          <w:sz w:val="20"/>
        </w:rPr>
      </w:pPr>
      <w:r>
        <w:rPr>
          <w:rFonts w:ascii="ARIAL" w:hAnsi="ARIAL"/>
          <w:sz w:val="20"/>
        </w:rPr>
        <w:t xml:space="preserve">obtain the approval of the Governance and Nominating Committee prior to accepting any nomination or appointment to serve on the board of directors of another public company. In addition, a director of the Company is required to notify the chair of the Company’s Governance and Nominating Committee and the Corporate Secretary in a timely fashion of his or her appointment to or resignation from the board of directors of another public company. Any member of the Audit and Compliance Committee is also required to notify the chair of the Company’s Governance and Nominating Committee and the Corporate Secretary of his or her appointment to or resignation from another company’s audit committee. </w:t>
      </w:r>
    </w:p>
    <w:p>
      <w:pPr>
        <w:pStyle w:val="TextBody"/>
        <w:spacing w:before="200" w:after="0"/>
        <w:jc w:val="left"/>
        <w:rPr>
          <w:rFonts w:ascii="ARIAL" w:hAnsi="ARIAL"/>
          <w:b/>
          <w:i/>
          <w:sz w:val="20"/>
        </w:rPr>
      </w:pPr>
      <w:r>
        <w:rPr>
          <w:rFonts w:ascii="ARIAL" w:hAnsi="ARIAL"/>
          <w:b/>
          <w:i/>
          <w:sz w:val="20"/>
        </w:rPr>
        <w:t xml:space="preserve">Does the Company have a code of conduct? </w:t>
      </w:r>
    </w:p>
    <w:p>
      <w:pPr>
        <w:pStyle w:val="TextBody"/>
        <w:spacing w:before="200" w:after="0"/>
        <w:jc w:val="left"/>
        <w:rPr>
          <w:rFonts w:ascii="ARIAL" w:hAnsi="ARIAL"/>
          <w:sz w:val="20"/>
        </w:rPr>
      </w:pPr>
      <w:r>
        <w:rPr>
          <w:rFonts w:ascii="ARIAL" w:hAnsi="ARIAL"/>
          <w:sz w:val="20"/>
        </w:rPr>
        <w:t xml:space="preserve">The Company has a robust compliance program, the cornerstone of which is our Code of Conduct. Our Code of Conduct has been adopted and implemented throughout our organization and is applicable to all members of the Board and our officers, as well as employees of our subsidiaries. A variation of this Code of Conduct has been in effect at our Company since 1997. </w:t>
      </w:r>
    </w:p>
    <w:p>
      <w:pPr>
        <w:pStyle w:val="TextBody"/>
        <w:spacing w:before="200" w:after="0"/>
        <w:jc w:val="left"/>
        <w:rPr>
          <w:rFonts w:ascii="ARIAL" w:hAnsi="ARIAL"/>
          <w:b/>
          <w:i/>
          <w:sz w:val="20"/>
        </w:rPr>
      </w:pPr>
      <w:r>
        <w:rPr>
          <w:rFonts w:ascii="ARIAL" w:hAnsi="ARIAL"/>
          <w:b/>
          <w:i/>
          <w:sz w:val="20"/>
        </w:rPr>
        <w:t xml:space="preserve">Where can I obtain a copy of the Company’s Board of Directors’ governance documents? </w:t>
      </w:r>
    </w:p>
    <w:p>
      <w:pPr>
        <w:pStyle w:val="TextBody"/>
        <w:spacing w:before="200" w:after="0"/>
        <w:jc w:val="left"/>
        <w:rPr>
          <w:rFonts w:ascii="ARIAL" w:hAnsi="ARIAL"/>
          <w:sz w:val="20"/>
        </w:rPr>
      </w:pPr>
      <w:r>
        <w:rPr>
          <w:rFonts w:ascii="ARIAL" w:hAnsi="ARIAL"/>
          <w:sz w:val="20"/>
        </w:rPr>
        <w:t>Copies of the current version of our Governance Guidelines, including our independence standards, along with current versions of our By-laws, Code of Conduct and Board committee charters are posted on our internet website in the Company Overview — Corporate Governance section (</w:t>
      </w:r>
      <w:r>
        <w:rPr>
          <w:rFonts w:ascii="ARIAL" w:hAnsi="ARIAL"/>
          <w:sz w:val="20"/>
          <w:u w:val="single"/>
        </w:rPr>
        <w:t>www.chs.net/company-overview/corporate-governance/</w:t>
      </w:r>
      <w:r>
        <w:rPr>
          <w:rFonts w:ascii="ARIAL" w:hAnsi="ARIAL"/>
          <w:sz w:val="20"/>
        </w:rPr>
        <w:t xml:space="preserve">). These items are also available in print to any stockholder who requests them by writing to Community Health Systems, Attn: Investor Relations, 4000 Meridian Boulevard, Franklin, TN 37067. </w:t>
      </w:r>
    </w:p>
    <w:p>
      <w:pPr>
        <w:pStyle w:val="TextBody"/>
        <w:spacing w:before="200" w:after="0"/>
        <w:jc w:val="left"/>
        <w:rPr>
          <w:rFonts w:ascii="ARIAL" w:hAnsi="ARIAL"/>
          <w:b/>
          <w:i/>
          <w:sz w:val="20"/>
        </w:rPr>
      </w:pPr>
      <w:r>
        <w:rPr>
          <w:rFonts w:ascii="ARIAL" w:hAnsi="ARIAL"/>
          <w:b/>
          <w:i/>
          <w:sz w:val="20"/>
        </w:rPr>
        <w:t xml:space="preserve">How are the Company’s Directors compensated? </w:t>
      </w:r>
    </w:p>
    <w:p>
      <w:pPr>
        <w:pStyle w:val="TextBody"/>
        <w:spacing w:before="200" w:after="0"/>
        <w:jc w:val="left"/>
        <w:rPr>
          <w:rFonts w:ascii="ARIAL" w:hAnsi="ARIAL"/>
          <w:sz w:val="20"/>
        </w:rPr>
      </w:pPr>
      <w:r>
        <w:rPr>
          <w:rFonts w:ascii="ARIAL" w:hAnsi="ARIAL"/>
          <w:sz w:val="20"/>
        </w:rPr>
        <w:t xml:space="preserve">Our Board has approved a compensation program for non-management directors, which consists of both cash and equity-based compensation. Non-management director compensation is reviewed annually by the Governance and Nominating Committee, in consultation with the Compensation Committee’s independent executive compensation consultant, Mercer, and adjusted if needed, on the same cycle as is our executive compensation. In addition, to further align directors’ interests with the long-term interests of stockholders, the Company requires that at least 50% of the non-management directors’ annual compensation (exclusive of the additional annual stipends paid to the Board Chair (in connection with Mr. Smith’s service as Chairman of the Board beginning in 2023), the Lead Director and the chairs of the Board’s three standing committees) be paid in the form of equity in the Company. </w:t>
      </w:r>
    </w:p>
    <w:p>
      <w:pPr>
        <w:pStyle w:val="TextBody"/>
        <w:spacing w:before="200" w:after="0"/>
        <w:jc w:val="left"/>
        <w:rPr>
          <w:rFonts w:ascii="ARIAL" w:hAnsi="ARIAL"/>
          <w:sz w:val="20"/>
        </w:rPr>
      </w:pPr>
      <w:r>
        <w:rPr>
          <w:rFonts w:ascii="ARIAL" w:hAnsi="ARIAL"/>
          <w:sz w:val="20"/>
        </w:rPr>
        <w:t xml:space="preserve">For 2022, consistent with past practice, the non-management directors’ compensation package was reviewed by the Governance and Nominating Committee, in consultation with Mercer. Mercer advised that, based on a review of the board compensation paid by our peer group (as set forth below under “Compensation Discussion and Analysis — Components of the Executive Compensation Program — Peer Group Companies (for 2022 Compensation Cycle)”), the annual total compensation package of $290,000 (exclusive of the annual stipends paid to the Lead Director and the chairs of the Board’s three standing committees as referenced below), which annual total compensation package had last been increased in 2014, was somewhat below the median for our peer group. Taking into consideration this feedback from Mercer, the Governance and Nominating Committee recommended and the Board adopted for 2022 an increase of $20,000 to the non-management directors’ annual compensation package, with the increase divided equally between the cash stipend and the equity award. As such, for 2022, each non-management director received a cash stipend of $130,000 as well as an equity award with a grant date fair value of approximately $180,000 (both of which represented an increase of $10,000 from the amounts awarded to our non-management directors in 2021). For 2022, the additional annual stipends paid to the Lead Director and the three committee chairs remained unchanged from 2021, and were as follows: Lead Director, $35,000; Audit and Compliance Committee chair, $20,000; Compensation Committee chair, $15,000; and Governance and Nominating Committee chair, $12,250.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17 </w:t>
      </w:r>
      <w:r>
        <w:br w:type="page"/>
      </w:r>
    </w:p>
    <w:p>
      <w:pPr>
        <w:pStyle w:val="HorizontalLine"/>
        <w:rPr/>
      </w:pPr>
      <w:r>
        <w:rPr/>
      </w:r>
    </w:p>
    <w:p>
      <w:pPr>
        <w:pStyle w:val="TextBody"/>
        <w:spacing w:before="0" w:after="0"/>
        <w:jc w:val="left"/>
        <w:rPr>
          <w:rFonts w:ascii="ARIAL" w:hAnsi="ARIAL"/>
          <w:sz w:val="20"/>
        </w:rPr>
      </w:pPr>
      <w:r>
        <w:rPr>
          <w:rFonts w:ascii="ARIAL" w:hAnsi="ARIAL"/>
          <w:sz w:val="20"/>
        </w:rPr>
        <w:t xml:space="preserve">The annual cash stipend payable to all non-management directors and the additional annual stipends payable to the Lead Director and the three committee chairs were paid in quarterly installments for 2022. Non-management directors who served for only a portion of the year received a pro rata portion of the annual cash stipend. No separate meeting attendance fees are paid to the directors. All directors are reimbursed for their out-of-pocket expenses arising from attendance at meetings of the Board and its committees. </w:t>
      </w:r>
    </w:p>
    <w:p>
      <w:pPr>
        <w:pStyle w:val="TextBody"/>
        <w:spacing w:before="200" w:after="0"/>
        <w:jc w:val="left"/>
        <w:rPr>
          <w:rFonts w:ascii="ARIAL" w:hAnsi="ARIAL"/>
          <w:sz w:val="20"/>
        </w:rPr>
      </w:pPr>
      <w:r>
        <w:rPr>
          <w:rFonts w:ascii="ARIAL" w:hAnsi="ARIAL"/>
          <w:sz w:val="20"/>
        </w:rPr>
        <w:t xml:space="preserve">Prior to the beginning of the calendar year, a non-management director may elect to defer some or all of their cash compensation for the upcoming year into a cash account or stock unit account pursuant to the Company’s Directors’ Fees Deferral Plan, amended and restated as of May 11, 2021. When making a deferral election, a non-management director may elect to receive payment for the deferred amounts in a lump sum or in annual installments beginning either upon the last day of the fiscal quarter following his or her (i) separation from service with the Company or (ii) attainment of an age specified in advance by the non-management director. For 2022, Dr. Krishnan elected to defer the entire amount of his cash compensation into a stock unit account under the Company’s Directors’ Fees Deferral Plan. None of the other non-management directors elected to defer any portion of their cash compensation payable for 2022. </w:t>
      </w:r>
    </w:p>
    <w:p>
      <w:pPr>
        <w:pStyle w:val="TextBody"/>
        <w:spacing w:before="200" w:after="0"/>
        <w:jc w:val="left"/>
        <w:rPr>
          <w:rFonts w:ascii="ARIAL" w:hAnsi="ARIAL"/>
          <w:sz w:val="20"/>
        </w:rPr>
      </w:pPr>
      <w:r>
        <w:rPr>
          <w:rFonts w:ascii="ARIAL" w:hAnsi="ARIAL"/>
          <w:sz w:val="20"/>
        </w:rPr>
        <w:t xml:space="preserve">In March 2022, at the same time that management’s long-term incentive (“LTI”) awards were granted, each of our non-management directors was granted 17,682 time-based restricted stock units in respect of the equity portion of the non-management directors’ compensation. On the date of grant, these awards had an actual award value of approximately $180,000 per non-management director, which represented the number of restricted stock units valued at $180,000 (based on the closing market price of our Common Stock on that date of $10.18/share) rounded to the nearest whole number of units. </w:t>
      </w:r>
    </w:p>
    <w:p>
      <w:pPr>
        <w:pStyle w:val="TextBody"/>
        <w:spacing w:before="200" w:after="0"/>
        <w:jc w:val="left"/>
        <w:rPr>
          <w:rFonts w:ascii="ARIAL" w:hAnsi="ARIAL"/>
          <w:sz w:val="20"/>
        </w:rPr>
      </w:pPr>
      <w:r>
        <w:rPr>
          <w:rFonts w:ascii="ARIAL" w:hAnsi="ARIAL"/>
          <w:sz w:val="20"/>
        </w:rPr>
        <w:t xml:space="preserve">Any non-management director who joins our Board during the first six months of the year will receive the same number of time-based restricted stock units as is awarded to the other non-management directors as equity-based compensation for that year; however, if a non-management director’s appointment occurs during the last six months of the year such non-management director will receive no equity-based compensation for that year. For example, Ms. Brooks joined the Board during the 2nd quarter of 2022, and, therefore, she received 17,682 restricted stock units in June 2022 as equity-based compensation for 2022. </w:t>
      </w:r>
    </w:p>
    <w:p>
      <w:pPr>
        <w:pStyle w:val="TextBody"/>
        <w:spacing w:before="200" w:after="0"/>
        <w:jc w:val="left"/>
        <w:rPr>
          <w:rFonts w:ascii="ARIAL" w:hAnsi="ARIAL"/>
          <w:sz w:val="20"/>
        </w:rPr>
      </w:pPr>
      <w:r>
        <w:rPr>
          <w:rFonts w:ascii="ARIAL" w:hAnsi="ARIAL"/>
          <w:sz w:val="20"/>
        </w:rPr>
        <w:t xml:space="preserve">The time-based restricted stock unit awards to our non-management directors vest in one-third increments on each of the first three anniversaries of the grant date for so long as the director is a member of the Board. If a non-management director’s service as a member of the Board terminates as a result of death, disability, or for any other reason (other than “for cause”), all unvested restricted stock units held by such non-management director will vest as of the date of termination. A non-management director may elect, prior to the beginning of the calendar year in which the award is granted, to defer the receipt of shares of the Company’s Common Stock issuable upon vesting of the restricted stock units until either his or her (i) separation from service with the Company or (ii) attainment of an age specified in advance by the non-management director. In the absence of a prior deferral election, the non-management director will receive shares of the Company’s Common Stock issuable upon the vesting of such restricted stock units. Drs. Hastings, Jennings and Krishnan elected to defer the receipt of shares of the Company’s Common Stock issuable upon vesting of the restricted stock units granted to each of them on March 1, 2022. </w:t>
      </w:r>
    </w:p>
    <w:p>
      <w:pPr>
        <w:pStyle w:val="TextBody"/>
        <w:spacing w:before="200" w:after="0"/>
        <w:jc w:val="left"/>
        <w:rPr>
          <w:rFonts w:ascii="ARIAL" w:hAnsi="ARIAL"/>
          <w:sz w:val="20"/>
        </w:rPr>
      </w:pPr>
      <w:r>
        <w:rPr>
          <w:rFonts w:ascii="ARIAL" w:hAnsi="ARIAL"/>
          <w:sz w:val="20"/>
        </w:rPr>
        <w:t xml:space="preserve">In his capacity as non-executive Chairman of the Board during 2023, Mr. Smith will receive the same standard compensation paid to all of the Company’s other non-management directors in 2023, including an annual cash stipend payable in quarterly installments and an annual equity grant. In addition, on December 7, 2022, the Board, upon the recommendation of the Governance and Nominating Committee of the Board, also approved an additional annual cash stipend of $265,000 to be payable to Mr. Smith in connection with his service as the non-executive Chairman of the Board beginning in 2023.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18 </w:t>
      </w:r>
      <w:r>
        <w:br w:type="page"/>
      </w:r>
    </w:p>
    <w:p>
      <w:pPr>
        <w:pStyle w:val="HorizontalLine"/>
        <w:rPr/>
      </w:pPr>
      <w:r>
        <w:rPr/>
      </w:r>
    </w:p>
    <w:p>
      <w:pPr>
        <w:pStyle w:val="TextBody"/>
        <w:spacing w:before="0" w:after="0"/>
        <w:jc w:val="left"/>
        <w:rPr>
          <w:rFonts w:ascii="ARIAL" w:hAnsi="ARIAL"/>
          <w:sz w:val="20"/>
        </w:rPr>
      </w:pPr>
      <w:r>
        <w:rPr>
          <w:rFonts w:ascii="ARIAL" w:hAnsi="ARIAL"/>
          <w:sz w:val="20"/>
        </w:rPr>
        <w:t xml:space="preserve">Subsequently, on February 15, 2023, the Board, upon the recommendation of the Compensation Committee and the Governance and Nominating Committee of the Board, determined that this $265,000 annual stipend would be payable as an additional grant of time-based restricted stock units (in lieu of cash as set forth above) pursuant to the 2009 Plan (as defined below), with a grant date fair value equal to approximately $265,000 (rounded to the nearest whole number of shares), which will vest in one-third increments on each of the first three anniversaries of the grant date. </w:t>
      </w:r>
    </w:p>
    <w:p>
      <w:pPr>
        <w:pStyle w:val="TextBody"/>
        <w:spacing w:before="200" w:after="0"/>
        <w:jc w:val="left"/>
        <w:rPr>
          <w:rFonts w:ascii="ARIAL" w:hAnsi="ARIAL"/>
          <w:sz w:val="20"/>
        </w:rPr>
      </w:pPr>
      <w:r>
        <w:rPr>
          <w:rFonts w:ascii="ARIAL" w:hAnsi="ARIAL"/>
          <w:sz w:val="20"/>
        </w:rPr>
        <w:t xml:space="preserve">Management directors do not receive any additional compensation for their service on the Board. </w:t>
      </w:r>
    </w:p>
    <w:p>
      <w:pPr>
        <w:pStyle w:val="TextBody"/>
        <w:spacing w:before="200" w:after="0"/>
        <w:jc w:val="left"/>
        <w:rPr>
          <w:rFonts w:ascii="ARIAL" w:hAnsi="ARIAL"/>
          <w:b/>
          <w:sz w:val="20"/>
        </w:rPr>
      </w:pPr>
      <w:r>
        <w:rPr>
          <w:rFonts w:ascii="ARIAL" w:hAnsi="ARIAL"/>
          <w:b/>
          <w:sz w:val="20"/>
        </w:rPr>
        <w:t xml:space="preserve">Non-Management Director Compensation </w:t>
      </w:r>
    </w:p>
    <w:p>
      <w:pPr>
        <w:pStyle w:val="TextBody"/>
        <w:spacing w:before="200" w:after="0"/>
        <w:jc w:val="left"/>
        <w:rPr>
          <w:rFonts w:ascii="ARIAL" w:hAnsi="ARIAL"/>
          <w:sz w:val="20"/>
        </w:rPr>
      </w:pPr>
      <w:r>
        <w:rPr>
          <w:rFonts w:ascii="ARIAL" w:hAnsi="ARIAL"/>
          <w:sz w:val="20"/>
        </w:rPr>
        <w:t xml:space="preserve">The following table summarizes the aggregate fees earned and the value of equity-based awards earned by our then-serving non-management directors for 2022: </w:t>
      </w:r>
    </w:p>
    <w:p>
      <w:pPr>
        <w:pStyle w:val="TextBody"/>
        <w:spacing w:before="0" w:after="0"/>
        <w:jc w:val="left"/>
        <w:rPr/>
      </w:pPr>
      <w:r>
        <w:rPr/>
        <w:t> </w:t>
      </w:r>
    </w:p>
    <w:tbl>
      <w:tblPr>
        <w:tblW w:w="7055" w:type="dxa"/>
        <w:jc w:val="left"/>
        <w:tblInd w:w="0" w:type="dxa"/>
        <w:tblCellMar>
          <w:top w:w="0" w:type="dxa"/>
          <w:left w:w="0" w:type="dxa"/>
          <w:bottom w:w="0" w:type="dxa"/>
          <w:right w:w="0" w:type="dxa"/>
        </w:tblCellMar>
      </w:tblPr>
      <w:tblGrid>
        <w:gridCol w:w="2615"/>
        <w:gridCol w:w="120"/>
        <w:gridCol w:w="90"/>
        <w:gridCol w:w="1205"/>
        <w:gridCol w:w="60"/>
        <w:gridCol w:w="120"/>
        <w:gridCol w:w="76"/>
        <w:gridCol w:w="1024"/>
        <w:gridCol w:w="60"/>
        <w:gridCol w:w="120"/>
        <w:gridCol w:w="103"/>
        <w:gridCol w:w="1387"/>
        <w:gridCol w:w="75"/>
      </w:tblGrid>
      <w:tr>
        <w:trPr/>
        <w:tc>
          <w:tcPr>
            <w:tcW w:w="261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0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6" w:type="dxa"/>
            <w:tcBorders/>
            <w:shd w:fill="auto" w:val="clear"/>
            <w:vAlign w:val="center"/>
          </w:tcPr>
          <w:p>
            <w:pPr>
              <w:pStyle w:val="TableContents"/>
              <w:spacing w:before="0" w:after="283"/>
              <w:rPr>
                <w:sz w:val="4"/>
                <w:szCs w:val="4"/>
              </w:rPr>
            </w:pPr>
            <w:r>
              <w:rPr>
                <w:sz w:val="4"/>
                <w:szCs w:val="4"/>
              </w:rPr>
            </w:r>
          </w:p>
        </w:tc>
        <w:tc>
          <w:tcPr>
            <w:tcW w:w="102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3" w:type="dxa"/>
            <w:tcBorders/>
            <w:shd w:fill="auto" w:val="clear"/>
            <w:vAlign w:val="center"/>
          </w:tcPr>
          <w:p>
            <w:pPr>
              <w:pStyle w:val="TableContents"/>
              <w:spacing w:before="0" w:after="283"/>
              <w:rPr>
                <w:sz w:val="4"/>
                <w:szCs w:val="4"/>
              </w:rPr>
            </w:pPr>
            <w:r>
              <w:rPr>
                <w:sz w:val="4"/>
                <w:szCs w:val="4"/>
              </w:rPr>
            </w:r>
          </w:p>
        </w:tc>
        <w:tc>
          <w:tcPr>
            <w:tcW w:w="1387"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2615" w:type="dxa"/>
            <w:tcBorders>
              <w:bottom w:val="single" w:sz="2" w:space="0" w:color="000000"/>
            </w:tcBorders>
            <w:shd w:fill="auto" w:val="clear"/>
            <w:tcMar>
              <w:bottom w:w="28" w:type="dxa"/>
            </w:tcMar>
            <w:vAlign w:val="center"/>
          </w:tcPr>
          <w:p>
            <w:pPr>
              <w:pStyle w:val="TableContents"/>
              <w:spacing w:before="0" w:after="20"/>
              <w:rPr>
                <w:rFonts w:ascii="ARIAL" w:hAnsi="ARIAL"/>
                <w:b/>
                <w:sz w:val="20"/>
              </w:rPr>
            </w:pPr>
            <w:r>
              <w:rPr>
                <w:rFonts w:ascii="ARIAL" w:hAnsi="ARIAL"/>
                <w:b/>
                <w:sz w:val="20"/>
              </w:rPr>
              <w:t>Name</w:t>
            </w:r>
          </w:p>
        </w:tc>
        <w:tc>
          <w:tcPr>
            <w:tcW w:w="120" w:type="dxa"/>
            <w:tcBorders/>
            <w:shd w:fill="auto" w:val="clear"/>
            <w:vAlign w:val="center"/>
          </w:tcPr>
          <w:p>
            <w:pPr>
              <w:pStyle w:val="TableContents"/>
              <w:spacing w:before="0" w:after="283"/>
              <w:rPr/>
            </w:pPr>
            <w:r>
              <w:rPr/>
              <w:t>  </w:t>
            </w:r>
          </w:p>
        </w:tc>
        <w:tc>
          <w:tcPr>
            <w:tcW w:w="1295" w:type="dxa"/>
            <w:gridSpan w:val="2"/>
            <w:tcBorders>
              <w:bottom w:val="single" w:sz="2" w:space="0" w:color="000000"/>
            </w:tcBorders>
            <w:shd w:fill="auto" w:val="clear"/>
            <w:tcMar>
              <w:bottom w:w="28" w:type="dxa"/>
            </w:tcMar>
            <w:vAlign w:val="center"/>
          </w:tcPr>
          <w:p>
            <w:pPr>
              <w:pStyle w:val="TableContents"/>
              <w:spacing w:before="0" w:after="283"/>
              <w:jc w:val="center"/>
              <w:rPr>
                <w:b/>
              </w:rPr>
            </w:pPr>
            <w:r>
              <w:rPr>
                <w:b/>
              </w:rPr>
              <w:t>Fees Earned</w:t>
              <w:br/>
              <w:t>or Paid in</w:t>
              <w:br/>
              <w:t>Cash</w:t>
              <w:br/>
              <w:t>($) (1)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00" w:type="dxa"/>
            <w:gridSpan w:val="2"/>
            <w:tcBorders>
              <w:bottom w:val="single" w:sz="2" w:space="0" w:color="000000"/>
            </w:tcBorders>
            <w:shd w:fill="auto" w:val="clear"/>
            <w:tcMar>
              <w:bottom w:w="28" w:type="dxa"/>
            </w:tcMar>
            <w:vAlign w:val="center"/>
          </w:tcPr>
          <w:p>
            <w:pPr>
              <w:pStyle w:val="TableContents"/>
              <w:spacing w:before="0" w:after="283"/>
              <w:jc w:val="center"/>
              <w:rPr>
                <w:b/>
              </w:rPr>
            </w:pPr>
            <w:r>
              <w:rPr>
                <w:b/>
              </w:rPr>
              <w:t>Restricted</w:t>
              <w:br/>
              <w:t>Stock Unit</w:t>
              <w:br/>
              <w:t>Awards</w:t>
              <w:br/>
              <w:t>($) (2)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90" w:type="dxa"/>
            <w:gridSpan w:val="2"/>
            <w:tcBorders>
              <w:bottom w:val="single" w:sz="2" w:space="0" w:color="000000"/>
            </w:tcBorders>
            <w:shd w:fill="auto" w:val="clear"/>
            <w:tcMar>
              <w:bottom w:w="28" w:type="dxa"/>
            </w:tcMar>
            <w:vAlign w:val="center"/>
          </w:tcPr>
          <w:p>
            <w:pPr>
              <w:pStyle w:val="TableContents"/>
              <w:spacing w:before="0" w:after="283"/>
              <w:jc w:val="center"/>
              <w:rPr>
                <w:b/>
              </w:rPr>
            </w:pPr>
            <w:r>
              <w:rPr>
                <w:b/>
              </w:rPr>
              <w:t>Total</w:t>
              <w:br/>
              <w:t>Compensation</w:t>
              <w:br/>
              <w:t>($)</w:t>
            </w:r>
          </w:p>
        </w:tc>
        <w:tc>
          <w:tcPr>
            <w:tcW w:w="75" w:type="dxa"/>
            <w:tcBorders/>
            <w:shd w:fill="auto" w:val="clear"/>
            <w:vAlign w:val="center"/>
          </w:tcPr>
          <w:p>
            <w:pPr>
              <w:pStyle w:val="TableContents"/>
              <w:spacing w:before="0" w:after="283"/>
              <w:rPr/>
            </w:pPr>
            <w:r>
              <w:rPr/>
              <w:t> </w:t>
            </w:r>
          </w:p>
        </w:tc>
      </w:tr>
      <w:tr>
        <w:trPr/>
        <w:tc>
          <w:tcPr>
            <w:tcW w:w="2615" w:type="dxa"/>
            <w:tcBorders/>
            <w:shd w:fill="CEE8F6" w:val="clear"/>
            <w:vAlign w:val="center"/>
          </w:tcPr>
          <w:p>
            <w:pPr>
              <w:pStyle w:val="TableContents"/>
              <w:spacing w:before="0" w:after="0"/>
              <w:rPr>
                <w:rFonts w:ascii="ARIAL" w:hAnsi="ARIAL"/>
                <w:sz w:val="20"/>
              </w:rPr>
            </w:pPr>
            <w:r>
              <w:rPr>
                <w:rFonts w:ascii="ARIAL" w:hAnsi="ARIAL"/>
                <w:sz w:val="20"/>
              </w:rPr>
              <w:t>Susan W. Brooks</w:t>
            </w:r>
          </w:p>
        </w:tc>
        <w:tc>
          <w:tcPr>
            <w:tcW w:w="120" w:type="dxa"/>
            <w:tcBorders/>
            <w:shd w:fill="CEE8F6" w:val="clear"/>
            <w:vAlign w:val="center"/>
          </w:tcPr>
          <w:p>
            <w:pPr>
              <w:pStyle w:val="TableContents"/>
              <w:spacing w:before="0" w:after="283"/>
              <w:rPr/>
            </w:pPr>
            <w:r>
              <w:rPr/>
              <w:t>  </w:t>
            </w:r>
          </w:p>
        </w:tc>
        <w:tc>
          <w:tcPr>
            <w:tcW w:w="90" w:type="dxa"/>
            <w:tcBorders/>
            <w:shd w:fill="CEE8F6" w:val="clear"/>
            <w:vAlign w:val="center"/>
          </w:tcPr>
          <w:p>
            <w:pPr>
              <w:pStyle w:val="TableContents"/>
              <w:spacing w:before="0" w:after="283"/>
              <w:rPr/>
            </w:pPr>
            <w:r>
              <w:rPr/>
              <w:t> </w:t>
            </w:r>
          </w:p>
        </w:tc>
        <w:tc>
          <w:tcPr>
            <w:tcW w:w="1205" w:type="dxa"/>
            <w:tcBorders/>
            <w:shd w:fill="CEE8F6" w:val="clear"/>
            <w:vAlign w:val="center"/>
          </w:tcPr>
          <w:p>
            <w:pPr>
              <w:pStyle w:val="TableContents"/>
              <w:spacing w:before="0" w:after="283"/>
              <w:jc w:val="right"/>
              <w:rPr/>
            </w:pPr>
            <w:r>
              <w:rPr/>
              <w:t>83,571</w:t>
            </w:r>
          </w:p>
        </w:tc>
        <w:tc>
          <w:tcPr>
            <w:tcW w:w="60" w:type="dxa"/>
            <w:tcBorders/>
            <w:shd w:fill="CEE8F6" w:val="clear"/>
            <w:vAlign w:val="center"/>
          </w:tcPr>
          <w:p>
            <w:pPr>
              <w:pStyle w:val="TableContents"/>
              <w:spacing w:before="0" w:after="283"/>
              <w:rPr/>
            </w:pPr>
            <w:r>
              <w:rPr/>
              <w:t> </w:t>
            </w:r>
          </w:p>
        </w:tc>
        <w:tc>
          <w:tcPr>
            <w:tcW w:w="120" w:type="dxa"/>
            <w:tcBorders/>
            <w:shd w:fill="CEE8F6" w:val="clear"/>
            <w:vAlign w:val="center"/>
          </w:tcPr>
          <w:p>
            <w:pPr>
              <w:pStyle w:val="TableContents"/>
              <w:spacing w:before="0" w:after="283"/>
              <w:rPr/>
            </w:pPr>
            <w:r>
              <w:rPr/>
              <w:t>  </w:t>
            </w:r>
          </w:p>
        </w:tc>
        <w:tc>
          <w:tcPr>
            <w:tcW w:w="76" w:type="dxa"/>
            <w:tcBorders/>
            <w:shd w:fill="CEE8F6" w:val="clear"/>
            <w:vAlign w:val="center"/>
          </w:tcPr>
          <w:p>
            <w:pPr>
              <w:pStyle w:val="TableContents"/>
              <w:spacing w:before="0" w:after="283"/>
              <w:rPr/>
            </w:pPr>
            <w:r>
              <w:rPr/>
              <w:t> </w:t>
            </w:r>
          </w:p>
        </w:tc>
        <w:tc>
          <w:tcPr>
            <w:tcW w:w="1024" w:type="dxa"/>
            <w:tcBorders/>
            <w:shd w:fill="CEE8F6" w:val="clear"/>
            <w:vAlign w:val="center"/>
          </w:tcPr>
          <w:p>
            <w:pPr>
              <w:pStyle w:val="TableContents"/>
              <w:spacing w:before="0" w:after="283"/>
              <w:jc w:val="right"/>
              <w:rPr/>
            </w:pPr>
            <w:r>
              <w:rPr/>
              <w:t>88,410</w:t>
            </w:r>
          </w:p>
        </w:tc>
        <w:tc>
          <w:tcPr>
            <w:tcW w:w="60" w:type="dxa"/>
            <w:tcBorders/>
            <w:shd w:fill="CEE8F6" w:val="clear"/>
            <w:vAlign w:val="center"/>
          </w:tcPr>
          <w:p>
            <w:pPr>
              <w:pStyle w:val="TableContents"/>
              <w:spacing w:before="0" w:after="283"/>
              <w:rPr/>
            </w:pPr>
            <w:r>
              <w:rPr/>
              <w:t> </w:t>
            </w:r>
          </w:p>
        </w:tc>
        <w:tc>
          <w:tcPr>
            <w:tcW w:w="120" w:type="dxa"/>
            <w:tcBorders/>
            <w:shd w:fill="CEE8F6" w:val="clear"/>
            <w:vAlign w:val="center"/>
          </w:tcPr>
          <w:p>
            <w:pPr>
              <w:pStyle w:val="TableContents"/>
              <w:spacing w:before="0" w:after="283"/>
              <w:rPr/>
            </w:pPr>
            <w:r>
              <w:rPr/>
              <w:t>  </w:t>
            </w:r>
          </w:p>
        </w:tc>
        <w:tc>
          <w:tcPr>
            <w:tcW w:w="103" w:type="dxa"/>
            <w:tcBorders/>
            <w:shd w:fill="CEE8F6" w:val="clear"/>
            <w:vAlign w:val="center"/>
          </w:tcPr>
          <w:p>
            <w:pPr>
              <w:pStyle w:val="TableContents"/>
              <w:spacing w:before="0" w:after="283"/>
              <w:rPr/>
            </w:pPr>
            <w:r>
              <w:rPr/>
              <w:t> </w:t>
            </w:r>
          </w:p>
        </w:tc>
        <w:tc>
          <w:tcPr>
            <w:tcW w:w="1387" w:type="dxa"/>
            <w:tcBorders/>
            <w:shd w:fill="CEE8F6" w:val="clear"/>
            <w:vAlign w:val="center"/>
          </w:tcPr>
          <w:p>
            <w:pPr>
              <w:pStyle w:val="TableContents"/>
              <w:spacing w:before="0" w:after="283"/>
              <w:jc w:val="right"/>
              <w:rPr/>
            </w:pPr>
            <w:r>
              <w:rPr/>
              <w:t>171,981</w:t>
            </w:r>
          </w:p>
        </w:tc>
        <w:tc>
          <w:tcPr>
            <w:tcW w:w="75" w:type="dxa"/>
            <w:tcBorders/>
            <w:shd w:fill="CEE8F6" w:val="clear"/>
            <w:vAlign w:val="center"/>
          </w:tcPr>
          <w:p>
            <w:pPr>
              <w:pStyle w:val="TableContents"/>
              <w:spacing w:before="0" w:after="283"/>
              <w:rPr/>
            </w:pPr>
            <w:r>
              <w:rPr/>
              <w:t> </w:t>
            </w:r>
          </w:p>
        </w:tc>
      </w:tr>
      <w:tr>
        <w:trPr/>
        <w:tc>
          <w:tcPr>
            <w:tcW w:w="2615" w:type="dxa"/>
            <w:tcBorders/>
            <w:shd w:fill="auto" w:val="clear"/>
            <w:vAlign w:val="center"/>
          </w:tcPr>
          <w:p>
            <w:pPr>
              <w:pStyle w:val="TableContents"/>
              <w:spacing w:before="0" w:after="0"/>
              <w:rPr>
                <w:rFonts w:ascii="ARIAL" w:hAnsi="ARIAL"/>
                <w:sz w:val="20"/>
              </w:rPr>
            </w:pPr>
            <w:r>
              <w:rPr>
                <w:rFonts w:ascii="ARIAL" w:hAnsi="ARIAL"/>
                <w:sz w:val="20"/>
              </w:rPr>
              <w:t>John A. Clerico</w:t>
            </w:r>
          </w:p>
        </w:tc>
        <w:tc>
          <w:tcPr>
            <w:tcW w:w="12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283"/>
              <w:rPr/>
            </w:pPr>
            <w:r>
              <w:rPr/>
              <w:t> </w:t>
            </w:r>
          </w:p>
        </w:tc>
        <w:tc>
          <w:tcPr>
            <w:tcW w:w="1205" w:type="dxa"/>
            <w:tcBorders/>
            <w:shd w:fill="auto" w:val="clear"/>
            <w:vAlign w:val="center"/>
          </w:tcPr>
          <w:p>
            <w:pPr>
              <w:pStyle w:val="TableContents"/>
              <w:spacing w:before="0" w:after="283"/>
              <w:jc w:val="right"/>
              <w:rPr/>
            </w:pPr>
            <w:r>
              <w:rPr/>
              <w:t>165,000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1024" w:type="dxa"/>
            <w:tcBorders/>
            <w:shd w:fill="auto" w:val="clear"/>
            <w:vAlign w:val="center"/>
          </w:tcPr>
          <w:p>
            <w:pPr>
              <w:pStyle w:val="TableContents"/>
              <w:spacing w:before="0" w:after="283"/>
              <w:jc w:val="right"/>
              <w:rPr/>
            </w:pPr>
            <w:r>
              <w:rPr/>
              <w:t>180,000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3" w:type="dxa"/>
            <w:tcBorders/>
            <w:shd w:fill="auto" w:val="clear"/>
            <w:vAlign w:val="center"/>
          </w:tcPr>
          <w:p>
            <w:pPr>
              <w:pStyle w:val="TableContents"/>
              <w:spacing w:before="0" w:after="283"/>
              <w:rPr/>
            </w:pPr>
            <w:r>
              <w:rPr/>
              <w:t> </w:t>
            </w:r>
          </w:p>
        </w:tc>
        <w:tc>
          <w:tcPr>
            <w:tcW w:w="1387" w:type="dxa"/>
            <w:tcBorders/>
            <w:shd w:fill="auto" w:val="clear"/>
            <w:vAlign w:val="center"/>
          </w:tcPr>
          <w:p>
            <w:pPr>
              <w:pStyle w:val="TableContents"/>
              <w:spacing w:before="0" w:after="283"/>
              <w:jc w:val="right"/>
              <w:rPr/>
            </w:pPr>
            <w:r>
              <w:rPr/>
              <w:t>345,000</w:t>
            </w:r>
          </w:p>
        </w:tc>
        <w:tc>
          <w:tcPr>
            <w:tcW w:w="75" w:type="dxa"/>
            <w:tcBorders/>
            <w:shd w:fill="auto" w:val="clear"/>
            <w:vAlign w:val="center"/>
          </w:tcPr>
          <w:p>
            <w:pPr>
              <w:pStyle w:val="TableContents"/>
              <w:spacing w:before="0" w:after="283"/>
              <w:rPr/>
            </w:pPr>
            <w:r>
              <w:rPr/>
              <w:t> </w:t>
            </w:r>
          </w:p>
        </w:tc>
      </w:tr>
      <w:tr>
        <w:trPr/>
        <w:tc>
          <w:tcPr>
            <w:tcW w:w="2615" w:type="dxa"/>
            <w:tcBorders/>
            <w:shd w:fill="CEE8F6" w:val="clear"/>
            <w:vAlign w:val="center"/>
          </w:tcPr>
          <w:p>
            <w:pPr>
              <w:pStyle w:val="TableContents"/>
              <w:spacing w:before="0" w:after="0"/>
              <w:rPr>
                <w:rFonts w:ascii="ARIAL" w:hAnsi="ARIAL"/>
                <w:sz w:val="20"/>
              </w:rPr>
            </w:pPr>
            <w:r>
              <w:rPr>
                <w:rFonts w:ascii="ARIAL" w:hAnsi="ARIAL"/>
                <w:sz w:val="20"/>
              </w:rPr>
              <w:t>Michael Dinkins</w:t>
            </w:r>
          </w:p>
        </w:tc>
        <w:tc>
          <w:tcPr>
            <w:tcW w:w="120" w:type="dxa"/>
            <w:tcBorders/>
            <w:shd w:fill="CEE8F6" w:val="clear"/>
            <w:vAlign w:val="center"/>
          </w:tcPr>
          <w:p>
            <w:pPr>
              <w:pStyle w:val="TableContents"/>
              <w:spacing w:before="0" w:after="283"/>
              <w:rPr/>
            </w:pPr>
            <w:r>
              <w:rPr/>
              <w:t>  </w:t>
            </w:r>
          </w:p>
        </w:tc>
        <w:tc>
          <w:tcPr>
            <w:tcW w:w="90" w:type="dxa"/>
            <w:tcBorders/>
            <w:shd w:fill="CEE8F6" w:val="clear"/>
            <w:vAlign w:val="center"/>
          </w:tcPr>
          <w:p>
            <w:pPr>
              <w:pStyle w:val="TableContents"/>
              <w:spacing w:before="0" w:after="283"/>
              <w:rPr/>
            </w:pPr>
            <w:r>
              <w:rPr/>
              <w:t> </w:t>
            </w:r>
          </w:p>
        </w:tc>
        <w:tc>
          <w:tcPr>
            <w:tcW w:w="1205" w:type="dxa"/>
            <w:tcBorders/>
            <w:shd w:fill="CEE8F6" w:val="clear"/>
            <w:vAlign w:val="center"/>
          </w:tcPr>
          <w:p>
            <w:pPr>
              <w:pStyle w:val="TableContents"/>
              <w:spacing w:before="0" w:after="283"/>
              <w:jc w:val="right"/>
              <w:rPr/>
            </w:pPr>
            <w:r>
              <w:rPr/>
              <w:t>150,000</w:t>
            </w:r>
          </w:p>
        </w:tc>
        <w:tc>
          <w:tcPr>
            <w:tcW w:w="60" w:type="dxa"/>
            <w:tcBorders/>
            <w:shd w:fill="CEE8F6" w:val="clear"/>
            <w:vAlign w:val="center"/>
          </w:tcPr>
          <w:p>
            <w:pPr>
              <w:pStyle w:val="TableContents"/>
              <w:spacing w:before="0" w:after="283"/>
              <w:rPr/>
            </w:pPr>
            <w:r>
              <w:rPr/>
              <w:t> </w:t>
            </w:r>
          </w:p>
        </w:tc>
        <w:tc>
          <w:tcPr>
            <w:tcW w:w="120" w:type="dxa"/>
            <w:tcBorders/>
            <w:shd w:fill="CEE8F6" w:val="clear"/>
            <w:vAlign w:val="center"/>
          </w:tcPr>
          <w:p>
            <w:pPr>
              <w:pStyle w:val="TableContents"/>
              <w:spacing w:before="0" w:after="283"/>
              <w:rPr/>
            </w:pPr>
            <w:r>
              <w:rPr/>
              <w:t>  </w:t>
            </w:r>
          </w:p>
        </w:tc>
        <w:tc>
          <w:tcPr>
            <w:tcW w:w="76" w:type="dxa"/>
            <w:tcBorders/>
            <w:shd w:fill="CEE8F6" w:val="clear"/>
            <w:vAlign w:val="center"/>
          </w:tcPr>
          <w:p>
            <w:pPr>
              <w:pStyle w:val="TableContents"/>
              <w:spacing w:before="0" w:after="283"/>
              <w:rPr/>
            </w:pPr>
            <w:r>
              <w:rPr/>
              <w:t> </w:t>
            </w:r>
          </w:p>
        </w:tc>
        <w:tc>
          <w:tcPr>
            <w:tcW w:w="1024" w:type="dxa"/>
            <w:tcBorders/>
            <w:shd w:fill="CEE8F6" w:val="clear"/>
            <w:vAlign w:val="center"/>
          </w:tcPr>
          <w:p>
            <w:pPr>
              <w:pStyle w:val="TableContents"/>
              <w:spacing w:before="0" w:after="283"/>
              <w:jc w:val="right"/>
              <w:rPr/>
            </w:pPr>
            <w:r>
              <w:rPr/>
              <w:t>180,000</w:t>
            </w:r>
          </w:p>
        </w:tc>
        <w:tc>
          <w:tcPr>
            <w:tcW w:w="60" w:type="dxa"/>
            <w:tcBorders/>
            <w:shd w:fill="CEE8F6" w:val="clear"/>
            <w:vAlign w:val="center"/>
          </w:tcPr>
          <w:p>
            <w:pPr>
              <w:pStyle w:val="TableContents"/>
              <w:spacing w:before="0" w:after="283"/>
              <w:rPr/>
            </w:pPr>
            <w:r>
              <w:rPr/>
              <w:t> </w:t>
            </w:r>
          </w:p>
        </w:tc>
        <w:tc>
          <w:tcPr>
            <w:tcW w:w="120" w:type="dxa"/>
            <w:tcBorders/>
            <w:shd w:fill="CEE8F6" w:val="clear"/>
            <w:vAlign w:val="center"/>
          </w:tcPr>
          <w:p>
            <w:pPr>
              <w:pStyle w:val="TableContents"/>
              <w:spacing w:before="0" w:after="283"/>
              <w:rPr/>
            </w:pPr>
            <w:r>
              <w:rPr/>
              <w:t>  </w:t>
            </w:r>
          </w:p>
        </w:tc>
        <w:tc>
          <w:tcPr>
            <w:tcW w:w="103" w:type="dxa"/>
            <w:tcBorders/>
            <w:shd w:fill="CEE8F6" w:val="clear"/>
            <w:vAlign w:val="center"/>
          </w:tcPr>
          <w:p>
            <w:pPr>
              <w:pStyle w:val="TableContents"/>
              <w:spacing w:before="0" w:after="283"/>
              <w:rPr/>
            </w:pPr>
            <w:r>
              <w:rPr/>
              <w:t> </w:t>
            </w:r>
          </w:p>
        </w:tc>
        <w:tc>
          <w:tcPr>
            <w:tcW w:w="1387" w:type="dxa"/>
            <w:tcBorders/>
            <w:shd w:fill="CEE8F6" w:val="clear"/>
            <w:vAlign w:val="center"/>
          </w:tcPr>
          <w:p>
            <w:pPr>
              <w:pStyle w:val="TableContents"/>
              <w:spacing w:before="0" w:after="283"/>
              <w:jc w:val="right"/>
              <w:rPr/>
            </w:pPr>
            <w:r>
              <w:rPr/>
              <w:t>330,000</w:t>
            </w:r>
          </w:p>
        </w:tc>
        <w:tc>
          <w:tcPr>
            <w:tcW w:w="75" w:type="dxa"/>
            <w:tcBorders/>
            <w:shd w:fill="CEE8F6" w:val="clear"/>
            <w:vAlign w:val="center"/>
          </w:tcPr>
          <w:p>
            <w:pPr>
              <w:pStyle w:val="TableContents"/>
              <w:spacing w:before="0" w:after="283"/>
              <w:rPr/>
            </w:pPr>
            <w:r>
              <w:rPr/>
              <w:t> </w:t>
            </w:r>
          </w:p>
        </w:tc>
      </w:tr>
      <w:tr>
        <w:trPr/>
        <w:tc>
          <w:tcPr>
            <w:tcW w:w="2615" w:type="dxa"/>
            <w:tcBorders/>
            <w:shd w:fill="auto" w:val="clear"/>
            <w:vAlign w:val="center"/>
          </w:tcPr>
          <w:p>
            <w:pPr>
              <w:pStyle w:val="TableContents"/>
              <w:spacing w:before="0" w:after="0"/>
              <w:rPr>
                <w:rFonts w:ascii="ARIAL" w:hAnsi="ARIAL"/>
                <w:sz w:val="20"/>
              </w:rPr>
            </w:pPr>
            <w:r>
              <w:rPr>
                <w:rFonts w:ascii="ARIAL" w:hAnsi="ARIAL"/>
                <w:sz w:val="20"/>
              </w:rPr>
              <w:t>James S. Ely III</w:t>
            </w:r>
          </w:p>
        </w:tc>
        <w:tc>
          <w:tcPr>
            <w:tcW w:w="12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283"/>
              <w:rPr/>
            </w:pPr>
            <w:r>
              <w:rPr/>
              <w:t> </w:t>
            </w:r>
          </w:p>
        </w:tc>
        <w:tc>
          <w:tcPr>
            <w:tcW w:w="1205" w:type="dxa"/>
            <w:tcBorders/>
            <w:shd w:fill="auto" w:val="clear"/>
            <w:vAlign w:val="center"/>
          </w:tcPr>
          <w:p>
            <w:pPr>
              <w:pStyle w:val="TableContents"/>
              <w:spacing w:before="0" w:after="283"/>
              <w:jc w:val="right"/>
              <w:rPr/>
            </w:pPr>
            <w:r>
              <w:rPr/>
              <w:t>145,000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1024" w:type="dxa"/>
            <w:tcBorders/>
            <w:shd w:fill="auto" w:val="clear"/>
            <w:vAlign w:val="center"/>
          </w:tcPr>
          <w:p>
            <w:pPr>
              <w:pStyle w:val="TableContents"/>
              <w:spacing w:before="0" w:after="283"/>
              <w:jc w:val="right"/>
              <w:rPr/>
            </w:pPr>
            <w:r>
              <w:rPr/>
              <w:t>180,000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3" w:type="dxa"/>
            <w:tcBorders/>
            <w:shd w:fill="auto" w:val="clear"/>
            <w:vAlign w:val="center"/>
          </w:tcPr>
          <w:p>
            <w:pPr>
              <w:pStyle w:val="TableContents"/>
              <w:spacing w:before="0" w:after="283"/>
              <w:rPr/>
            </w:pPr>
            <w:r>
              <w:rPr/>
              <w:t> </w:t>
            </w:r>
          </w:p>
        </w:tc>
        <w:tc>
          <w:tcPr>
            <w:tcW w:w="1387" w:type="dxa"/>
            <w:tcBorders/>
            <w:shd w:fill="auto" w:val="clear"/>
            <w:vAlign w:val="center"/>
          </w:tcPr>
          <w:p>
            <w:pPr>
              <w:pStyle w:val="TableContents"/>
              <w:spacing w:before="0" w:after="283"/>
              <w:jc w:val="right"/>
              <w:rPr/>
            </w:pPr>
            <w:r>
              <w:rPr/>
              <w:t>325,000</w:t>
            </w:r>
          </w:p>
        </w:tc>
        <w:tc>
          <w:tcPr>
            <w:tcW w:w="75" w:type="dxa"/>
            <w:tcBorders/>
            <w:shd w:fill="auto" w:val="clear"/>
            <w:vAlign w:val="center"/>
          </w:tcPr>
          <w:p>
            <w:pPr>
              <w:pStyle w:val="TableContents"/>
              <w:spacing w:before="0" w:after="283"/>
              <w:rPr/>
            </w:pPr>
            <w:r>
              <w:rPr/>
              <w:t> </w:t>
            </w:r>
          </w:p>
        </w:tc>
      </w:tr>
      <w:tr>
        <w:trPr/>
        <w:tc>
          <w:tcPr>
            <w:tcW w:w="2615" w:type="dxa"/>
            <w:tcBorders/>
            <w:shd w:fill="CEE8F6" w:val="clear"/>
            <w:vAlign w:val="center"/>
          </w:tcPr>
          <w:p>
            <w:pPr>
              <w:pStyle w:val="TableContents"/>
              <w:spacing w:before="0" w:after="0"/>
              <w:rPr>
                <w:rFonts w:ascii="ARIAL" w:hAnsi="ARIAL"/>
                <w:sz w:val="20"/>
              </w:rPr>
            </w:pPr>
            <w:r>
              <w:rPr>
                <w:rFonts w:ascii="ARIAL" w:hAnsi="ARIAL"/>
                <w:sz w:val="20"/>
              </w:rPr>
              <w:t>John A. Fry</w:t>
            </w:r>
          </w:p>
        </w:tc>
        <w:tc>
          <w:tcPr>
            <w:tcW w:w="120" w:type="dxa"/>
            <w:tcBorders/>
            <w:shd w:fill="CEE8F6" w:val="clear"/>
            <w:vAlign w:val="center"/>
          </w:tcPr>
          <w:p>
            <w:pPr>
              <w:pStyle w:val="TableContents"/>
              <w:spacing w:before="0" w:after="283"/>
              <w:rPr/>
            </w:pPr>
            <w:r>
              <w:rPr/>
              <w:t>  </w:t>
            </w:r>
          </w:p>
        </w:tc>
        <w:tc>
          <w:tcPr>
            <w:tcW w:w="90" w:type="dxa"/>
            <w:tcBorders/>
            <w:shd w:fill="CEE8F6" w:val="clear"/>
            <w:vAlign w:val="center"/>
          </w:tcPr>
          <w:p>
            <w:pPr>
              <w:pStyle w:val="TableContents"/>
              <w:spacing w:before="0" w:after="283"/>
              <w:rPr/>
            </w:pPr>
            <w:r>
              <w:rPr/>
              <w:t> </w:t>
            </w:r>
          </w:p>
        </w:tc>
        <w:tc>
          <w:tcPr>
            <w:tcW w:w="1205" w:type="dxa"/>
            <w:tcBorders/>
            <w:shd w:fill="CEE8F6" w:val="clear"/>
            <w:vAlign w:val="center"/>
          </w:tcPr>
          <w:p>
            <w:pPr>
              <w:pStyle w:val="TableContents"/>
              <w:spacing w:before="0" w:after="283"/>
              <w:jc w:val="right"/>
              <w:rPr/>
            </w:pPr>
            <w:r>
              <w:rPr/>
              <w:t>142,250</w:t>
            </w:r>
          </w:p>
        </w:tc>
        <w:tc>
          <w:tcPr>
            <w:tcW w:w="60" w:type="dxa"/>
            <w:tcBorders/>
            <w:shd w:fill="CEE8F6" w:val="clear"/>
            <w:vAlign w:val="center"/>
          </w:tcPr>
          <w:p>
            <w:pPr>
              <w:pStyle w:val="TableContents"/>
              <w:spacing w:before="0" w:after="283"/>
              <w:rPr/>
            </w:pPr>
            <w:r>
              <w:rPr/>
              <w:t> </w:t>
            </w:r>
          </w:p>
        </w:tc>
        <w:tc>
          <w:tcPr>
            <w:tcW w:w="120" w:type="dxa"/>
            <w:tcBorders/>
            <w:shd w:fill="CEE8F6" w:val="clear"/>
            <w:vAlign w:val="center"/>
          </w:tcPr>
          <w:p>
            <w:pPr>
              <w:pStyle w:val="TableContents"/>
              <w:spacing w:before="0" w:after="283"/>
              <w:rPr/>
            </w:pPr>
            <w:r>
              <w:rPr/>
              <w:t>  </w:t>
            </w:r>
          </w:p>
        </w:tc>
        <w:tc>
          <w:tcPr>
            <w:tcW w:w="76" w:type="dxa"/>
            <w:tcBorders/>
            <w:shd w:fill="CEE8F6" w:val="clear"/>
            <w:vAlign w:val="center"/>
          </w:tcPr>
          <w:p>
            <w:pPr>
              <w:pStyle w:val="TableContents"/>
              <w:spacing w:before="0" w:after="283"/>
              <w:rPr/>
            </w:pPr>
            <w:r>
              <w:rPr/>
              <w:t> </w:t>
            </w:r>
          </w:p>
        </w:tc>
        <w:tc>
          <w:tcPr>
            <w:tcW w:w="1024" w:type="dxa"/>
            <w:tcBorders/>
            <w:shd w:fill="CEE8F6" w:val="clear"/>
            <w:vAlign w:val="center"/>
          </w:tcPr>
          <w:p>
            <w:pPr>
              <w:pStyle w:val="TableContents"/>
              <w:spacing w:before="0" w:after="283"/>
              <w:jc w:val="right"/>
              <w:rPr/>
            </w:pPr>
            <w:r>
              <w:rPr/>
              <w:t>180,000</w:t>
            </w:r>
          </w:p>
        </w:tc>
        <w:tc>
          <w:tcPr>
            <w:tcW w:w="60" w:type="dxa"/>
            <w:tcBorders/>
            <w:shd w:fill="CEE8F6" w:val="clear"/>
            <w:vAlign w:val="center"/>
          </w:tcPr>
          <w:p>
            <w:pPr>
              <w:pStyle w:val="TableContents"/>
              <w:spacing w:before="0" w:after="283"/>
              <w:rPr/>
            </w:pPr>
            <w:r>
              <w:rPr/>
              <w:t> </w:t>
            </w:r>
          </w:p>
        </w:tc>
        <w:tc>
          <w:tcPr>
            <w:tcW w:w="120" w:type="dxa"/>
            <w:tcBorders/>
            <w:shd w:fill="CEE8F6" w:val="clear"/>
            <w:vAlign w:val="center"/>
          </w:tcPr>
          <w:p>
            <w:pPr>
              <w:pStyle w:val="TableContents"/>
              <w:spacing w:before="0" w:after="283"/>
              <w:rPr/>
            </w:pPr>
            <w:r>
              <w:rPr/>
              <w:t>  </w:t>
            </w:r>
          </w:p>
        </w:tc>
        <w:tc>
          <w:tcPr>
            <w:tcW w:w="103" w:type="dxa"/>
            <w:tcBorders/>
            <w:shd w:fill="CEE8F6" w:val="clear"/>
            <w:vAlign w:val="center"/>
          </w:tcPr>
          <w:p>
            <w:pPr>
              <w:pStyle w:val="TableContents"/>
              <w:spacing w:before="0" w:after="283"/>
              <w:rPr/>
            </w:pPr>
            <w:r>
              <w:rPr/>
              <w:t> </w:t>
            </w:r>
          </w:p>
        </w:tc>
        <w:tc>
          <w:tcPr>
            <w:tcW w:w="1387" w:type="dxa"/>
            <w:tcBorders/>
            <w:shd w:fill="CEE8F6" w:val="clear"/>
            <w:vAlign w:val="center"/>
          </w:tcPr>
          <w:p>
            <w:pPr>
              <w:pStyle w:val="TableContents"/>
              <w:spacing w:before="0" w:after="283"/>
              <w:jc w:val="right"/>
              <w:rPr/>
            </w:pPr>
            <w:r>
              <w:rPr/>
              <w:t>322,250</w:t>
            </w:r>
          </w:p>
        </w:tc>
        <w:tc>
          <w:tcPr>
            <w:tcW w:w="75" w:type="dxa"/>
            <w:tcBorders/>
            <w:shd w:fill="CEE8F6" w:val="clear"/>
            <w:vAlign w:val="center"/>
          </w:tcPr>
          <w:p>
            <w:pPr>
              <w:pStyle w:val="TableContents"/>
              <w:spacing w:before="0" w:after="283"/>
              <w:rPr/>
            </w:pPr>
            <w:r>
              <w:rPr/>
              <w:t> </w:t>
            </w:r>
          </w:p>
        </w:tc>
      </w:tr>
      <w:tr>
        <w:trPr/>
        <w:tc>
          <w:tcPr>
            <w:tcW w:w="2615" w:type="dxa"/>
            <w:tcBorders/>
            <w:shd w:fill="auto" w:val="clear"/>
            <w:vAlign w:val="center"/>
          </w:tcPr>
          <w:p>
            <w:pPr>
              <w:pStyle w:val="TableContents"/>
              <w:spacing w:before="0" w:after="0"/>
              <w:rPr>
                <w:rFonts w:ascii="ARIAL" w:hAnsi="ARIAL"/>
                <w:sz w:val="20"/>
              </w:rPr>
            </w:pPr>
            <w:r>
              <w:rPr>
                <w:rFonts w:ascii="ARIAL" w:hAnsi="ARIAL"/>
                <w:sz w:val="20"/>
              </w:rPr>
              <w:t>Joseph A. Hastings, D.M.D.</w:t>
            </w:r>
          </w:p>
        </w:tc>
        <w:tc>
          <w:tcPr>
            <w:tcW w:w="12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283"/>
              <w:rPr/>
            </w:pPr>
            <w:r>
              <w:rPr/>
              <w:t> </w:t>
            </w:r>
          </w:p>
        </w:tc>
        <w:tc>
          <w:tcPr>
            <w:tcW w:w="1205" w:type="dxa"/>
            <w:tcBorders/>
            <w:shd w:fill="auto" w:val="clear"/>
            <w:vAlign w:val="center"/>
          </w:tcPr>
          <w:p>
            <w:pPr>
              <w:pStyle w:val="TableContents"/>
              <w:spacing w:before="0" w:after="283"/>
              <w:jc w:val="right"/>
              <w:rPr/>
            </w:pPr>
            <w:r>
              <w:rPr/>
              <w:t>130,000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1024" w:type="dxa"/>
            <w:tcBorders/>
            <w:shd w:fill="auto" w:val="clear"/>
            <w:vAlign w:val="center"/>
          </w:tcPr>
          <w:p>
            <w:pPr>
              <w:pStyle w:val="TableContents"/>
              <w:spacing w:before="0" w:after="283"/>
              <w:jc w:val="right"/>
              <w:rPr/>
            </w:pPr>
            <w:r>
              <w:rPr/>
              <w:t>180,000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3" w:type="dxa"/>
            <w:tcBorders/>
            <w:shd w:fill="auto" w:val="clear"/>
            <w:vAlign w:val="center"/>
          </w:tcPr>
          <w:p>
            <w:pPr>
              <w:pStyle w:val="TableContents"/>
              <w:spacing w:before="0" w:after="283"/>
              <w:rPr/>
            </w:pPr>
            <w:r>
              <w:rPr/>
              <w:t> </w:t>
            </w:r>
          </w:p>
        </w:tc>
        <w:tc>
          <w:tcPr>
            <w:tcW w:w="1387" w:type="dxa"/>
            <w:tcBorders/>
            <w:shd w:fill="auto" w:val="clear"/>
            <w:vAlign w:val="center"/>
          </w:tcPr>
          <w:p>
            <w:pPr>
              <w:pStyle w:val="TableContents"/>
              <w:spacing w:before="0" w:after="283"/>
              <w:jc w:val="right"/>
              <w:rPr/>
            </w:pPr>
            <w:r>
              <w:rPr/>
              <w:t>310,000</w:t>
            </w:r>
          </w:p>
        </w:tc>
        <w:tc>
          <w:tcPr>
            <w:tcW w:w="75" w:type="dxa"/>
            <w:tcBorders/>
            <w:shd w:fill="auto" w:val="clear"/>
            <w:vAlign w:val="center"/>
          </w:tcPr>
          <w:p>
            <w:pPr>
              <w:pStyle w:val="TableContents"/>
              <w:spacing w:before="0" w:after="283"/>
              <w:rPr/>
            </w:pPr>
            <w:r>
              <w:rPr/>
              <w:t> </w:t>
            </w:r>
          </w:p>
        </w:tc>
      </w:tr>
      <w:tr>
        <w:trPr/>
        <w:tc>
          <w:tcPr>
            <w:tcW w:w="2615" w:type="dxa"/>
            <w:tcBorders/>
            <w:shd w:fill="CEE8F6" w:val="clear"/>
            <w:vAlign w:val="center"/>
          </w:tcPr>
          <w:p>
            <w:pPr>
              <w:pStyle w:val="TableContents"/>
              <w:spacing w:before="0" w:after="0"/>
              <w:rPr>
                <w:rFonts w:ascii="ARIAL" w:hAnsi="ARIAL"/>
                <w:sz w:val="20"/>
              </w:rPr>
            </w:pPr>
            <w:r>
              <w:rPr>
                <w:rFonts w:ascii="ARIAL" w:hAnsi="ARIAL"/>
                <w:sz w:val="20"/>
              </w:rPr>
              <w:t>Elizabeth T. Hirsch</w:t>
            </w:r>
          </w:p>
        </w:tc>
        <w:tc>
          <w:tcPr>
            <w:tcW w:w="120" w:type="dxa"/>
            <w:tcBorders/>
            <w:shd w:fill="CEE8F6" w:val="clear"/>
            <w:vAlign w:val="center"/>
          </w:tcPr>
          <w:p>
            <w:pPr>
              <w:pStyle w:val="TableContents"/>
              <w:spacing w:before="0" w:after="283"/>
              <w:rPr/>
            </w:pPr>
            <w:r>
              <w:rPr/>
              <w:t>  </w:t>
            </w:r>
          </w:p>
        </w:tc>
        <w:tc>
          <w:tcPr>
            <w:tcW w:w="90" w:type="dxa"/>
            <w:tcBorders/>
            <w:shd w:fill="CEE8F6" w:val="clear"/>
            <w:vAlign w:val="center"/>
          </w:tcPr>
          <w:p>
            <w:pPr>
              <w:pStyle w:val="TableContents"/>
              <w:spacing w:before="0" w:after="283"/>
              <w:rPr/>
            </w:pPr>
            <w:r>
              <w:rPr/>
              <w:t> </w:t>
            </w:r>
          </w:p>
        </w:tc>
        <w:tc>
          <w:tcPr>
            <w:tcW w:w="1205" w:type="dxa"/>
            <w:tcBorders/>
            <w:shd w:fill="CEE8F6" w:val="clear"/>
            <w:vAlign w:val="center"/>
          </w:tcPr>
          <w:p>
            <w:pPr>
              <w:pStyle w:val="TableContents"/>
              <w:spacing w:before="0" w:after="283"/>
              <w:jc w:val="right"/>
              <w:rPr/>
            </w:pPr>
            <w:r>
              <w:rPr/>
              <w:t>130,000</w:t>
            </w:r>
          </w:p>
        </w:tc>
        <w:tc>
          <w:tcPr>
            <w:tcW w:w="60" w:type="dxa"/>
            <w:tcBorders/>
            <w:shd w:fill="CEE8F6" w:val="clear"/>
            <w:vAlign w:val="center"/>
          </w:tcPr>
          <w:p>
            <w:pPr>
              <w:pStyle w:val="TableContents"/>
              <w:spacing w:before="0" w:after="283"/>
              <w:rPr/>
            </w:pPr>
            <w:r>
              <w:rPr/>
              <w:t> </w:t>
            </w:r>
          </w:p>
        </w:tc>
        <w:tc>
          <w:tcPr>
            <w:tcW w:w="120" w:type="dxa"/>
            <w:tcBorders/>
            <w:shd w:fill="CEE8F6" w:val="clear"/>
            <w:vAlign w:val="center"/>
          </w:tcPr>
          <w:p>
            <w:pPr>
              <w:pStyle w:val="TableContents"/>
              <w:spacing w:before="0" w:after="283"/>
              <w:rPr/>
            </w:pPr>
            <w:r>
              <w:rPr/>
              <w:t>  </w:t>
            </w:r>
          </w:p>
        </w:tc>
        <w:tc>
          <w:tcPr>
            <w:tcW w:w="76" w:type="dxa"/>
            <w:tcBorders/>
            <w:shd w:fill="CEE8F6" w:val="clear"/>
            <w:vAlign w:val="center"/>
          </w:tcPr>
          <w:p>
            <w:pPr>
              <w:pStyle w:val="TableContents"/>
              <w:spacing w:before="0" w:after="283"/>
              <w:rPr/>
            </w:pPr>
            <w:r>
              <w:rPr/>
              <w:t> </w:t>
            </w:r>
          </w:p>
        </w:tc>
        <w:tc>
          <w:tcPr>
            <w:tcW w:w="1024" w:type="dxa"/>
            <w:tcBorders/>
            <w:shd w:fill="CEE8F6" w:val="clear"/>
            <w:vAlign w:val="center"/>
          </w:tcPr>
          <w:p>
            <w:pPr>
              <w:pStyle w:val="TableContents"/>
              <w:spacing w:before="0" w:after="283"/>
              <w:jc w:val="right"/>
              <w:rPr/>
            </w:pPr>
            <w:r>
              <w:rPr/>
              <w:t>180,000</w:t>
            </w:r>
          </w:p>
        </w:tc>
        <w:tc>
          <w:tcPr>
            <w:tcW w:w="60" w:type="dxa"/>
            <w:tcBorders/>
            <w:shd w:fill="CEE8F6" w:val="clear"/>
            <w:vAlign w:val="center"/>
          </w:tcPr>
          <w:p>
            <w:pPr>
              <w:pStyle w:val="TableContents"/>
              <w:spacing w:before="0" w:after="283"/>
              <w:rPr/>
            </w:pPr>
            <w:r>
              <w:rPr/>
              <w:t> </w:t>
            </w:r>
          </w:p>
        </w:tc>
        <w:tc>
          <w:tcPr>
            <w:tcW w:w="120" w:type="dxa"/>
            <w:tcBorders/>
            <w:shd w:fill="CEE8F6" w:val="clear"/>
            <w:vAlign w:val="center"/>
          </w:tcPr>
          <w:p>
            <w:pPr>
              <w:pStyle w:val="TableContents"/>
              <w:spacing w:before="0" w:after="283"/>
              <w:rPr/>
            </w:pPr>
            <w:r>
              <w:rPr/>
              <w:t>  </w:t>
            </w:r>
          </w:p>
        </w:tc>
        <w:tc>
          <w:tcPr>
            <w:tcW w:w="103" w:type="dxa"/>
            <w:tcBorders/>
            <w:shd w:fill="CEE8F6" w:val="clear"/>
            <w:vAlign w:val="center"/>
          </w:tcPr>
          <w:p>
            <w:pPr>
              <w:pStyle w:val="TableContents"/>
              <w:spacing w:before="0" w:after="283"/>
              <w:rPr/>
            </w:pPr>
            <w:r>
              <w:rPr/>
              <w:t> </w:t>
            </w:r>
          </w:p>
        </w:tc>
        <w:tc>
          <w:tcPr>
            <w:tcW w:w="1387" w:type="dxa"/>
            <w:tcBorders/>
            <w:shd w:fill="CEE8F6" w:val="clear"/>
            <w:vAlign w:val="center"/>
          </w:tcPr>
          <w:p>
            <w:pPr>
              <w:pStyle w:val="TableContents"/>
              <w:spacing w:before="0" w:after="283"/>
              <w:jc w:val="right"/>
              <w:rPr/>
            </w:pPr>
            <w:r>
              <w:rPr/>
              <w:t>310,000</w:t>
            </w:r>
          </w:p>
        </w:tc>
        <w:tc>
          <w:tcPr>
            <w:tcW w:w="75" w:type="dxa"/>
            <w:tcBorders/>
            <w:shd w:fill="CEE8F6" w:val="clear"/>
            <w:vAlign w:val="center"/>
          </w:tcPr>
          <w:p>
            <w:pPr>
              <w:pStyle w:val="TableContents"/>
              <w:spacing w:before="0" w:after="283"/>
              <w:rPr/>
            </w:pPr>
            <w:r>
              <w:rPr/>
              <w:t> </w:t>
            </w:r>
          </w:p>
        </w:tc>
      </w:tr>
      <w:tr>
        <w:trPr/>
        <w:tc>
          <w:tcPr>
            <w:tcW w:w="2615" w:type="dxa"/>
            <w:tcBorders/>
            <w:shd w:fill="auto" w:val="clear"/>
            <w:vAlign w:val="center"/>
          </w:tcPr>
          <w:p>
            <w:pPr>
              <w:pStyle w:val="TableContents"/>
              <w:spacing w:before="0" w:after="0"/>
              <w:rPr>
                <w:rFonts w:ascii="ARIAL" w:hAnsi="ARIAL"/>
                <w:sz w:val="20"/>
              </w:rPr>
            </w:pPr>
            <w:r>
              <w:rPr>
                <w:rFonts w:ascii="ARIAL" w:hAnsi="ARIAL"/>
                <w:sz w:val="20"/>
              </w:rPr>
              <w:t>William Norris Jennings, M.D.</w:t>
            </w:r>
          </w:p>
        </w:tc>
        <w:tc>
          <w:tcPr>
            <w:tcW w:w="12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283"/>
              <w:rPr/>
            </w:pPr>
            <w:r>
              <w:rPr/>
              <w:t> </w:t>
            </w:r>
          </w:p>
        </w:tc>
        <w:tc>
          <w:tcPr>
            <w:tcW w:w="1205" w:type="dxa"/>
            <w:tcBorders/>
            <w:shd w:fill="auto" w:val="clear"/>
            <w:vAlign w:val="center"/>
          </w:tcPr>
          <w:p>
            <w:pPr>
              <w:pStyle w:val="TableContents"/>
              <w:spacing w:before="0" w:after="283"/>
              <w:jc w:val="right"/>
              <w:rPr/>
            </w:pPr>
            <w:r>
              <w:rPr/>
              <w:t>130,000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1024" w:type="dxa"/>
            <w:tcBorders/>
            <w:shd w:fill="auto" w:val="clear"/>
            <w:vAlign w:val="center"/>
          </w:tcPr>
          <w:p>
            <w:pPr>
              <w:pStyle w:val="TableContents"/>
              <w:spacing w:before="0" w:after="283"/>
              <w:jc w:val="right"/>
              <w:rPr/>
            </w:pPr>
            <w:r>
              <w:rPr/>
              <w:t>180,000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3" w:type="dxa"/>
            <w:tcBorders/>
            <w:shd w:fill="auto" w:val="clear"/>
            <w:vAlign w:val="center"/>
          </w:tcPr>
          <w:p>
            <w:pPr>
              <w:pStyle w:val="TableContents"/>
              <w:spacing w:before="0" w:after="283"/>
              <w:rPr/>
            </w:pPr>
            <w:r>
              <w:rPr/>
              <w:t> </w:t>
            </w:r>
          </w:p>
        </w:tc>
        <w:tc>
          <w:tcPr>
            <w:tcW w:w="1387" w:type="dxa"/>
            <w:tcBorders/>
            <w:shd w:fill="auto" w:val="clear"/>
            <w:vAlign w:val="center"/>
          </w:tcPr>
          <w:p>
            <w:pPr>
              <w:pStyle w:val="TableContents"/>
              <w:spacing w:before="0" w:after="283"/>
              <w:jc w:val="right"/>
              <w:rPr/>
            </w:pPr>
            <w:r>
              <w:rPr/>
              <w:t>310,000</w:t>
            </w:r>
          </w:p>
        </w:tc>
        <w:tc>
          <w:tcPr>
            <w:tcW w:w="75" w:type="dxa"/>
            <w:tcBorders/>
            <w:shd w:fill="auto" w:val="clear"/>
            <w:vAlign w:val="center"/>
          </w:tcPr>
          <w:p>
            <w:pPr>
              <w:pStyle w:val="TableContents"/>
              <w:spacing w:before="0" w:after="283"/>
              <w:rPr/>
            </w:pPr>
            <w:r>
              <w:rPr/>
              <w:t> </w:t>
            </w:r>
          </w:p>
        </w:tc>
      </w:tr>
      <w:tr>
        <w:trPr/>
        <w:tc>
          <w:tcPr>
            <w:tcW w:w="2615" w:type="dxa"/>
            <w:tcBorders/>
            <w:shd w:fill="CEE8F6" w:val="clear"/>
            <w:vAlign w:val="center"/>
          </w:tcPr>
          <w:p>
            <w:pPr>
              <w:pStyle w:val="TableContents"/>
              <w:spacing w:before="0" w:after="0"/>
              <w:rPr>
                <w:rFonts w:ascii="ARIAL" w:hAnsi="ARIAL"/>
                <w:sz w:val="20"/>
              </w:rPr>
            </w:pPr>
            <w:r>
              <w:rPr>
                <w:rFonts w:ascii="ARIAL" w:hAnsi="ARIAL"/>
                <w:sz w:val="20"/>
              </w:rPr>
              <w:t>K. Ranga Krishnan, MBBS</w:t>
            </w:r>
          </w:p>
        </w:tc>
        <w:tc>
          <w:tcPr>
            <w:tcW w:w="120" w:type="dxa"/>
            <w:tcBorders/>
            <w:shd w:fill="CEE8F6" w:val="clear"/>
            <w:vAlign w:val="center"/>
          </w:tcPr>
          <w:p>
            <w:pPr>
              <w:pStyle w:val="TableContents"/>
              <w:spacing w:before="0" w:after="283"/>
              <w:rPr/>
            </w:pPr>
            <w:r>
              <w:rPr/>
              <w:t>  </w:t>
            </w:r>
          </w:p>
        </w:tc>
        <w:tc>
          <w:tcPr>
            <w:tcW w:w="90" w:type="dxa"/>
            <w:tcBorders/>
            <w:shd w:fill="CEE8F6" w:val="clear"/>
            <w:vAlign w:val="center"/>
          </w:tcPr>
          <w:p>
            <w:pPr>
              <w:pStyle w:val="TableContents"/>
              <w:spacing w:before="0" w:after="283"/>
              <w:rPr/>
            </w:pPr>
            <w:r>
              <w:rPr/>
              <w:t> </w:t>
            </w:r>
          </w:p>
        </w:tc>
        <w:tc>
          <w:tcPr>
            <w:tcW w:w="1205" w:type="dxa"/>
            <w:tcBorders/>
            <w:shd w:fill="CEE8F6" w:val="clear"/>
            <w:vAlign w:val="center"/>
          </w:tcPr>
          <w:p>
            <w:pPr>
              <w:pStyle w:val="TableContents"/>
              <w:spacing w:before="0" w:after="283"/>
              <w:jc w:val="right"/>
              <w:rPr/>
            </w:pPr>
            <w:r>
              <w:rPr/>
              <w:t>130,000</w:t>
            </w:r>
          </w:p>
        </w:tc>
        <w:tc>
          <w:tcPr>
            <w:tcW w:w="60" w:type="dxa"/>
            <w:tcBorders/>
            <w:shd w:fill="CEE8F6" w:val="clear"/>
            <w:vAlign w:val="center"/>
          </w:tcPr>
          <w:p>
            <w:pPr>
              <w:pStyle w:val="TableContents"/>
              <w:spacing w:before="0" w:after="283"/>
              <w:rPr/>
            </w:pPr>
            <w:r>
              <w:rPr/>
              <w:t> </w:t>
            </w:r>
          </w:p>
        </w:tc>
        <w:tc>
          <w:tcPr>
            <w:tcW w:w="120" w:type="dxa"/>
            <w:tcBorders/>
            <w:shd w:fill="CEE8F6" w:val="clear"/>
            <w:vAlign w:val="center"/>
          </w:tcPr>
          <w:p>
            <w:pPr>
              <w:pStyle w:val="TableContents"/>
              <w:spacing w:before="0" w:after="283"/>
              <w:rPr/>
            </w:pPr>
            <w:r>
              <w:rPr/>
              <w:t>  </w:t>
            </w:r>
          </w:p>
        </w:tc>
        <w:tc>
          <w:tcPr>
            <w:tcW w:w="76" w:type="dxa"/>
            <w:tcBorders/>
            <w:shd w:fill="CEE8F6" w:val="clear"/>
            <w:vAlign w:val="center"/>
          </w:tcPr>
          <w:p>
            <w:pPr>
              <w:pStyle w:val="TableContents"/>
              <w:spacing w:before="0" w:after="283"/>
              <w:rPr/>
            </w:pPr>
            <w:r>
              <w:rPr/>
              <w:t> </w:t>
            </w:r>
          </w:p>
        </w:tc>
        <w:tc>
          <w:tcPr>
            <w:tcW w:w="1024" w:type="dxa"/>
            <w:tcBorders/>
            <w:shd w:fill="CEE8F6" w:val="clear"/>
            <w:vAlign w:val="center"/>
          </w:tcPr>
          <w:p>
            <w:pPr>
              <w:pStyle w:val="TableContents"/>
              <w:spacing w:before="0" w:after="283"/>
              <w:jc w:val="right"/>
              <w:rPr/>
            </w:pPr>
            <w:r>
              <w:rPr/>
              <w:t>180,000</w:t>
            </w:r>
          </w:p>
        </w:tc>
        <w:tc>
          <w:tcPr>
            <w:tcW w:w="60" w:type="dxa"/>
            <w:tcBorders/>
            <w:shd w:fill="CEE8F6" w:val="clear"/>
            <w:vAlign w:val="center"/>
          </w:tcPr>
          <w:p>
            <w:pPr>
              <w:pStyle w:val="TableContents"/>
              <w:spacing w:before="0" w:after="283"/>
              <w:rPr/>
            </w:pPr>
            <w:r>
              <w:rPr/>
              <w:t> </w:t>
            </w:r>
          </w:p>
        </w:tc>
        <w:tc>
          <w:tcPr>
            <w:tcW w:w="120" w:type="dxa"/>
            <w:tcBorders/>
            <w:shd w:fill="CEE8F6" w:val="clear"/>
            <w:vAlign w:val="center"/>
          </w:tcPr>
          <w:p>
            <w:pPr>
              <w:pStyle w:val="TableContents"/>
              <w:spacing w:before="0" w:after="283"/>
              <w:rPr/>
            </w:pPr>
            <w:r>
              <w:rPr/>
              <w:t>  </w:t>
            </w:r>
          </w:p>
        </w:tc>
        <w:tc>
          <w:tcPr>
            <w:tcW w:w="103" w:type="dxa"/>
            <w:tcBorders/>
            <w:shd w:fill="CEE8F6" w:val="clear"/>
            <w:vAlign w:val="center"/>
          </w:tcPr>
          <w:p>
            <w:pPr>
              <w:pStyle w:val="TableContents"/>
              <w:spacing w:before="0" w:after="283"/>
              <w:rPr/>
            </w:pPr>
            <w:r>
              <w:rPr/>
              <w:t> </w:t>
            </w:r>
          </w:p>
        </w:tc>
        <w:tc>
          <w:tcPr>
            <w:tcW w:w="1387" w:type="dxa"/>
            <w:tcBorders/>
            <w:shd w:fill="CEE8F6" w:val="clear"/>
            <w:vAlign w:val="center"/>
          </w:tcPr>
          <w:p>
            <w:pPr>
              <w:pStyle w:val="TableContents"/>
              <w:spacing w:before="0" w:after="283"/>
              <w:jc w:val="right"/>
              <w:rPr/>
            </w:pPr>
            <w:r>
              <w:rPr/>
              <w:t>310,000</w:t>
            </w:r>
          </w:p>
        </w:tc>
        <w:tc>
          <w:tcPr>
            <w:tcW w:w="75" w:type="dxa"/>
            <w:tcBorders/>
            <w:shd w:fill="CEE8F6" w:val="clear"/>
            <w:vAlign w:val="center"/>
          </w:tcPr>
          <w:p>
            <w:pPr>
              <w:pStyle w:val="TableContents"/>
              <w:spacing w:before="0" w:after="283"/>
              <w:rPr/>
            </w:pPr>
            <w:r>
              <w:rPr/>
              <w:t> </w:t>
            </w:r>
          </w:p>
        </w:tc>
      </w:tr>
      <w:tr>
        <w:trPr/>
        <w:tc>
          <w:tcPr>
            <w:tcW w:w="2615" w:type="dxa"/>
            <w:tcBorders/>
            <w:shd w:fill="auto" w:val="clear"/>
            <w:vAlign w:val="center"/>
          </w:tcPr>
          <w:p>
            <w:pPr>
              <w:pStyle w:val="TableContents"/>
              <w:spacing w:before="0" w:after="0"/>
              <w:rPr>
                <w:rFonts w:ascii="ARIAL" w:hAnsi="ARIAL"/>
                <w:sz w:val="20"/>
              </w:rPr>
            </w:pPr>
            <w:r>
              <w:rPr>
                <w:rFonts w:ascii="ARIAL" w:hAnsi="ARIAL"/>
                <w:sz w:val="20"/>
              </w:rPr>
              <w:t>H. James Williams, Ph.D.</w:t>
            </w:r>
          </w:p>
        </w:tc>
        <w:tc>
          <w:tcPr>
            <w:tcW w:w="12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283"/>
              <w:rPr/>
            </w:pPr>
            <w:r>
              <w:rPr/>
              <w:t> </w:t>
            </w:r>
          </w:p>
        </w:tc>
        <w:tc>
          <w:tcPr>
            <w:tcW w:w="1205" w:type="dxa"/>
            <w:tcBorders/>
            <w:shd w:fill="auto" w:val="clear"/>
            <w:vAlign w:val="center"/>
          </w:tcPr>
          <w:p>
            <w:pPr>
              <w:pStyle w:val="TableContents"/>
              <w:spacing w:before="0" w:after="283"/>
              <w:jc w:val="right"/>
              <w:rPr/>
            </w:pPr>
            <w:r>
              <w:rPr/>
              <w:t>130,000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1024" w:type="dxa"/>
            <w:tcBorders/>
            <w:shd w:fill="auto" w:val="clear"/>
            <w:vAlign w:val="center"/>
          </w:tcPr>
          <w:p>
            <w:pPr>
              <w:pStyle w:val="TableContents"/>
              <w:spacing w:before="0" w:after="283"/>
              <w:jc w:val="right"/>
              <w:rPr/>
            </w:pPr>
            <w:r>
              <w:rPr/>
              <w:t>180,000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3" w:type="dxa"/>
            <w:tcBorders/>
            <w:shd w:fill="auto" w:val="clear"/>
            <w:vAlign w:val="center"/>
          </w:tcPr>
          <w:p>
            <w:pPr>
              <w:pStyle w:val="TableContents"/>
              <w:spacing w:before="0" w:after="283"/>
              <w:rPr/>
            </w:pPr>
            <w:r>
              <w:rPr/>
              <w:t> </w:t>
            </w:r>
          </w:p>
        </w:tc>
        <w:tc>
          <w:tcPr>
            <w:tcW w:w="1387" w:type="dxa"/>
            <w:tcBorders/>
            <w:shd w:fill="auto" w:val="clear"/>
            <w:vAlign w:val="center"/>
          </w:tcPr>
          <w:p>
            <w:pPr>
              <w:pStyle w:val="TableContents"/>
              <w:spacing w:before="0" w:after="283"/>
              <w:jc w:val="right"/>
              <w:rPr/>
            </w:pPr>
            <w:r>
              <w:rPr/>
              <w:t>310,000</w:t>
            </w:r>
          </w:p>
        </w:tc>
        <w:tc>
          <w:tcPr>
            <w:tcW w:w="75" w:type="dxa"/>
            <w:tcBorders/>
            <w:shd w:fill="auto" w:val="clear"/>
            <w:vAlign w:val="center"/>
          </w:tcPr>
          <w:p>
            <w:pPr>
              <w:pStyle w:val="TableContents"/>
              <w:spacing w:before="0" w:after="283"/>
              <w:rPr/>
            </w:pPr>
            <w:r>
              <w:rPr/>
              <w:t> </w:t>
            </w:r>
          </w:p>
        </w:tc>
      </w:tr>
    </w:tbl>
    <w:p>
      <w:pPr>
        <w:pStyle w:val="TextBody"/>
        <w:spacing w:before="0" w:after="0"/>
        <w:jc w:val="left"/>
        <w:rPr/>
      </w:pPr>
      <w:r>
        <w:rPr/>
        <w:t> </w:t>
      </w:r>
    </w:p>
    <w:p>
      <w:pPr>
        <w:pStyle w:val="TextBody"/>
        <w:pBdr>
          <w:bottom w:val="single" w:sz="2" w:space="1" w:color="000000"/>
        </w:pBdr>
        <w:spacing w:lineRule="atLeast" w:line="160" w:before="0" w:after="40"/>
        <w:jc w:val="left"/>
        <w:rPr/>
      </w:pPr>
      <w:r>
        <w:rPr/>
        <w:t> </w:t>
      </w:r>
    </w:p>
    <w:tbl>
      <w:tblPr>
        <w:tblW w:w="10205" w:type="dxa"/>
        <w:jc w:val="left"/>
        <w:tblInd w:w="0" w:type="dxa"/>
        <w:tblCellMar>
          <w:top w:w="0" w:type="dxa"/>
          <w:left w:w="0" w:type="dxa"/>
          <w:bottom w:w="0" w:type="dxa"/>
          <w:right w:w="0" w:type="dxa"/>
        </w:tblCellMar>
      </w:tblPr>
      <w:tblGrid>
        <w:gridCol w:w="242"/>
        <w:gridCol w:w="9963"/>
      </w:tblGrid>
      <w:tr>
        <w:trPr/>
        <w:tc>
          <w:tcPr>
            <w:tcW w:w="242" w:type="dxa"/>
            <w:tcBorders/>
            <w:shd w:fill="auto" w:val="clear"/>
            <w:vAlign w:val="center"/>
          </w:tcPr>
          <w:p>
            <w:pPr>
              <w:pStyle w:val="TableContents"/>
              <w:spacing w:before="0" w:after="283"/>
              <w:jc w:val="left"/>
              <w:rPr/>
            </w:pPr>
            <w:r>
              <w:rPr/>
              <w:t>(1)</w:t>
            </w:r>
          </w:p>
        </w:tc>
        <w:tc>
          <w:tcPr>
            <w:tcW w:w="9963" w:type="dxa"/>
            <w:tcBorders/>
            <w:shd w:fill="auto" w:val="clear"/>
            <w:vAlign w:val="center"/>
          </w:tcPr>
          <w:p>
            <w:pPr>
              <w:pStyle w:val="TableContents"/>
              <w:spacing w:before="0" w:after="0"/>
              <w:jc w:val="left"/>
              <w:rPr>
                <w:rFonts w:ascii="ARIAL" w:hAnsi="ARIAL"/>
                <w:sz w:val="20"/>
              </w:rPr>
            </w:pPr>
            <w:r>
              <w:rPr>
                <w:rFonts w:ascii="ARIAL" w:hAnsi="ARIAL"/>
                <w:sz w:val="20"/>
              </w:rPr>
              <w:t xml:space="preserve">This amount includes the annual cash stipend paid to all non-management directors and the additional annual cash stipends paid to our Lead Director and to the chairs of the Board’s three committees. All fees for 2022 were paid in cash to each non-management director except for Dr. Krishnan, who elected for the entire amount of his fees to be deferred into a stock unit account pursuant to the Company’s Directors’ Fees Deferral Plan. Ms. Brooks joined the Board during the second quarter of 2022. The amount paid to Ms. Brooks reflects the prorated cash stipend payable to her for 2022. </w:t>
            </w:r>
          </w:p>
        </w:tc>
      </w:tr>
    </w:tbl>
    <w:tbl>
      <w:tblPr>
        <w:tblW w:w="10205" w:type="dxa"/>
        <w:jc w:val="left"/>
        <w:tblInd w:w="0" w:type="dxa"/>
        <w:tblCellMar>
          <w:top w:w="0" w:type="dxa"/>
          <w:left w:w="0" w:type="dxa"/>
          <w:bottom w:w="0" w:type="dxa"/>
          <w:right w:w="0" w:type="dxa"/>
        </w:tblCellMar>
      </w:tblPr>
      <w:tblGrid>
        <w:gridCol w:w="234"/>
        <w:gridCol w:w="9971"/>
      </w:tblGrid>
      <w:tr>
        <w:trPr/>
        <w:tc>
          <w:tcPr>
            <w:tcW w:w="234" w:type="dxa"/>
            <w:tcBorders/>
            <w:shd w:fill="auto" w:val="clear"/>
            <w:vAlign w:val="center"/>
          </w:tcPr>
          <w:p>
            <w:pPr>
              <w:pStyle w:val="TableContents"/>
              <w:spacing w:before="0" w:after="283"/>
              <w:jc w:val="left"/>
              <w:rPr/>
            </w:pPr>
            <w:r>
              <w:rPr/>
              <w:t>(2)</w:t>
            </w:r>
          </w:p>
        </w:tc>
        <w:tc>
          <w:tcPr>
            <w:tcW w:w="9971" w:type="dxa"/>
            <w:tcBorders/>
            <w:shd w:fill="auto" w:val="clear"/>
            <w:vAlign w:val="center"/>
          </w:tcPr>
          <w:p>
            <w:pPr>
              <w:pStyle w:val="TableContents"/>
              <w:spacing w:before="0" w:after="0"/>
              <w:jc w:val="left"/>
              <w:rPr>
                <w:rFonts w:ascii="ARIAL" w:hAnsi="ARIAL"/>
                <w:sz w:val="20"/>
              </w:rPr>
            </w:pPr>
            <w:r>
              <w:rPr>
                <w:rFonts w:ascii="ARIAL" w:hAnsi="ARIAL"/>
                <w:sz w:val="20"/>
              </w:rPr>
              <w:t xml:space="preserve">This amount reflects the aggregate grant date fair value of director compensation earned in the form of restricted stock unit awards. This grant is based on the portion of his or her annual compensation that is allocated to equity. For 2022, for all then-serving non-management directors other than Ms. Brooks, this value-based award amount was for 17,682 restricted stock units granted on March 1, 2022 ($10.18 per share). Ms. Brooks, who joined the Board during the second quarter of 2022, received 17,682 restricted stock units granted on June 1, 2022 ($5.00 per share). The grant date fair value was computed in accordance with Financial Accounting Standards Board Accounting Standards Codification Topic 718 (“ASC 718”). As of December 31, 2022, a total of 512,360 restricted stock units were outstanding and held by our non-management directors, including 42,041 restricted stock units held by each of Messrs. Clerico, Dinkins and Fry; 65,029 restricted stock units held by Ms. Hirsch (including restricted stock units held pursuant to her prior election to defer the receipt of shares of the Company’s Common Stock upon the vesting of certain of her restricted stock unit grants); 71,461 restricted stock units held by each of Drs. Jennings, Krishnan and Williams and Mr. Ely (including restricted stock units held pursuant to each of these individuals’ prior election to defer the receipt of shares of the Company’s Common Stock upon the vesting of certain of their restricted stock unit grants); and 17,682 restricted stock units held by each of Dr. Hastings and Ms. Brooks. </w:t>
            </w:r>
          </w:p>
        </w:tc>
      </w:tr>
    </w:tbl>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19 </w:t>
      </w:r>
      <w:r>
        <w:br w:type="page"/>
      </w:r>
    </w:p>
    <w:p>
      <w:pPr>
        <w:pStyle w:val="HorizontalLine"/>
        <w:rPr/>
      </w:pPr>
      <w:r>
        <w:rPr/>
      </w:r>
    </w:p>
    <w:p>
      <w:pPr>
        <w:pStyle w:val="TextBody"/>
        <w:spacing w:before="0" w:after="0"/>
        <w:jc w:val="left"/>
        <w:rPr>
          <w:rFonts w:ascii="ARIAL" w:hAnsi="ARIAL"/>
          <w:b/>
          <w:i/>
          <w:sz w:val="20"/>
        </w:rPr>
      </w:pPr>
      <w:r>
        <w:rPr>
          <w:rFonts w:ascii="ARIAL" w:hAnsi="ARIAL"/>
          <w:b/>
          <w:i/>
          <w:sz w:val="20"/>
        </w:rPr>
        <w:t xml:space="preserve">How are Directors nominated by the Company? </w:t>
      </w:r>
    </w:p>
    <w:p>
      <w:pPr>
        <w:pStyle w:val="TextBody"/>
        <w:spacing w:before="200" w:after="0"/>
        <w:jc w:val="left"/>
        <w:rPr>
          <w:rFonts w:ascii="ARIAL" w:hAnsi="ARIAL"/>
          <w:sz w:val="20"/>
        </w:rPr>
      </w:pPr>
      <w:r>
        <w:rPr>
          <w:rFonts w:ascii="ARIAL" w:hAnsi="ARIAL"/>
          <w:sz w:val="20"/>
        </w:rPr>
        <w:t xml:space="preserve">The Governance and Nominating Committee has responsibility for the director nomination process. </w:t>
      </w:r>
    </w:p>
    <w:p>
      <w:pPr>
        <w:pStyle w:val="TextBody"/>
        <w:spacing w:before="200" w:after="0"/>
        <w:jc w:val="left"/>
        <w:rPr>
          <w:rFonts w:ascii="ARIAL" w:hAnsi="ARIAL"/>
          <w:sz w:val="20"/>
        </w:rPr>
      </w:pPr>
      <w:r>
        <w:rPr>
          <w:rFonts w:ascii="ARIAL" w:hAnsi="ARIAL"/>
          <w:sz w:val="20"/>
        </w:rPr>
        <w:t xml:space="preserve">The Governance and Nominating Committee believes that the minimum qualifications that must be met by any director nominee, including any director nominee who is recommended by stockholders, include (i) a reputation for the highest ethical and moral standards, (ii) good judgment, (iii) a positive record of achievement, (iv) if on other boards, an excellent reputation for preparation, attendance, participation, interest and initiative, (v) business knowledge and experience relevant to the Company, and (vi) a willingness to devote sufficient time to carrying out his or her duties and responsibilities effectively. </w:t>
      </w:r>
    </w:p>
    <w:p>
      <w:pPr>
        <w:pStyle w:val="TextBody"/>
        <w:spacing w:before="200" w:after="0"/>
        <w:jc w:val="left"/>
        <w:rPr>
          <w:rFonts w:ascii="ARIAL" w:hAnsi="ARIAL"/>
          <w:sz w:val="20"/>
        </w:rPr>
      </w:pPr>
      <w:r>
        <w:rPr>
          <w:rFonts w:ascii="ARIAL" w:hAnsi="ARIAL"/>
          <w:sz w:val="20"/>
        </w:rPr>
        <w:t xml:space="preserve">The qualities and skills necessary in a director nominee are governed by the specific needs of the Board at the time the Governance and Nominating Committee determines to nominate a candidate for director. The specific requirements of the Board will be determined by the Governance and Nominating Committee and will be based on, among other things, the Company’s then-existing strategies and business, market and regulatory environments, and the mix of perspectives, experience and competencies then represented by the other Board members. The Governance and Nominating Committee will also take into account the views of the Chief Executive Officer as to areas in which management desires additional advice and counsel. </w:t>
      </w:r>
    </w:p>
    <w:p>
      <w:pPr>
        <w:pStyle w:val="TextBody"/>
        <w:spacing w:before="200" w:after="0"/>
        <w:jc w:val="left"/>
        <w:rPr>
          <w:rFonts w:ascii="ARIAL" w:hAnsi="ARIAL"/>
          <w:sz w:val="20"/>
        </w:rPr>
      </w:pPr>
      <w:r>
        <w:rPr>
          <w:rFonts w:ascii="ARIAL" w:hAnsi="ARIAL"/>
          <w:sz w:val="20"/>
        </w:rPr>
        <w:t xml:space="preserve">When the need to recruit a director arises, the Governance and Nominating Committee will consult the other directors, including the Chief Executive Officer and, when deemed appropriate, utilize fee-paid third-party recruiting firms to identify potential candidates. The candidate evaluation process may include inquiries as to the candidate’s reputation and background, examination of the candidate’s experiences and skills in relation to the Board’s requirements at the time, consideration of the candidate’s independence as measured by the Company’s independence standards, and other considerations as the Governance and Nominating Committee deems appropriate at the time. Prior to formal consideration by the Governance and Nominating Committee, any candidate who passes such screening would be interviewed by the chair of the Governance and Nominating Committee, the Board Chair and the Chief Executive Officer. </w:t>
      </w:r>
    </w:p>
    <w:p>
      <w:pPr>
        <w:pStyle w:val="TextBody"/>
        <w:spacing w:before="200" w:after="0"/>
        <w:jc w:val="left"/>
        <w:rPr>
          <w:rFonts w:ascii="ARIAL" w:hAnsi="ARIAL"/>
          <w:b/>
          <w:i/>
          <w:sz w:val="20"/>
        </w:rPr>
      </w:pPr>
      <w:r>
        <w:rPr>
          <w:rFonts w:ascii="ARIAL" w:hAnsi="ARIAL"/>
          <w:b/>
          <w:i/>
          <w:sz w:val="20"/>
        </w:rPr>
        <w:t xml:space="preserve">What diversity considerations are evaluated in nominating Directors? </w:t>
      </w:r>
    </w:p>
    <w:p>
      <w:pPr>
        <w:pStyle w:val="TextBody"/>
        <w:spacing w:before="200" w:after="0"/>
        <w:jc w:val="left"/>
        <w:rPr>
          <w:rFonts w:ascii="ARIAL" w:hAnsi="ARIAL"/>
          <w:sz w:val="20"/>
        </w:rPr>
      </w:pPr>
      <w:r>
        <w:rPr>
          <w:rFonts w:ascii="ARIAL" w:hAnsi="ARIAL"/>
          <w:sz w:val="20"/>
        </w:rPr>
        <w:t xml:space="preserve">As set forth in the charter of the Governance and Nominating Committee, the nominating criteria require the committee to “determine as necessary the portfolio of skills, experience, perspective and background required for the effective functioning of the Board.” The most robust selection process occurs at the time a new director is being added. The Governance and Nominating Committee takes into account a variety of factors in selecting and nominating individuals to serve on the Board, including: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40"/>
        <w:gridCol w:w="9990"/>
      </w:tblGrid>
      <w:tr>
        <w:trPr/>
        <w:tc>
          <w:tcPr>
            <w:tcW w:w="75"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w:t>
            </w:r>
          </w:p>
        </w:tc>
        <w:tc>
          <w:tcPr>
            <w:tcW w:w="9990" w:type="dxa"/>
            <w:tcBorders/>
            <w:shd w:fill="auto" w:val="clear"/>
            <w:vAlign w:val="center"/>
          </w:tcPr>
          <w:p>
            <w:pPr>
              <w:pStyle w:val="TableContents"/>
              <w:spacing w:before="0" w:after="0"/>
              <w:jc w:val="left"/>
              <w:rPr>
                <w:rFonts w:ascii="ARIAL" w:hAnsi="ARIAL"/>
                <w:sz w:val="20"/>
              </w:rPr>
            </w:pPr>
            <w:r>
              <w:rPr>
                <w:rFonts w:ascii="ARIAL" w:hAnsi="ARIAL"/>
                <w:sz w:val="20"/>
              </w:rPr>
              <w:t xml:space="preserve">The Board’s and the Company’s needs for input and oversight about the strategy, business, regulatory environment, and operations of the Company;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40"/>
        <w:gridCol w:w="9990"/>
      </w:tblGrid>
      <w:tr>
        <w:trPr/>
        <w:tc>
          <w:tcPr>
            <w:tcW w:w="75"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w:t>
            </w:r>
          </w:p>
        </w:tc>
        <w:tc>
          <w:tcPr>
            <w:tcW w:w="9990" w:type="dxa"/>
            <w:tcBorders/>
            <w:shd w:fill="auto" w:val="clear"/>
            <w:vAlign w:val="center"/>
          </w:tcPr>
          <w:p>
            <w:pPr>
              <w:pStyle w:val="TableContents"/>
              <w:spacing w:before="0" w:after="0"/>
              <w:jc w:val="left"/>
              <w:rPr>
                <w:rFonts w:ascii="ARIAL" w:hAnsi="ARIAL"/>
                <w:sz w:val="20"/>
              </w:rPr>
            </w:pPr>
            <w:r>
              <w:rPr>
                <w:rFonts w:ascii="ARIAL" w:hAnsi="ARIAL"/>
                <w:sz w:val="20"/>
              </w:rPr>
              <w:t xml:space="preserve">The management directors’ views as to areas in which additional advice and counsel could be provided by the Board;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40"/>
        <w:gridCol w:w="9990"/>
      </w:tblGrid>
      <w:tr>
        <w:trPr/>
        <w:tc>
          <w:tcPr>
            <w:tcW w:w="75"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w:t>
            </w:r>
          </w:p>
        </w:tc>
        <w:tc>
          <w:tcPr>
            <w:tcW w:w="9990" w:type="dxa"/>
            <w:tcBorders/>
            <w:shd w:fill="auto" w:val="clear"/>
            <w:vAlign w:val="center"/>
          </w:tcPr>
          <w:p>
            <w:pPr>
              <w:pStyle w:val="TableContents"/>
              <w:spacing w:before="0" w:after="0"/>
              <w:jc w:val="left"/>
              <w:rPr>
                <w:rFonts w:ascii="ARIAL" w:hAnsi="ARIAL"/>
                <w:sz w:val="20"/>
              </w:rPr>
            </w:pPr>
            <w:r>
              <w:rPr>
                <w:rFonts w:ascii="ARIAL" w:hAnsi="ARIAL"/>
                <w:sz w:val="20"/>
              </w:rPr>
              <w:t xml:space="preserve">The mix of perspectives, experience and competencies currently represented on the Board, which is primarily directed to the professional acumen of an individual; </w:t>
            </w:r>
          </w:p>
        </w:tc>
      </w:tr>
    </w:tbl>
    <w:p>
      <w:pPr>
        <w:pStyle w:val="TextBody"/>
        <w:spacing w:before="0" w:after="0"/>
        <w:jc w:val="left"/>
        <w:rPr/>
      </w:pPr>
      <w:r>
        <w:rPr/>
        <w:t> </w:t>
      </w:r>
    </w:p>
    <w:tbl>
      <w:tblPr>
        <w:tblW w:w="4090" w:type="dxa"/>
        <w:jc w:val="left"/>
        <w:tblInd w:w="0" w:type="dxa"/>
        <w:tblCellMar>
          <w:top w:w="0" w:type="dxa"/>
          <w:left w:w="0" w:type="dxa"/>
          <w:bottom w:w="0" w:type="dxa"/>
          <w:right w:w="0" w:type="dxa"/>
        </w:tblCellMar>
      </w:tblPr>
      <w:tblGrid>
        <w:gridCol w:w="75"/>
        <w:gridCol w:w="140"/>
        <w:gridCol w:w="3875"/>
      </w:tblGrid>
      <w:tr>
        <w:trPr/>
        <w:tc>
          <w:tcPr>
            <w:tcW w:w="75"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w:t>
            </w:r>
          </w:p>
        </w:tc>
        <w:tc>
          <w:tcPr>
            <w:tcW w:w="3875" w:type="dxa"/>
            <w:tcBorders/>
            <w:shd w:fill="auto" w:val="clear"/>
            <w:vAlign w:val="center"/>
          </w:tcPr>
          <w:p>
            <w:pPr>
              <w:pStyle w:val="TableContents"/>
              <w:spacing w:before="0" w:after="0"/>
              <w:jc w:val="left"/>
              <w:rPr>
                <w:rFonts w:ascii="ARIAL" w:hAnsi="ARIAL"/>
                <w:sz w:val="20"/>
              </w:rPr>
            </w:pPr>
            <w:r>
              <w:rPr>
                <w:rFonts w:ascii="ARIAL" w:hAnsi="ARIAL"/>
                <w:sz w:val="20"/>
              </w:rPr>
              <w:t xml:space="preserve">Gender, racial, ethnic and cultural diversity; </w:t>
            </w:r>
          </w:p>
        </w:tc>
      </w:tr>
    </w:tbl>
    <w:p>
      <w:pPr>
        <w:pStyle w:val="TextBody"/>
        <w:spacing w:before="0" w:after="0"/>
        <w:jc w:val="left"/>
        <w:rPr/>
      </w:pPr>
      <w:r>
        <w:rPr/>
        <w:t> </w:t>
      </w:r>
    </w:p>
    <w:tbl>
      <w:tblPr>
        <w:tblW w:w="5875" w:type="dxa"/>
        <w:jc w:val="left"/>
        <w:tblInd w:w="0" w:type="dxa"/>
        <w:tblCellMar>
          <w:top w:w="0" w:type="dxa"/>
          <w:left w:w="0" w:type="dxa"/>
          <w:bottom w:w="0" w:type="dxa"/>
          <w:right w:w="0" w:type="dxa"/>
        </w:tblCellMar>
      </w:tblPr>
      <w:tblGrid>
        <w:gridCol w:w="75"/>
        <w:gridCol w:w="140"/>
        <w:gridCol w:w="5660"/>
      </w:tblGrid>
      <w:tr>
        <w:trPr/>
        <w:tc>
          <w:tcPr>
            <w:tcW w:w="75"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w:t>
            </w:r>
          </w:p>
        </w:tc>
        <w:tc>
          <w:tcPr>
            <w:tcW w:w="5660" w:type="dxa"/>
            <w:tcBorders/>
            <w:shd w:fill="auto" w:val="clear"/>
            <w:vAlign w:val="center"/>
          </w:tcPr>
          <w:p>
            <w:pPr>
              <w:pStyle w:val="TableContents"/>
              <w:spacing w:before="0" w:after="0"/>
              <w:jc w:val="left"/>
              <w:rPr>
                <w:rFonts w:ascii="ARIAL" w:hAnsi="ARIAL"/>
                <w:sz w:val="20"/>
              </w:rPr>
            </w:pPr>
            <w:r>
              <w:rPr>
                <w:rFonts w:ascii="ARIAL" w:hAnsi="ARIAL"/>
                <w:sz w:val="20"/>
              </w:rPr>
              <w:t xml:space="preserve">The results of the Board’s annual self-assessment process; and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40"/>
        <w:gridCol w:w="9990"/>
      </w:tblGrid>
      <w:tr>
        <w:trPr/>
        <w:tc>
          <w:tcPr>
            <w:tcW w:w="75"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w:t>
            </w:r>
          </w:p>
        </w:tc>
        <w:tc>
          <w:tcPr>
            <w:tcW w:w="9990" w:type="dxa"/>
            <w:tcBorders/>
            <w:shd w:fill="auto" w:val="clear"/>
            <w:vAlign w:val="center"/>
          </w:tcPr>
          <w:p>
            <w:pPr>
              <w:pStyle w:val="TableContents"/>
              <w:spacing w:before="0" w:after="0"/>
              <w:jc w:val="left"/>
              <w:rPr>
                <w:rFonts w:ascii="ARIAL" w:hAnsi="ARIAL"/>
                <w:sz w:val="20"/>
              </w:rPr>
            </w:pPr>
            <w:r>
              <w:rPr>
                <w:rFonts w:ascii="ARIAL" w:hAnsi="ARIAL"/>
                <w:sz w:val="20"/>
              </w:rPr>
              <w:t xml:space="preserve">As to incumbent directors, meeting attendance, participation and contribution, and the director’s current independence status. </w:t>
            </w:r>
          </w:p>
        </w:tc>
      </w:tr>
    </w:tbl>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20 </w:t>
      </w:r>
      <w:r>
        <w:br w:type="page"/>
      </w:r>
    </w:p>
    <w:p>
      <w:pPr>
        <w:pStyle w:val="HorizontalLine"/>
        <w:rPr/>
      </w:pPr>
      <w:r>
        <w:rPr/>
      </w:r>
    </w:p>
    <w:p>
      <w:pPr>
        <w:pStyle w:val="TextBody"/>
        <w:spacing w:before="0" w:after="0"/>
        <w:jc w:val="left"/>
        <w:rPr>
          <w:rFonts w:ascii="ARIAL" w:hAnsi="ARIAL"/>
          <w:sz w:val="20"/>
        </w:rPr>
      </w:pPr>
      <w:r>
        <w:rPr>
          <w:rFonts w:ascii="ARIAL" w:hAnsi="ARIAL"/>
          <w:sz w:val="20"/>
        </w:rPr>
        <w:t xml:space="preserve">The Governance and Nominating Committee seeks candidates with broad backgrounds and experience that will enable them to serve on and contribute to any of the Board’s three standing committees. In addition, every director nominee should demonstrate a strong record of integrity and ethical conduct, an absence of conflicts that might interfere with the exercise of his or her independent judgment, and a willingness and ability to represent all stockholders of the Company. </w:t>
      </w:r>
    </w:p>
    <w:p>
      <w:pPr>
        <w:pStyle w:val="TextBody"/>
        <w:spacing w:before="200" w:after="0"/>
        <w:jc w:val="left"/>
        <w:rPr>
          <w:rFonts w:ascii="ARIAL" w:hAnsi="ARIAL"/>
          <w:sz w:val="20"/>
        </w:rPr>
      </w:pPr>
      <w:r>
        <w:rPr>
          <w:rFonts w:ascii="ARIAL" w:hAnsi="ARIAL"/>
          <w:sz w:val="20"/>
        </w:rPr>
        <w:t xml:space="preserve">The experience and skills of each of the members of the Board is described below under “Members of the Board of Directors.” The Governance and Nominating Committee considers and assesses these contributions and the effectiveness of its nominating criteria in connection with nominating individuals to serve on the Board. </w:t>
      </w:r>
    </w:p>
    <w:p>
      <w:pPr>
        <w:pStyle w:val="TextBody"/>
        <w:spacing w:before="200" w:after="0"/>
        <w:jc w:val="left"/>
        <w:rPr>
          <w:rFonts w:ascii="ARIAL" w:hAnsi="ARIAL"/>
          <w:sz w:val="20"/>
        </w:rPr>
      </w:pPr>
      <w:r>
        <w:rPr>
          <w:rFonts w:ascii="ARIAL" w:hAnsi="ARIAL"/>
          <w:sz w:val="20"/>
        </w:rPr>
        <w:t xml:space="preserve">Five of our 12 director nominees are either female or racially and/or ethnically diverse, including three directors who identify as racially and/or ethnically diverse and two directors who are female. As noted above, the Governance and Nominating Committee takes into account gender, racial, ethnic and cultural diversity considerations when selecting and nominating individuals to serve on our Board. The following charts show the percentage of our directors (all of whom are standing for re-election at this Meeting) who are diverse based on gender and race/ethnicity, respectively. </w:t>
      </w:r>
    </w:p>
    <w:p>
      <w:pPr>
        <w:pStyle w:val="TextBody"/>
        <w:spacing w:before="0" w:after="0"/>
        <w:jc w:val="left"/>
        <w:rPr/>
      </w:pPr>
      <w:r>
        <w:rPr/>
        <w:t> </w:t>
      </w:r>
    </w:p>
    <w:tbl>
      <w:tblPr>
        <w:tblW w:w="3311" w:type="dxa"/>
        <w:jc w:val="left"/>
        <w:tblInd w:w="0" w:type="dxa"/>
        <w:tblCellMar>
          <w:top w:w="0" w:type="dxa"/>
          <w:left w:w="0" w:type="dxa"/>
          <w:bottom w:w="0" w:type="dxa"/>
          <w:right w:w="0" w:type="dxa"/>
        </w:tblCellMar>
      </w:tblPr>
      <w:tblGrid>
        <w:gridCol w:w="38"/>
        <w:gridCol w:w="60"/>
        <w:gridCol w:w="267"/>
        <w:gridCol w:w="60"/>
        <w:gridCol w:w="2400"/>
        <w:gridCol w:w="60"/>
        <w:gridCol w:w="328"/>
        <w:gridCol w:w="60"/>
        <w:gridCol w:w="38"/>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r>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67" w:type="dxa"/>
            <w:tcBorders/>
            <w:shd w:fill="auto" w:val="clear"/>
            <w:vAlign w:val="center"/>
          </w:tcPr>
          <w:p>
            <w:pPr>
              <w:pStyle w:val="TableContents"/>
              <w:spacing w:before="0" w:after="0"/>
              <w:jc w:val="right"/>
              <w:rPr/>
            </w:pPr>
            <w:r>
              <w:rPr/>
              <w:drawing>
                <wp:inline distT="0" distB="0" distL="0" distR="0">
                  <wp:extent cx="131445" cy="15938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131445" cy="159385"/>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24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328" w:type="dxa"/>
            <w:tcBorders/>
            <w:shd w:fill="auto" w:val="clear"/>
            <w:vAlign w:val="center"/>
          </w:tcPr>
          <w:p>
            <w:pPr>
              <w:pStyle w:val="TableContents"/>
              <w:spacing w:before="0" w:after="0"/>
              <w:jc w:val="right"/>
              <w:rPr/>
            </w:pPr>
            <w:r>
              <w:rPr/>
              <w:drawing>
                <wp:inline distT="0" distB="0" distL="0" distR="0">
                  <wp:extent cx="170180" cy="15811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170180" cy="158115"/>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TextBody"/>
        <w:spacing w:before="200" w:after="0"/>
        <w:jc w:val="left"/>
        <w:rPr>
          <w:rFonts w:ascii="ARIAL" w:hAnsi="ARIAL"/>
          <w:b/>
          <w:i/>
          <w:sz w:val="20"/>
        </w:rPr>
      </w:pPr>
      <w:r>
        <w:rPr>
          <w:rFonts w:ascii="ARIAL" w:hAnsi="ARIAL"/>
          <w:b/>
          <w:i/>
          <w:sz w:val="20"/>
        </w:rPr>
        <w:t xml:space="preserve">How can stockholders nominate or recommend individuals to serve on the Company’s Board? </w:t>
      </w:r>
    </w:p>
    <w:p>
      <w:pPr>
        <w:pStyle w:val="TextBody"/>
        <w:spacing w:before="200" w:after="0"/>
        <w:jc w:val="left"/>
        <w:rPr>
          <w:rFonts w:ascii="ARIAL" w:hAnsi="ARIAL"/>
          <w:sz w:val="20"/>
        </w:rPr>
      </w:pPr>
      <w:r>
        <w:rPr>
          <w:rFonts w:ascii="ARIAL" w:hAnsi="ARIAL"/>
          <w:sz w:val="20"/>
        </w:rPr>
        <w:t xml:space="preserve">There are two ways in which stockholders can participate in the nomination process.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40"/>
        <w:gridCol w:w="9990"/>
      </w:tblGrid>
      <w:tr>
        <w:trPr/>
        <w:tc>
          <w:tcPr>
            <w:tcW w:w="75"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w:t>
            </w:r>
          </w:p>
        </w:tc>
        <w:tc>
          <w:tcPr>
            <w:tcW w:w="9990" w:type="dxa"/>
            <w:tcBorders/>
            <w:shd w:fill="auto" w:val="clear"/>
            <w:vAlign w:val="center"/>
          </w:tcPr>
          <w:p>
            <w:pPr>
              <w:pStyle w:val="TableContents"/>
              <w:spacing w:before="0" w:after="0"/>
              <w:jc w:val="left"/>
              <w:rPr>
                <w:rFonts w:ascii="ARIAL" w:hAnsi="ARIAL"/>
                <w:sz w:val="20"/>
              </w:rPr>
            </w:pPr>
            <w:r>
              <w:rPr>
                <w:rFonts w:ascii="ARIAL" w:hAnsi="ARIAL"/>
                <w:sz w:val="20"/>
              </w:rPr>
              <w:t xml:space="preserve">First, the proxy access provisions in our By-laws provide a means for stockholders to nominate directors and have their nominee’s names included in the Company’s proxy statement. These proxy access provisions in the By-laws permit a stockholder, or a group of up to 20 stockholders, owning in the aggregate 3% or more of the Company’s outstanding Common Stock continuously for at least three years, to nominate and have included in the Company’s proxy materials for its next annual meeting of stockholders nominees for election to the Company’s Board of Directors constituting up to the greater of (x) two individuals or (y) 20% of the number of Directors currently serving on the Company’s Board (rounded down to the nearest whole number), provided that the stockholder(s) and the nominee(s) comply with the proxy access procedures described in the By-laws. For the Company’s 2024 Annual Meeting of Stockholders, the Corporate Secretary must receive notice of such proxy access director nomination no earlier than November 1, 2023 and no later than December 1, 2023 (or, if the annual meeting is called for a date that is not within 30 days of May 9, 2024, the notice must be received by the later of the date that is 180 days prior to such annual meeting or the 10th day following the date such annual meeting is first publicly announced or disclosed). Any nominations made pursuant to the proxy access provisions of the By-laws must be in proper written form and must meet the detailed disclosure and other requirements applicable to proxy access nominations set forth in the By-laws. </w:t>
            </w:r>
          </w:p>
        </w:tc>
      </w:tr>
    </w:tbl>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21 </w:t>
      </w:r>
      <w:r>
        <w:br w:type="page"/>
      </w:r>
    </w:p>
    <w:p>
      <w:pPr>
        <w:pStyle w:val="HorizontalLine"/>
        <w:rPr/>
      </w:pPr>
      <w:r>
        <w:rPr/>
      </w:r>
    </w:p>
    <w:tbl>
      <w:tblPr>
        <w:tblW w:w="10205" w:type="dxa"/>
        <w:jc w:val="left"/>
        <w:tblInd w:w="0" w:type="dxa"/>
        <w:tblCellMar>
          <w:top w:w="0" w:type="dxa"/>
          <w:left w:w="0" w:type="dxa"/>
          <w:bottom w:w="0" w:type="dxa"/>
          <w:right w:w="0" w:type="dxa"/>
        </w:tblCellMar>
      </w:tblPr>
      <w:tblGrid>
        <w:gridCol w:w="75"/>
        <w:gridCol w:w="140"/>
        <w:gridCol w:w="9990"/>
      </w:tblGrid>
      <w:tr>
        <w:trPr/>
        <w:tc>
          <w:tcPr>
            <w:tcW w:w="75"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w:t>
            </w:r>
          </w:p>
        </w:tc>
        <w:tc>
          <w:tcPr>
            <w:tcW w:w="9990" w:type="dxa"/>
            <w:tcBorders/>
            <w:shd w:fill="auto" w:val="clear"/>
            <w:vAlign w:val="center"/>
          </w:tcPr>
          <w:p>
            <w:pPr>
              <w:pStyle w:val="TableContents"/>
              <w:spacing w:before="0" w:after="0"/>
              <w:jc w:val="left"/>
              <w:rPr>
                <w:rFonts w:ascii="ARIAL" w:hAnsi="ARIAL"/>
                <w:sz w:val="20"/>
              </w:rPr>
            </w:pPr>
            <w:r>
              <w:rPr>
                <w:rFonts w:ascii="ARIAL" w:hAnsi="ARIAL"/>
                <w:sz w:val="20"/>
              </w:rPr>
              <w:t xml:space="preserve">Second, stockholders may nominate candidates for election to our Board of Directors in accordance with the advance notice provisions set forth in our By-laws, and the Governance and Nominating Committee will consider any such candidates as potential nominees for election to our Board at our next annual meeting. Any director candidate nominated in accordance with the advance notice provisions set forth in our By-laws will be subject to the candidate evaluation process described above under “How are Directors nominated by the Company?” before the Governance and Nominating Committee makes a determination regarding whether or not to recommend such candidate to the Board for inclusion in the Company’s proxy materials. If a stockholder wishes to nominate any individuals to serve as a director in accordance with the advance notice provisions in our By-Laws for the Company’s 2024 Annual Meeting of Stockholders, the Corporate Secretary must receive notice of any such director nomination no earlier than January 15, 2024 and no later than February 14, 2024 (or, if the annual meeting is called for a date that is not within 30 days of May 9, 2024, the notice must be received by the later of the date that is 90 days prior to such annual meeting or the 10th day following the date such annual meeting is first publicly announced or disclosed). In addition, any such director nominations made pursuant to the advance notice provisions of the By-laws must meet the detailed disclosure and other requirements applicable to such director nominations set forth in the By-laws (including information regarding both the stockholder proponent and the nominee). In addition to satisfying the foregoing requirements under our By-laws, to comply with the universal proxy rules, stockholders who intend to solicit proxies in support of director nominees other than our director nominees must provide notice that sets forth the information required by Rule 14a-19 under the Exchange Act no later than March 10, 2024. </w:t>
            </w:r>
          </w:p>
        </w:tc>
      </w:tr>
    </w:tbl>
    <w:p>
      <w:pPr>
        <w:pStyle w:val="TextBody"/>
        <w:spacing w:before="200" w:after="0"/>
        <w:jc w:val="left"/>
        <w:rPr>
          <w:rFonts w:ascii="ARIAL" w:hAnsi="ARIAL"/>
          <w:sz w:val="20"/>
        </w:rPr>
      </w:pPr>
      <w:r>
        <w:rPr>
          <w:rFonts w:ascii="ARIAL" w:hAnsi="ARIAL"/>
          <w:sz w:val="20"/>
        </w:rPr>
        <w:t xml:space="preserve">When evaluating any director recommendations or nominations properly submitted by a stockholder as set forth above, the Governance and Nominating Committee will conduct the same analysis that it conducts with respect to its director nominees or other potential candidates recommended by a Board member, management, a search firm or other source. </w:t>
      </w:r>
    </w:p>
    <w:p>
      <w:pPr>
        <w:pStyle w:val="TextBody"/>
        <w:spacing w:before="200" w:after="0"/>
        <w:jc w:val="left"/>
        <w:rPr>
          <w:rFonts w:ascii="ARIAL" w:hAnsi="ARIAL"/>
          <w:b/>
          <w:i/>
          <w:sz w:val="20"/>
        </w:rPr>
      </w:pPr>
      <w:r>
        <w:rPr>
          <w:rFonts w:ascii="ARIAL" w:hAnsi="ARIAL"/>
          <w:b/>
          <w:i/>
          <w:sz w:val="20"/>
        </w:rPr>
        <w:t xml:space="preserve">How can I submit a stockholder proposal or bring business for the 2024 Annual Meeting of Stockholders? </w:t>
      </w:r>
    </w:p>
    <w:p>
      <w:pPr>
        <w:pStyle w:val="TextBody"/>
        <w:spacing w:before="200" w:after="0"/>
        <w:jc w:val="left"/>
        <w:rPr>
          <w:rFonts w:ascii="ARIAL" w:hAnsi="ARIAL"/>
          <w:sz w:val="20"/>
        </w:rPr>
      </w:pPr>
      <w:r>
        <w:rPr>
          <w:rFonts w:ascii="ARIAL" w:hAnsi="ARIAL"/>
          <w:sz w:val="20"/>
        </w:rPr>
        <w:t xml:space="preserve">If a stockholder seeks to have a proposal included in the Company’s proxy statement for the 2024 Annual Meeting of Stockholders pursuant to Rule 14a-8 under the Exchange Act, the proposal must be received by the Company no later than December 1, 2023 and be submitted in accordance with applicable SEC rules, including Rule 14a-8. Such proposals must be delivered to Community Health Systems, Inc., Attn: Corporate Secretary, 4000 Meridian Boulevard, Franklin, TN 37067. </w:t>
      </w:r>
    </w:p>
    <w:p>
      <w:pPr>
        <w:pStyle w:val="TextBody"/>
        <w:spacing w:before="200" w:after="0"/>
        <w:jc w:val="left"/>
        <w:rPr>
          <w:rFonts w:ascii="ARIAL" w:hAnsi="ARIAL"/>
          <w:sz w:val="20"/>
        </w:rPr>
      </w:pPr>
      <w:r>
        <w:rPr>
          <w:rFonts w:ascii="ARIAL" w:hAnsi="ARIAL"/>
          <w:sz w:val="20"/>
        </w:rPr>
        <w:t xml:space="preserve">If a stockholder seeks to bring business before our annual meeting that is not the subject of a proposal submitted for inclusion in the proxy statement under Rule 14a-8 (excluding director nominations, which are discussed above under “How can stockholders nominate or recommend individuals to serve on the Company’s Board?”), such stockholder must bring such business in compliance with the advance notice procedures described in the By-laws. For the Company’s 2024 Annual Meeting of Stockholders, the Corporate Secretary must receive notice of such business no earlier than January 15, 2024 and no later than February 14, 2024 (or, if the annual meeting is called for a date that is not within 30 days of May 9, 2024, the notice must be received by the later of the date that is 90 days prior to such annual meeting or the 10th day following the date such annual meeting is first publicly announced or disclosed). In addition, any such business to be brought before our annual meeting must be in proper written form and must meet the detailed disclosure and other requirements applicable to such matters set forth in the advance notice provisions of the Company’s By-laws.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22 </w:t>
      </w:r>
      <w:r>
        <w:br w:type="page"/>
      </w:r>
    </w:p>
    <w:p>
      <w:pPr>
        <w:pStyle w:val="HorizontalLine"/>
        <w:rPr/>
      </w:pPr>
      <w:r>
        <w:rPr/>
      </w:r>
    </w:p>
    <w:p>
      <w:pPr>
        <w:pStyle w:val="TextBody"/>
        <w:spacing w:before="0" w:after="0"/>
        <w:jc w:val="left"/>
        <w:rPr>
          <w:rFonts w:ascii="ARIAL" w:hAnsi="ARIAL"/>
          <w:b/>
          <w:sz w:val="20"/>
          <w:u w:val="single"/>
        </w:rPr>
      </w:pPr>
      <w:bookmarkStart w:id="6" w:name="toc360141_4"/>
      <w:bookmarkEnd w:id="6"/>
      <w:r>
        <w:rPr>
          <w:rFonts w:ascii="ARIAL" w:hAnsi="ARIAL"/>
          <w:b/>
          <w:sz w:val="20"/>
          <w:u w:val="single"/>
        </w:rPr>
        <w:t xml:space="preserve">MEMBERS OF THE BOARD OF DIRECTORS </w:t>
      </w:r>
    </w:p>
    <w:p>
      <w:pPr>
        <w:pStyle w:val="TextBody"/>
        <w:spacing w:before="240" w:after="0"/>
        <w:jc w:val="left"/>
        <w:rPr>
          <w:rFonts w:ascii="ARIAL" w:hAnsi="ARIAL"/>
          <w:sz w:val="20"/>
        </w:rPr>
      </w:pPr>
      <w:r>
        <w:rPr>
          <w:rFonts w:ascii="ARIAL" w:hAnsi="ARIAL"/>
          <w:sz w:val="20"/>
        </w:rPr>
        <w:t>Each of the Company’s director nominees are nominated for election to a term of one (1) year</w:t>
      </w:r>
      <w:r>
        <w:rPr>
          <w:rFonts w:ascii="ARIAL" w:hAnsi="ARIAL"/>
          <w:b/>
          <w:sz w:val="20"/>
        </w:rPr>
        <w:t xml:space="preserve">. </w:t>
      </w:r>
      <w:r>
        <w:rPr>
          <w:rFonts w:ascii="ARIAL" w:hAnsi="ARIAL"/>
          <w:sz w:val="20"/>
        </w:rPr>
        <w:t xml:space="preserve">Upon the recommendation of the Governance and Nominating Committee, the twelve (12) persons listed in the table below are nominated for election at the Meeting, each to serve as a director for a term of one (1) year and until his or her successor is elected and qualified. </w:t>
      </w:r>
    </w:p>
    <w:p>
      <w:pPr>
        <w:pStyle w:val="TextBody"/>
        <w:spacing w:before="0" w:after="0"/>
        <w:jc w:val="left"/>
        <w:rPr/>
      </w:pPr>
      <w:r>
        <w:rPr/>
        <w:t> </w:t>
      </w:r>
    </w:p>
    <w:tbl>
      <w:tblPr>
        <w:tblW w:w="6330" w:type="dxa"/>
        <w:jc w:val="left"/>
        <w:tblInd w:w="0" w:type="dxa"/>
        <w:tblCellMar>
          <w:top w:w="0" w:type="dxa"/>
          <w:left w:w="0" w:type="dxa"/>
          <w:bottom w:w="0" w:type="dxa"/>
          <w:right w:w="0" w:type="dxa"/>
        </w:tblCellMar>
      </w:tblPr>
      <w:tblGrid>
        <w:gridCol w:w="2615"/>
        <w:gridCol w:w="60"/>
        <w:gridCol w:w="425"/>
        <w:gridCol w:w="60"/>
        <w:gridCol w:w="3170"/>
      </w:tblGrid>
      <w:tr>
        <w:trPr/>
        <w:tc>
          <w:tcPr>
            <w:tcW w:w="26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170" w:type="dxa"/>
            <w:tcBorders/>
            <w:shd w:fill="auto" w:val="clear"/>
            <w:vAlign w:val="center"/>
          </w:tcPr>
          <w:p>
            <w:pPr>
              <w:pStyle w:val="TableContents"/>
              <w:spacing w:before="0" w:after="283"/>
              <w:rPr>
                <w:sz w:val="4"/>
                <w:szCs w:val="4"/>
              </w:rPr>
            </w:pPr>
            <w:r>
              <w:rPr>
                <w:sz w:val="4"/>
                <w:szCs w:val="4"/>
              </w:rPr>
            </w:r>
          </w:p>
        </w:tc>
      </w:tr>
      <w:tr>
        <w:trPr/>
        <w:tc>
          <w:tcPr>
            <w:tcW w:w="2615" w:type="dxa"/>
            <w:tcBorders>
              <w:bottom w:val="single" w:sz="2" w:space="0" w:color="000000"/>
            </w:tcBorders>
            <w:shd w:fill="auto" w:val="clear"/>
            <w:tcMar>
              <w:bottom w:w="28" w:type="dxa"/>
            </w:tcMar>
            <w:vAlign w:val="center"/>
          </w:tcPr>
          <w:p>
            <w:pPr>
              <w:pStyle w:val="TableContents"/>
              <w:spacing w:before="0" w:after="20"/>
              <w:rPr>
                <w:rFonts w:ascii="ARIAL" w:hAnsi="ARIAL"/>
                <w:b/>
                <w:sz w:val="20"/>
              </w:rPr>
            </w:pPr>
            <w:r>
              <w:rPr>
                <w:rFonts w:ascii="ARIAL" w:hAnsi="ARIAL"/>
                <w:b/>
                <w:sz w:val="20"/>
              </w:rPr>
              <w:t>Name</w:t>
            </w:r>
          </w:p>
        </w:tc>
        <w:tc>
          <w:tcPr>
            <w:tcW w:w="60" w:type="dxa"/>
            <w:tcBorders/>
            <w:shd w:fill="auto" w:val="clear"/>
            <w:vAlign w:val="center"/>
          </w:tcPr>
          <w:p>
            <w:pPr>
              <w:pStyle w:val="TableContents"/>
              <w:spacing w:before="0" w:after="283"/>
              <w:rPr/>
            </w:pPr>
            <w:r>
              <w:rPr/>
              <w:t> </w:t>
            </w:r>
          </w:p>
        </w:tc>
        <w:tc>
          <w:tcPr>
            <w:tcW w:w="425" w:type="dxa"/>
            <w:tcBorders>
              <w:bottom w:val="single" w:sz="2" w:space="0" w:color="000000"/>
            </w:tcBorders>
            <w:shd w:fill="auto" w:val="clear"/>
            <w:tcMar>
              <w:bottom w:w="28" w:type="dxa"/>
            </w:tcMar>
            <w:vAlign w:val="center"/>
          </w:tcPr>
          <w:p>
            <w:pPr>
              <w:pStyle w:val="TableContents"/>
              <w:spacing w:before="0" w:after="283"/>
              <w:rPr>
                <w:b/>
              </w:rPr>
            </w:pPr>
            <w:r>
              <w:rPr>
                <w:b/>
              </w:rPr>
              <w:t>Age</w:t>
            </w:r>
          </w:p>
        </w:tc>
        <w:tc>
          <w:tcPr>
            <w:tcW w:w="60" w:type="dxa"/>
            <w:tcBorders/>
            <w:shd w:fill="auto" w:val="clear"/>
            <w:vAlign w:val="center"/>
          </w:tcPr>
          <w:p>
            <w:pPr>
              <w:pStyle w:val="TableContents"/>
              <w:spacing w:before="0" w:after="283"/>
              <w:rPr/>
            </w:pPr>
            <w:r>
              <w:rPr/>
              <w:t> </w:t>
            </w:r>
          </w:p>
        </w:tc>
        <w:tc>
          <w:tcPr>
            <w:tcW w:w="3170" w:type="dxa"/>
            <w:tcBorders>
              <w:bottom w:val="single" w:sz="2" w:space="0" w:color="000000"/>
            </w:tcBorders>
            <w:shd w:fill="auto" w:val="clear"/>
            <w:tcMar>
              <w:bottom w:w="28" w:type="dxa"/>
            </w:tcMar>
            <w:vAlign w:val="center"/>
          </w:tcPr>
          <w:p>
            <w:pPr>
              <w:pStyle w:val="TableContents"/>
              <w:spacing w:before="0" w:after="20"/>
              <w:jc w:val="center"/>
              <w:rPr>
                <w:rFonts w:ascii="ARIAL" w:hAnsi="ARIAL"/>
                <w:b/>
                <w:sz w:val="20"/>
              </w:rPr>
            </w:pPr>
            <w:r>
              <w:rPr>
                <w:rFonts w:ascii="ARIAL" w:hAnsi="ARIAL"/>
                <w:b/>
                <w:sz w:val="20"/>
              </w:rPr>
              <w:t>Position</w:t>
            </w:r>
          </w:p>
        </w:tc>
      </w:tr>
      <w:tr>
        <w:trPr/>
        <w:tc>
          <w:tcPr>
            <w:tcW w:w="2615" w:type="dxa"/>
            <w:tcBorders/>
            <w:shd w:fill="CCEEFF" w:val="clear"/>
            <w:vAlign w:val="center"/>
          </w:tcPr>
          <w:p>
            <w:pPr>
              <w:pStyle w:val="TableContents"/>
              <w:spacing w:lineRule="atLeast" w:line="280" w:before="0" w:after="0"/>
              <w:rPr>
                <w:rFonts w:ascii="ARIAL" w:hAnsi="ARIAL"/>
                <w:sz w:val="19"/>
              </w:rPr>
            </w:pPr>
            <w:r>
              <w:rPr>
                <w:rFonts w:ascii="ARIAL" w:hAnsi="ARIAL"/>
                <w:sz w:val="19"/>
              </w:rPr>
              <w:t>Susan W. Brooks</w:t>
            </w:r>
          </w:p>
        </w:tc>
        <w:tc>
          <w:tcPr>
            <w:tcW w:w="60" w:type="dxa"/>
            <w:tcBorders/>
            <w:shd w:fill="CCEEFF" w:val="clear"/>
            <w:vAlign w:val="center"/>
          </w:tcPr>
          <w:p>
            <w:pPr>
              <w:pStyle w:val="TableContents"/>
              <w:spacing w:before="0" w:after="283"/>
              <w:rPr/>
            </w:pPr>
            <w:r>
              <w:rPr/>
              <w:t> </w:t>
            </w:r>
          </w:p>
        </w:tc>
        <w:tc>
          <w:tcPr>
            <w:tcW w:w="425" w:type="dxa"/>
            <w:tcBorders/>
            <w:shd w:fill="CCEEFF" w:val="clear"/>
            <w:vAlign w:val="center"/>
          </w:tcPr>
          <w:p>
            <w:pPr>
              <w:pStyle w:val="TableContents"/>
              <w:spacing w:lineRule="atLeast" w:line="280" w:before="0" w:after="0"/>
              <w:rPr>
                <w:rFonts w:ascii="ARIAL" w:hAnsi="ARIAL"/>
                <w:sz w:val="19"/>
              </w:rPr>
            </w:pPr>
            <w:r>
              <w:rPr>
                <w:rFonts w:ascii="ARIAL" w:hAnsi="ARIAL"/>
                <w:sz w:val="19"/>
              </w:rPr>
              <w:t>62</w:t>
            </w:r>
          </w:p>
        </w:tc>
        <w:tc>
          <w:tcPr>
            <w:tcW w:w="60" w:type="dxa"/>
            <w:tcBorders/>
            <w:shd w:fill="CCEEFF" w:val="clear"/>
            <w:vAlign w:val="center"/>
          </w:tcPr>
          <w:p>
            <w:pPr>
              <w:pStyle w:val="TableContents"/>
              <w:spacing w:before="0" w:after="283"/>
              <w:rPr/>
            </w:pPr>
            <w:r>
              <w:rPr/>
              <w:t> </w:t>
            </w:r>
          </w:p>
        </w:tc>
        <w:tc>
          <w:tcPr>
            <w:tcW w:w="3170" w:type="dxa"/>
            <w:tcBorders/>
            <w:shd w:fill="CCEEFF" w:val="clear"/>
            <w:vAlign w:val="center"/>
          </w:tcPr>
          <w:p>
            <w:pPr>
              <w:pStyle w:val="TableContents"/>
              <w:spacing w:lineRule="atLeast" w:line="280" w:before="0" w:after="0"/>
              <w:rPr>
                <w:rFonts w:ascii="ARIAL" w:hAnsi="ARIAL"/>
                <w:sz w:val="19"/>
              </w:rPr>
            </w:pPr>
            <w:r>
              <w:rPr>
                <w:rFonts w:ascii="ARIAL" w:hAnsi="ARIAL"/>
                <w:sz w:val="19"/>
              </w:rPr>
              <w:t>Director</w:t>
            </w:r>
          </w:p>
        </w:tc>
      </w:tr>
      <w:tr>
        <w:trPr/>
        <w:tc>
          <w:tcPr>
            <w:tcW w:w="2615" w:type="dxa"/>
            <w:tcBorders/>
            <w:shd w:fill="auto" w:val="clear"/>
            <w:vAlign w:val="center"/>
          </w:tcPr>
          <w:p>
            <w:pPr>
              <w:pStyle w:val="TableContents"/>
              <w:spacing w:lineRule="atLeast" w:line="280" w:before="0" w:after="0"/>
              <w:rPr>
                <w:rFonts w:ascii="ARIAL" w:hAnsi="ARIAL"/>
                <w:sz w:val="19"/>
              </w:rPr>
            </w:pPr>
            <w:r>
              <w:rPr>
                <w:rFonts w:ascii="ARIAL" w:hAnsi="ARIAL"/>
                <w:sz w:val="19"/>
              </w:rPr>
              <w:t>John A. Clerico</w:t>
            </w:r>
          </w:p>
        </w:tc>
        <w:tc>
          <w:tcPr>
            <w:tcW w:w="60"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lineRule="atLeast" w:line="280" w:before="0" w:after="0"/>
              <w:rPr>
                <w:rFonts w:ascii="ARIAL" w:hAnsi="ARIAL"/>
                <w:sz w:val="19"/>
              </w:rPr>
            </w:pPr>
            <w:r>
              <w:rPr>
                <w:rFonts w:ascii="ARIAL" w:hAnsi="ARIAL"/>
                <w:sz w:val="19"/>
              </w:rPr>
              <w:t>81</w:t>
            </w:r>
          </w:p>
        </w:tc>
        <w:tc>
          <w:tcPr>
            <w:tcW w:w="60" w:type="dxa"/>
            <w:tcBorders/>
            <w:shd w:fill="auto" w:val="clear"/>
            <w:vAlign w:val="center"/>
          </w:tcPr>
          <w:p>
            <w:pPr>
              <w:pStyle w:val="TableContents"/>
              <w:spacing w:before="0" w:after="283"/>
              <w:rPr/>
            </w:pPr>
            <w:r>
              <w:rPr/>
              <w:t> </w:t>
            </w:r>
          </w:p>
        </w:tc>
        <w:tc>
          <w:tcPr>
            <w:tcW w:w="3170" w:type="dxa"/>
            <w:tcBorders/>
            <w:shd w:fill="auto" w:val="clear"/>
            <w:vAlign w:val="center"/>
          </w:tcPr>
          <w:p>
            <w:pPr>
              <w:pStyle w:val="TableContents"/>
              <w:spacing w:lineRule="atLeast" w:line="280" w:before="0" w:after="0"/>
              <w:rPr>
                <w:rFonts w:ascii="ARIAL" w:hAnsi="ARIAL"/>
                <w:sz w:val="19"/>
              </w:rPr>
            </w:pPr>
            <w:r>
              <w:rPr>
                <w:rFonts w:ascii="ARIAL" w:hAnsi="ARIAL"/>
                <w:sz w:val="19"/>
              </w:rPr>
              <w:t>Director</w:t>
            </w:r>
          </w:p>
        </w:tc>
      </w:tr>
      <w:tr>
        <w:trPr/>
        <w:tc>
          <w:tcPr>
            <w:tcW w:w="2615" w:type="dxa"/>
            <w:tcBorders/>
            <w:shd w:fill="CCEEFF" w:val="clear"/>
            <w:vAlign w:val="center"/>
          </w:tcPr>
          <w:p>
            <w:pPr>
              <w:pStyle w:val="TableContents"/>
              <w:spacing w:lineRule="atLeast" w:line="280" w:before="0" w:after="0"/>
              <w:rPr>
                <w:rFonts w:ascii="ARIAL" w:hAnsi="ARIAL"/>
                <w:sz w:val="19"/>
              </w:rPr>
            </w:pPr>
            <w:r>
              <w:rPr>
                <w:rFonts w:ascii="ARIAL" w:hAnsi="ARIAL"/>
                <w:sz w:val="19"/>
              </w:rPr>
              <w:t>Michael Dinkins</w:t>
            </w:r>
          </w:p>
        </w:tc>
        <w:tc>
          <w:tcPr>
            <w:tcW w:w="60" w:type="dxa"/>
            <w:tcBorders/>
            <w:shd w:fill="CCEEFF" w:val="clear"/>
            <w:vAlign w:val="center"/>
          </w:tcPr>
          <w:p>
            <w:pPr>
              <w:pStyle w:val="TableContents"/>
              <w:spacing w:before="0" w:after="283"/>
              <w:rPr/>
            </w:pPr>
            <w:r>
              <w:rPr/>
              <w:t> </w:t>
            </w:r>
          </w:p>
        </w:tc>
        <w:tc>
          <w:tcPr>
            <w:tcW w:w="425" w:type="dxa"/>
            <w:tcBorders/>
            <w:shd w:fill="CCEEFF" w:val="clear"/>
            <w:vAlign w:val="center"/>
          </w:tcPr>
          <w:p>
            <w:pPr>
              <w:pStyle w:val="TableContents"/>
              <w:spacing w:lineRule="atLeast" w:line="280" w:before="0" w:after="0"/>
              <w:rPr>
                <w:rFonts w:ascii="ARIAL" w:hAnsi="ARIAL"/>
                <w:sz w:val="19"/>
              </w:rPr>
            </w:pPr>
            <w:r>
              <w:rPr>
                <w:rFonts w:ascii="ARIAL" w:hAnsi="ARIAL"/>
                <w:sz w:val="19"/>
              </w:rPr>
              <w:t>69</w:t>
            </w:r>
          </w:p>
        </w:tc>
        <w:tc>
          <w:tcPr>
            <w:tcW w:w="60" w:type="dxa"/>
            <w:tcBorders/>
            <w:shd w:fill="CCEEFF" w:val="clear"/>
            <w:vAlign w:val="center"/>
          </w:tcPr>
          <w:p>
            <w:pPr>
              <w:pStyle w:val="TableContents"/>
              <w:spacing w:before="0" w:after="283"/>
              <w:rPr/>
            </w:pPr>
            <w:r>
              <w:rPr/>
              <w:t> </w:t>
            </w:r>
          </w:p>
        </w:tc>
        <w:tc>
          <w:tcPr>
            <w:tcW w:w="3170" w:type="dxa"/>
            <w:tcBorders/>
            <w:shd w:fill="CCEEFF" w:val="clear"/>
            <w:vAlign w:val="center"/>
          </w:tcPr>
          <w:p>
            <w:pPr>
              <w:pStyle w:val="TableContents"/>
              <w:spacing w:lineRule="atLeast" w:line="280" w:before="0" w:after="0"/>
              <w:rPr>
                <w:rFonts w:ascii="ARIAL" w:hAnsi="ARIAL"/>
                <w:sz w:val="19"/>
              </w:rPr>
            </w:pPr>
            <w:r>
              <w:rPr>
                <w:rFonts w:ascii="ARIAL" w:hAnsi="ARIAL"/>
                <w:sz w:val="19"/>
              </w:rPr>
              <w:t>Director</w:t>
            </w:r>
          </w:p>
        </w:tc>
      </w:tr>
      <w:tr>
        <w:trPr/>
        <w:tc>
          <w:tcPr>
            <w:tcW w:w="2615" w:type="dxa"/>
            <w:tcBorders/>
            <w:shd w:fill="auto" w:val="clear"/>
            <w:vAlign w:val="center"/>
          </w:tcPr>
          <w:p>
            <w:pPr>
              <w:pStyle w:val="TableContents"/>
              <w:spacing w:lineRule="atLeast" w:line="280" w:before="0" w:after="0"/>
              <w:rPr>
                <w:rFonts w:ascii="ARIAL" w:hAnsi="ARIAL"/>
                <w:sz w:val="19"/>
              </w:rPr>
            </w:pPr>
            <w:r>
              <w:rPr>
                <w:rFonts w:ascii="ARIAL" w:hAnsi="ARIAL"/>
                <w:sz w:val="19"/>
              </w:rPr>
              <w:t>James S. Ely III</w:t>
            </w:r>
          </w:p>
        </w:tc>
        <w:tc>
          <w:tcPr>
            <w:tcW w:w="60"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lineRule="atLeast" w:line="280" w:before="0" w:after="0"/>
              <w:rPr>
                <w:rFonts w:ascii="ARIAL" w:hAnsi="ARIAL"/>
                <w:sz w:val="19"/>
              </w:rPr>
            </w:pPr>
            <w:r>
              <w:rPr>
                <w:rFonts w:ascii="ARIAL" w:hAnsi="ARIAL"/>
                <w:sz w:val="19"/>
              </w:rPr>
              <w:t>65</w:t>
            </w:r>
          </w:p>
        </w:tc>
        <w:tc>
          <w:tcPr>
            <w:tcW w:w="60" w:type="dxa"/>
            <w:tcBorders/>
            <w:shd w:fill="auto" w:val="clear"/>
            <w:vAlign w:val="center"/>
          </w:tcPr>
          <w:p>
            <w:pPr>
              <w:pStyle w:val="TableContents"/>
              <w:spacing w:before="0" w:after="283"/>
              <w:rPr/>
            </w:pPr>
            <w:r>
              <w:rPr/>
              <w:t> </w:t>
            </w:r>
          </w:p>
        </w:tc>
        <w:tc>
          <w:tcPr>
            <w:tcW w:w="3170" w:type="dxa"/>
            <w:tcBorders/>
            <w:shd w:fill="auto" w:val="clear"/>
            <w:vAlign w:val="center"/>
          </w:tcPr>
          <w:p>
            <w:pPr>
              <w:pStyle w:val="TableContents"/>
              <w:spacing w:lineRule="atLeast" w:line="280" w:before="0" w:after="0"/>
              <w:rPr>
                <w:rFonts w:ascii="ARIAL" w:hAnsi="ARIAL"/>
                <w:sz w:val="19"/>
              </w:rPr>
            </w:pPr>
            <w:r>
              <w:rPr>
                <w:rFonts w:ascii="ARIAL" w:hAnsi="ARIAL"/>
                <w:sz w:val="19"/>
              </w:rPr>
              <w:t>Director</w:t>
            </w:r>
          </w:p>
        </w:tc>
      </w:tr>
      <w:tr>
        <w:trPr/>
        <w:tc>
          <w:tcPr>
            <w:tcW w:w="2615" w:type="dxa"/>
            <w:tcBorders/>
            <w:shd w:fill="CCEEFF" w:val="clear"/>
            <w:vAlign w:val="center"/>
          </w:tcPr>
          <w:p>
            <w:pPr>
              <w:pStyle w:val="TableContents"/>
              <w:spacing w:lineRule="atLeast" w:line="280" w:before="0" w:after="0"/>
              <w:rPr>
                <w:rFonts w:ascii="ARIAL" w:hAnsi="ARIAL"/>
                <w:sz w:val="19"/>
              </w:rPr>
            </w:pPr>
            <w:r>
              <w:rPr>
                <w:rFonts w:ascii="ARIAL" w:hAnsi="ARIAL"/>
                <w:sz w:val="19"/>
              </w:rPr>
              <w:t>John A. Fry</w:t>
            </w:r>
          </w:p>
        </w:tc>
        <w:tc>
          <w:tcPr>
            <w:tcW w:w="60" w:type="dxa"/>
            <w:tcBorders/>
            <w:shd w:fill="CCEEFF" w:val="clear"/>
            <w:vAlign w:val="center"/>
          </w:tcPr>
          <w:p>
            <w:pPr>
              <w:pStyle w:val="TableContents"/>
              <w:spacing w:before="0" w:after="283"/>
              <w:rPr/>
            </w:pPr>
            <w:r>
              <w:rPr/>
              <w:t> </w:t>
            </w:r>
          </w:p>
        </w:tc>
        <w:tc>
          <w:tcPr>
            <w:tcW w:w="425" w:type="dxa"/>
            <w:tcBorders/>
            <w:shd w:fill="CCEEFF" w:val="clear"/>
            <w:vAlign w:val="center"/>
          </w:tcPr>
          <w:p>
            <w:pPr>
              <w:pStyle w:val="TableContents"/>
              <w:spacing w:lineRule="atLeast" w:line="280" w:before="0" w:after="0"/>
              <w:rPr>
                <w:rFonts w:ascii="ARIAL" w:hAnsi="ARIAL"/>
                <w:sz w:val="19"/>
              </w:rPr>
            </w:pPr>
            <w:r>
              <w:rPr>
                <w:rFonts w:ascii="ARIAL" w:hAnsi="ARIAL"/>
                <w:sz w:val="19"/>
              </w:rPr>
              <w:t>62</w:t>
            </w:r>
          </w:p>
        </w:tc>
        <w:tc>
          <w:tcPr>
            <w:tcW w:w="60" w:type="dxa"/>
            <w:tcBorders/>
            <w:shd w:fill="CCEEFF" w:val="clear"/>
            <w:vAlign w:val="center"/>
          </w:tcPr>
          <w:p>
            <w:pPr>
              <w:pStyle w:val="TableContents"/>
              <w:spacing w:before="0" w:after="283"/>
              <w:rPr/>
            </w:pPr>
            <w:r>
              <w:rPr/>
              <w:t> </w:t>
            </w:r>
          </w:p>
        </w:tc>
        <w:tc>
          <w:tcPr>
            <w:tcW w:w="3170" w:type="dxa"/>
            <w:tcBorders/>
            <w:shd w:fill="CCEEFF" w:val="clear"/>
            <w:vAlign w:val="center"/>
          </w:tcPr>
          <w:p>
            <w:pPr>
              <w:pStyle w:val="TableContents"/>
              <w:spacing w:lineRule="atLeast" w:line="280" w:before="0" w:after="0"/>
              <w:rPr>
                <w:rFonts w:ascii="ARIAL" w:hAnsi="ARIAL"/>
                <w:sz w:val="19"/>
              </w:rPr>
            </w:pPr>
            <w:r>
              <w:rPr>
                <w:rFonts w:ascii="ARIAL" w:hAnsi="ARIAL"/>
                <w:sz w:val="19"/>
              </w:rPr>
              <w:t>Director</w:t>
            </w:r>
          </w:p>
        </w:tc>
      </w:tr>
      <w:tr>
        <w:trPr/>
        <w:tc>
          <w:tcPr>
            <w:tcW w:w="2615" w:type="dxa"/>
            <w:tcBorders/>
            <w:shd w:fill="auto" w:val="clear"/>
            <w:vAlign w:val="center"/>
          </w:tcPr>
          <w:p>
            <w:pPr>
              <w:pStyle w:val="TableContents"/>
              <w:spacing w:lineRule="atLeast" w:line="280" w:before="0" w:after="0"/>
              <w:rPr>
                <w:rFonts w:ascii="ARIAL" w:hAnsi="ARIAL"/>
                <w:sz w:val="19"/>
              </w:rPr>
            </w:pPr>
            <w:r>
              <w:rPr>
                <w:rFonts w:ascii="ARIAL" w:hAnsi="ARIAL"/>
                <w:sz w:val="19"/>
              </w:rPr>
              <w:t>Joseph A. Hastings, D.M.D.</w:t>
            </w:r>
          </w:p>
        </w:tc>
        <w:tc>
          <w:tcPr>
            <w:tcW w:w="60"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lineRule="atLeast" w:line="280" w:before="0" w:after="0"/>
              <w:rPr>
                <w:rFonts w:ascii="ARIAL" w:hAnsi="ARIAL"/>
                <w:sz w:val="19"/>
              </w:rPr>
            </w:pPr>
            <w:r>
              <w:rPr>
                <w:rFonts w:ascii="ARIAL" w:hAnsi="ARIAL"/>
                <w:sz w:val="19"/>
              </w:rPr>
              <w:t>68</w:t>
            </w:r>
          </w:p>
        </w:tc>
        <w:tc>
          <w:tcPr>
            <w:tcW w:w="60" w:type="dxa"/>
            <w:tcBorders/>
            <w:shd w:fill="auto" w:val="clear"/>
            <w:vAlign w:val="center"/>
          </w:tcPr>
          <w:p>
            <w:pPr>
              <w:pStyle w:val="TableContents"/>
              <w:spacing w:before="0" w:after="283"/>
              <w:rPr/>
            </w:pPr>
            <w:r>
              <w:rPr/>
              <w:t> </w:t>
            </w:r>
          </w:p>
        </w:tc>
        <w:tc>
          <w:tcPr>
            <w:tcW w:w="3170" w:type="dxa"/>
            <w:tcBorders/>
            <w:shd w:fill="auto" w:val="clear"/>
            <w:vAlign w:val="center"/>
          </w:tcPr>
          <w:p>
            <w:pPr>
              <w:pStyle w:val="TableContents"/>
              <w:spacing w:lineRule="atLeast" w:line="280" w:before="0" w:after="0"/>
              <w:rPr>
                <w:rFonts w:ascii="ARIAL" w:hAnsi="ARIAL"/>
                <w:sz w:val="19"/>
              </w:rPr>
            </w:pPr>
            <w:r>
              <w:rPr>
                <w:rFonts w:ascii="ARIAL" w:hAnsi="ARIAL"/>
                <w:sz w:val="19"/>
              </w:rPr>
              <w:t>Director</w:t>
            </w:r>
          </w:p>
        </w:tc>
      </w:tr>
      <w:tr>
        <w:trPr/>
        <w:tc>
          <w:tcPr>
            <w:tcW w:w="2615" w:type="dxa"/>
            <w:tcBorders/>
            <w:shd w:fill="CCEEFF" w:val="clear"/>
            <w:vAlign w:val="center"/>
          </w:tcPr>
          <w:p>
            <w:pPr>
              <w:pStyle w:val="TableContents"/>
              <w:spacing w:lineRule="atLeast" w:line="280" w:before="0" w:after="0"/>
              <w:rPr>
                <w:rFonts w:ascii="ARIAL" w:hAnsi="ARIAL"/>
                <w:sz w:val="19"/>
              </w:rPr>
            </w:pPr>
            <w:r>
              <w:rPr>
                <w:rFonts w:ascii="ARIAL" w:hAnsi="ARIAL"/>
                <w:sz w:val="19"/>
              </w:rPr>
              <w:t>Tim L. Hingtgen</w:t>
            </w:r>
          </w:p>
        </w:tc>
        <w:tc>
          <w:tcPr>
            <w:tcW w:w="60" w:type="dxa"/>
            <w:tcBorders/>
            <w:shd w:fill="CCEEFF" w:val="clear"/>
            <w:vAlign w:val="center"/>
          </w:tcPr>
          <w:p>
            <w:pPr>
              <w:pStyle w:val="TableContents"/>
              <w:spacing w:before="0" w:after="283"/>
              <w:rPr/>
            </w:pPr>
            <w:r>
              <w:rPr/>
              <w:t> </w:t>
            </w:r>
          </w:p>
        </w:tc>
        <w:tc>
          <w:tcPr>
            <w:tcW w:w="425" w:type="dxa"/>
            <w:tcBorders/>
            <w:shd w:fill="CCEEFF" w:val="clear"/>
            <w:vAlign w:val="center"/>
          </w:tcPr>
          <w:p>
            <w:pPr>
              <w:pStyle w:val="TableContents"/>
              <w:spacing w:lineRule="atLeast" w:line="280" w:before="0" w:after="0"/>
              <w:rPr>
                <w:rFonts w:ascii="ARIAL" w:hAnsi="ARIAL"/>
                <w:sz w:val="19"/>
              </w:rPr>
            </w:pPr>
            <w:r>
              <w:rPr>
                <w:rFonts w:ascii="ARIAL" w:hAnsi="ARIAL"/>
                <w:sz w:val="19"/>
              </w:rPr>
              <w:t>55</w:t>
            </w:r>
          </w:p>
        </w:tc>
        <w:tc>
          <w:tcPr>
            <w:tcW w:w="60" w:type="dxa"/>
            <w:tcBorders/>
            <w:shd w:fill="CCEEFF" w:val="clear"/>
            <w:vAlign w:val="center"/>
          </w:tcPr>
          <w:p>
            <w:pPr>
              <w:pStyle w:val="TableContents"/>
              <w:spacing w:before="0" w:after="283"/>
              <w:rPr/>
            </w:pPr>
            <w:r>
              <w:rPr/>
              <w:t> </w:t>
            </w:r>
          </w:p>
        </w:tc>
        <w:tc>
          <w:tcPr>
            <w:tcW w:w="3170" w:type="dxa"/>
            <w:tcBorders/>
            <w:shd w:fill="CCEEFF" w:val="clear"/>
            <w:vAlign w:val="center"/>
          </w:tcPr>
          <w:p>
            <w:pPr>
              <w:pStyle w:val="TableContents"/>
              <w:spacing w:lineRule="atLeast" w:line="280" w:before="0" w:after="0"/>
              <w:rPr>
                <w:rFonts w:ascii="ARIAL" w:hAnsi="ARIAL"/>
                <w:sz w:val="19"/>
              </w:rPr>
            </w:pPr>
            <w:r>
              <w:rPr>
                <w:rFonts w:ascii="ARIAL" w:hAnsi="ARIAL"/>
                <w:sz w:val="19"/>
              </w:rPr>
              <w:t>Chief Executive Officer and Director</w:t>
            </w:r>
          </w:p>
        </w:tc>
      </w:tr>
      <w:tr>
        <w:trPr/>
        <w:tc>
          <w:tcPr>
            <w:tcW w:w="2615" w:type="dxa"/>
            <w:tcBorders/>
            <w:shd w:fill="auto" w:val="clear"/>
            <w:vAlign w:val="center"/>
          </w:tcPr>
          <w:p>
            <w:pPr>
              <w:pStyle w:val="TableContents"/>
              <w:spacing w:lineRule="atLeast" w:line="280" w:before="0" w:after="0"/>
              <w:rPr>
                <w:rFonts w:ascii="ARIAL" w:hAnsi="ARIAL"/>
                <w:sz w:val="19"/>
              </w:rPr>
            </w:pPr>
            <w:r>
              <w:rPr>
                <w:rFonts w:ascii="ARIAL" w:hAnsi="ARIAL"/>
                <w:sz w:val="19"/>
              </w:rPr>
              <w:t>Elizabeth T. Hirsch</w:t>
            </w:r>
          </w:p>
        </w:tc>
        <w:tc>
          <w:tcPr>
            <w:tcW w:w="60"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lineRule="atLeast" w:line="280" w:before="0" w:after="0"/>
              <w:rPr>
                <w:rFonts w:ascii="ARIAL" w:hAnsi="ARIAL"/>
                <w:sz w:val="19"/>
              </w:rPr>
            </w:pPr>
            <w:r>
              <w:rPr>
                <w:rFonts w:ascii="ARIAL" w:hAnsi="ARIAL"/>
                <w:sz w:val="19"/>
              </w:rPr>
              <w:t>69</w:t>
            </w:r>
          </w:p>
        </w:tc>
        <w:tc>
          <w:tcPr>
            <w:tcW w:w="60" w:type="dxa"/>
            <w:tcBorders/>
            <w:shd w:fill="auto" w:val="clear"/>
            <w:vAlign w:val="center"/>
          </w:tcPr>
          <w:p>
            <w:pPr>
              <w:pStyle w:val="TableContents"/>
              <w:spacing w:before="0" w:after="283"/>
              <w:rPr/>
            </w:pPr>
            <w:r>
              <w:rPr/>
              <w:t> </w:t>
            </w:r>
          </w:p>
        </w:tc>
        <w:tc>
          <w:tcPr>
            <w:tcW w:w="3170" w:type="dxa"/>
            <w:tcBorders/>
            <w:shd w:fill="auto" w:val="clear"/>
            <w:vAlign w:val="center"/>
          </w:tcPr>
          <w:p>
            <w:pPr>
              <w:pStyle w:val="TableContents"/>
              <w:spacing w:lineRule="atLeast" w:line="280" w:before="0" w:after="0"/>
              <w:rPr>
                <w:rFonts w:ascii="ARIAL" w:hAnsi="ARIAL"/>
                <w:sz w:val="19"/>
              </w:rPr>
            </w:pPr>
            <w:r>
              <w:rPr>
                <w:rFonts w:ascii="ARIAL" w:hAnsi="ARIAL"/>
                <w:sz w:val="19"/>
              </w:rPr>
              <w:t>Director</w:t>
            </w:r>
          </w:p>
        </w:tc>
      </w:tr>
      <w:tr>
        <w:trPr/>
        <w:tc>
          <w:tcPr>
            <w:tcW w:w="2615" w:type="dxa"/>
            <w:tcBorders/>
            <w:shd w:fill="CCEEFF" w:val="clear"/>
            <w:vAlign w:val="center"/>
          </w:tcPr>
          <w:p>
            <w:pPr>
              <w:pStyle w:val="TableContents"/>
              <w:spacing w:lineRule="atLeast" w:line="280" w:before="0" w:after="0"/>
              <w:rPr>
                <w:rFonts w:ascii="ARIAL" w:hAnsi="ARIAL"/>
                <w:sz w:val="19"/>
              </w:rPr>
            </w:pPr>
            <w:r>
              <w:rPr>
                <w:rFonts w:ascii="ARIAL" w:hAnsi="ARIAL"/>
                <w:sz w:val="19"/>
              </w:rPr>
              <w:t>William Norris Jennings, M.D.</w:t>
            </w:r>
          </w:p>
        </w:tc>
        <w:tc>
          <w:tcPr>
            <w:tcW w:w="60" w:type="dxa"/>
            <w:tcBorders/>
            <w:shd w:fill="CCEEFF" w:val="clear"/>
            <w:vAlign w:val="center"/>
          </w:tcPr>
          <w:p>
            <w:pPr>
              <w:pStyle w:val="TableContents"/>
              <w:spacing w:before="0" w:after="283"/>
              <w:rPr/>
            </w:pPr>
            <w:r>
              <w:rPr/>
              <w:t> </w:t>
            </w:r>
          </w:p>
        </w:tc>
        <w:tc>
          <w:tcPr>
            <w:tcW w:w="425" w:type="dxa"/>
            <w:tcBorders/>
            <w:shd w:fill="CCEEFF" w:val="clear"/>
            <w:vAlign w:val="center"/>
          </w:tcPr>
          <w:p>
            <w:pPr>
              <w:pStyle w:val="TableContents"/>
              <w:spacing w:lineRule="atLeast" w:line="280" w:before="0" w:after="0"/>
              <w:rPr>
                <w:rFonts w:ascii="ARIAL" w:hAnsi="ARIAL"/>
                <w:sz w:val="19"/>
              </w:rPr>
            </w:pPr>
            <w:r>
              <w:rPr>
                <w:rFonts w:ascii="ARIAL" w:hAnsi="ARIAL"/>
                <w:sz w:val="19"/>
              </w:rPr>
              <w:t>79</w:t>
            </w:r>
          </w:p>
        </w:tc>
        <w:tc>
          <w:tcPr>
            <w:tcW w:w="60" w:type="dxa"/>
            <w:tcBorders/>
            <w:shd w:fill="CCEEFF" w:val="clear"/>
            <w:vAlign w:val="center"/>
          </w:tcPr>
          <w:p>
            <w:pPr>
              <w:pStyle w:val="TableContents"/>
              <w:spacing w:before="0" w:after="283"/>
              <w:rPr/>
            </w:pPr>
            <w:r>
              <w:rPr/>
              <w:t> </w:t>
            </w:r>
          </w:p>
        </w:tc>
        <w:tc>
          <w:tcPr>
            <w:tcW w:w="3170" w:type="dxa"/>
            <w:tcBorders/>
            <w:shd w:fill="CCEEFF" w:val="clear"/>
            <w:vAlign w:val="center"/>
          </w:tcPr>
          <w:p>
            <w:pPr>
              <w:pStyle w:val="TableContents"/>
              <w:spacing w:lineRule="atLeast" w:line="280" w:before="0" w:after="0"/>
              <w:rPr>
                <w:rFonts w:ascii="ARIAL" w:hAnsi="ARIAL"/>
                <w:sz w:val="19"/>
              </w:rPr>
            </w:pPr>
            <w:r>
              <w:rPr>
                <w:rFonts w:ascii="ARIAL" w:hAnsi="ARIAL"/>
                <w:sz w:val="19"/>
              </w:rPr>
              <w:t>Director</w:t>
            </w:r>
          </w:p>
        </w:tc>
      </w:tr>
      <w:tr>
        <w:trPr/>
        <w:tc>
          <w:tcPr>
            <w:tcW w:w="2615" w:type="dxa"/>
            <w:tcBorders/>
            <w:shd w:fill="auto" w:val="clear"/>
            <w:vAlign w:val="center"/>
          </w:tcPr>
          <w:p>
            <w:pPr>
              <w:pStyle w:val="TableContents"/>
              <w:spacing w:lineRule="atLeast" w:line="280" w:before="0" w:after="0"/>
              <w:rPr>
                <w:rFonts w:ascii="ARIAL" w:hAnsi="ARIAL"/>
                <w:sz w:val="19"/>
              </w:rPr>
            </w:pPr>
            <w:r>
              <w:rPr>
                <w:rFonts w:ascii="ARIAL" w:hAnsi="ARIAL"/>
                <w:sz w:val="19"/>
              </w:rPr>
              <w:t>K. Ranga Krishnan, MBBS</w:t>
            </w:r>
          </w:p>
        </w:tc>
        <w:tc>
          <w:tcPr>
            <w:tcW w:w="60"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lineRule="atLeast" w:line="280" w:before="0" w:after="0"/>
              <w:rPr>
                <w:rFonts w:ascii="ARIAL" w:hAnsi="ARIAL"/>
                <w:sz w:val="19"/>
              </w:rPr>
            </w:pPr>
            <w:r>
              <w:rPr>
                <w:rFonts w:ascii="ARIAL" w:hAnsi="ARIAL"/>
                <w:sz w:val="19"/>
              </w:rPr>
              <w:t>66</w:t>
            </w:r>
          </w:p>
        </w:tc>
        <w:tc>
          <w:tcPr>
            <w:tcW w:w="60" w:type="dxa"/>
            <w:tcBorders/>
            <w:shd w:fill="auto" w:val="clear"/>
            <w:vAlign w:val="center"/>
          </w:tcPr>
          <w:p>
            <w:pPr>
              <w:pStyle w:val="TableContents"/>
              <w:spacing w:before="0" w:after="283"/>
              <w:rPr/>
            </w:pPr>
            <w:r>
              <w:rPr/>
              <w:t> </w:t>
            </w:r>
          </w:p>
        </w:tc>
        <w:tc>
          <w:tcPr>
            <w:tcW w:w="3170" w:type="dxa"/>
            <w:tcBorders/>
            <w:shd w:fill="auto" w:val="clear"/>
            <w:vAlign w:val="center"/>
          </w:tcPr>
          <w:p>
            <w:pPr>
              <w:pStyle w:val="TableContents"/>
              <w:spacing w:lineRule="atLeast" w:line="280" w:before="0" w:after="0"/>
              <w:rPr>
                <w:rFonts w:ascii="ARIAL" w:hAnsi="ARIAL"/>
                <w:sz w:val="19"/>
              </w:rPr>
            </w:pPr>
            <w:r>
              <w:rPr>
                <w:rFonts w:ascii="ARIAL" w:hAnsi="ARIAL"/>
                <w:sz w:val="19"/>
              </w:rPr>
              <w:t>Director</w:t>
            </w:r>
          </w:p>
        </w:tc>
      </w:tr>
      <w:tr>
        <w:trPr/>
        <w:tc>
          <w:tcPr>
            <w:tcW w:w="2615" w:type="dxa"/>
            <w:tcBorders/>
            <w:shd w:fill="CCEEFF" w:val="clear"/>
            <w:vAlign w:val="center"/>
          </w:tcPr>
          <w:p>
            <w:pPr>
              <w:pStyle w:val="TableContents"/>
              <w:spacing w:lineRule="atLeast" w:line="280" w:before="0" w:after="0"/>
              <w:rPr>
                <w:rFonts w:ascii="ARIAL" w:hAnsi="ARIAL"/>
                <w:sz w:val="19"/>
              </w:rPr>
            </w:pPr>
            <w:r>
              <w:rPr>
                <w:rFonts w:ascii="ARIAL" w:hAnsi="ARIAL"/>
                <w:sz w:val="19"/>
              </w:rPr>
              <w:t>Wayne T. Smith</w:t>
            </w:r>
          </w:p>
        </w:tc>
        <w:tc>
          <w:tcPr>
            <w:tcW w:w="60" w:type="dxa"/>
            <w:tcBorders/>
            <w:shd w:fill="CCEEFF" w:val="clear"/>
            <w:vAlign w:val="center"/>
          </w:tcPr>
          <w:p>
            <w:pPr>
              <w:pStyle w:val="TableContents"/>
              <w:spacing w:before="0" w:after="283"/>
              <w:rPr/>
            </w:pPr>
            <w:r>
              <w:rPr/>
              <w:t> </w:t>
            </w:r>
          </w:p>
        </w:tc>
        <w:tc>
          <w:tcPr>
            <w:tcW w:w="425" w:type="dxa"/>
            <w:tcBorders/>
            <w:shd w:fill="CCEEFF" w:val="clear"/>
            <w:vAlign w:val="center"/>
          </w:tcPr>
          <w:p>
            <w:pPr>
              <w:pStyle w:val="TableContents"/>
              <w:spacing w:lineRule="atLeast" w:line="280" w:before="0" w:after="0"/>
              <w:rPr>
                <w:rFonts w:ascii="ARIAL" w:hAnsi="ARIAL"/>
                <w:sz w:val="19"/>
              </w:rPr>
            </w:pPr>
            <w:r>
              <w:rPr>
                <w:rFonts w:ascii="ARIAL" w:hAnsi="ARIAL"/>
                <w:sz w:val="19"/>
              </w:rPr>
              <w:t>77</w:t>
            </w:r>
          </w:p>
        </w:tc>
        <w:tc>
          <w:tcPr>
            <w:tcW w:w="60" w:type="dxa"/>
            <w:tcBorders/>
            <w:shd w:fill="CCEEFF" w:val="clear"/>
            <w:vAlign w:val="center"/>
          </w:tcPr>
          <w:p>
            <w:pPr>
              <w:pStyle w:val="TableContents"/>
              <w:spacing w:before="0" w:after="283"/>
              <w:rPr/>
            </w:pPr>
            <w:r>
              <w:rPr/>
              <w:t> </w:t>
            </w:r>
          </w:p>
        </w:tc>
        <w:tc>
          <w:tcPr>
            <w:tcW w:w="3170" w:type="dxa"/>
            <w:tcBorders/>
            <w:shd w:fill="CCEEFF" w:val="clear"/>
            <w:vAlign w:val="center"/>
          </w:tcPr>
          <w:p>
            <w:pPr>
              <w:pStyle w:val="TableContents"/>
              <w:spacing w:lineRule="atLeast" w:line="280" w:before="0" w:after="0"/>
              <w:rPr>
                <w:rFonts w:ascii="ARIAL" w:hAnsi="ARIAL"/>
                <w:sz w:val="19"/>
              </w:rPr>
            </w:pPr>
            <w:r>
              <w:rPr>
                <w:rFonts w:ascii="ARIAL" w:hAnsi="ARIAL"/>
                <w:sz w:val="19"/>
              </w:rPr>
              <w:t>Chairman of the Board of Directors</w:t>
            </w:r>
          </w:p>
        </w:tc>
      </w:tr>
      <w:tr>
        <w:trPr/>
        <w:tc>
          <w:tcPr>
            <w:tcW w:w="2615" w:type="dxa"/>
            <w:tcBorders/>
            <w:shd w:fill="auto" w:val="clear"/>
            <w:vAlign w:val="center"/>
          </w:tcPr>
          <w:p>
            <w:pPr>
              <w:pStyle w:val="TableContents"/>
              <w:spacing w:lineRule="atLeast" w:line="280" w:before="0" w:after="0"/>
              <w:rPr>
                <w:rFonts w:ascii="ARIAL" w:hAnsi="ARIAL"/>
                <w:sz w:val="19"/>
              </w:rPr>
            </w:pPr>
            <w:r>
              <w:rPr>
                <w:rFonts w:ascii="ARIAL" w:hAnsi="ARIAL"/>
                <w:sz w:val="19"/>
              </w:rPr>
              <w:t>H. James Williams, Ph.D.</w:t>
            </w:r>
          </w:p>
        </w:tc>
        <w:tc>
          <w:tcPr>
            <w:tcW w:w="60"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lineRule="atLeast" w:line="280" w:before="0" w:after="0"/>
              <w:rPr>
                <w:rFonts w:ascii="ARIAL" w:hAnsi="ARIAL"/>
                <w:sz w:val="19"/>
              </w:rPr>
            </w:pPr>
            <w:r>
              <w:rPr>
                <w:rFonts w:ascii="ARIAL" w:hAnsi="ARIAL"/>
                <w:sz w:val="19"/>
              </w:rPr>
              <w:t>68</w:t>
            </w:r>
          </w:p>
        </w:tc>
        <w:tc>
          <w:tcPr>
            <w:tcW w:w="60" w:type="dxa"/>
            <w:tcBorders/>
            <w:shd w:fill="auto" w:val="clear"/>
            <w:vAlign w:val="center"/>
          </w:tcPr>
          <w:p>
            <w:pPr>
              <w:pStyle w:val="TableContents"/>
              <w:spacing w:before="0" w:after="283"/>
              <w:rPr/>
            </w:pPr>
            <w:r>
              <w:rPr/>
              <w:t> </w:t>
            </w:r>
          </w:p>
        </w:tc>
        <w:tc>
          <w:tcPr>
            <w:tcW w:w="3170" w:type="dxa"/>
            <w:tcBorders/>
            <w:shd w:fill="auto" w:val="clear"/>
            <w:vAlign w:val="center"/>
          </w:tcPr>
          <w:p>
            <w:pPr>
              <w:pStyle w:val="TableContents"/>
              <w:spacing w:lineRule="atLeast" w:line="280" w:before="0" w:after="0"/>
              <w:rPr>
                <w:rFonts w:ascii="ARIAL" w:hAnsi="ARIAL"/>
                <w:sz w:val="19"/>
              </w:rPr>
            </w:pPr>
            <w:r>
              <w:rPr>
                <w:rFonts w:ascii="ARIAL" w:hAnsi="ARIAL"/>
                <w:sz w:val="19"/>
              </w:rPr>
              <w:t>Director</w:t>
            </w:r>
          </w:p>
        </w:tc>
      </w:tr>
    </w:tbl>
    <w:p>
      <w:pPr>
        <w:pStyle w:val="TextBody"/>
        <w:spacing w:before="0" w:after="0"/>
        <w:jc w:val="left"/>
        <w:rPr/>
      </w:pPr>
      <w:r>
        <w:rPr/>
        <w:t> </w:t>
      </w:r>
    </w:p>
    <w:tbl>
      <w:tblPr>
        <w:tblW w:w="3955" w:type="dxa"/>
        <w:jc w:val="left"/>
        <w:tblInd w:w="0" w:type="dxa"/>
        <w:tblCellMar>
          <w:top w:w="0" w:type="dxa"/>
          <w:left w:w="0" w:type="dxa"/>
          <w:bottom w:w="0" w:type="dxa"/>
          <w:right w:w="0" w:type="dxa"/>
        </w:tblCellMar>
      </w:tblPr>
      <w:tblGrid>
        <w:gridCol w:w="1805"/>
        <w:gridCol w:w="120"/>
        <w:gridCol w:w="2030"/>
      </w:tblGrid>
      <w:tr>
        <w:trPr/>
        <w:tc>
          <w:tcPr>
            <w:tcW w:w="180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030" w:type="dxa"/>
            <w:tcBorders/>
            <w:shd w:fill="auto" w:val="clear"/>
            <w:vAlign w:val="center"/>
          </w:tcPr>
          <w:p>
            <w:pPr>
              <w:pStyle w:val="TableContents"/>
              <w:spacing w:before="0" w:after="283"/>
              <w:rPr>
                <w:sz w:val="4"/>
                <w:szCs w:val="4"/>
              </w:rPr>
            </w:pPr>
            <w:r>
              <w:rPr>
                <w:sz w:val="4"/>
                <w:szCs w:val="4"/>
              </w:rPr>
            </w:r>
          </w:p>
        </w:tc>
      </w:tr>
      <w:tr>
        <w:trPr/>
        <w:tc>
          <w:tcPr>
            <w:tcW w:w="1805" w:type="dxa"/>
            <w:tcBorders/>
            <w:shd w:fill="auto" w:val="clear"/>
            <w:vAlign w:val="center"/>
          </w:tcPr>
          <w:p>
            <w:pPr>
              <w:pStyle w:val="TableContents"/>
              <w:spacing w:before="0" w:after="283"/>
              <w:rPr>
                <w:b/>
              </w:rPr>
            </w:pPr>
            <w:r>
              <w:rPr>
                <w:b/>
              </w:rPr>
              <w:t>Susan W. Brooks</w:t>
            </w:r>
          </w:p>
        </w:tc>
        <w:tc>
          <w:tcPr>
            <w:tcW w:w="120" w:type="dxa"/>
            <w:tcBorders/>
            <w:shd w:fill="auto" w:val="clear"/>
            <w:vAlign w:val="center"/>
          </w:tcPr>
          <w:p>
            <w:pPr>
              <w:pStyle w:val="TableContents"/>
              <w:spacing w:before="0" w:after="283"/>
              <w:rPr/>
            </w:pPr>
            <w:r>
              <w:rPr/>
              <w:t>  </w:t>
            </w:r>
          </w:p>
        </w:tc>
        <w:tc>
          <w:tcPr>
            <w:tcW w:w="2030" w:type="dxa"/>
            <w:tcBorders/>
            <w:shd w:fill="auto" w:val="clear"/>
            <w:vAlign w:val="center"/>
          </w:tcPr>
          <w:p>
            <w:pPr>
              <w:pStyle w:val="TableContents"/>
              <w:spacing w:before="0" w:after="283"/>
              <w:jc w:val="right"/>
              <w:rPr>
                <w:b/>
              </w:rPr>
            </w:pPr>
            <w:r>
              <w:rPr>
                <w:b/>
              </w:rPr>
              <w:t>Director Since 2022</w:t>
            </w:r>
          </w:p>
        </w:tc>
      </w:tr>
    </w:tbl>
    <w:p>
      <w:pPr>
        <w:pStyle w:val="TextBody"/>
        <w:spacing w:before="0" w:after="0"/>
        <w:jc w:val="left"/>
        <w:rPr>
          <w:rFonts w:ascii="ARIAL" w:hAnsi="ARIAL"/>
          <w:i/>
          <w:sz w:val="20"/>
        </w:rPr>
      </w:pPr>
      <w:r>
        <w:rPr>
          <w:rFonts w:ascii="ARIAL" w:hAnsi="ARIAL"/>
          <w:i/>
          <w:sz w:val="20"/>
        </w:rPr>
        <w:t xml:space="preserve">Governance and Nominating Committee Member </w:t>
      </w:r>
    </w:p>
    <w:p>
      <w:pPr>
        <w:pStyle w:val="TextBody"/>
        <w:spacing w:before="240" w:after="0"/>
        <w:jc w:val="left"/>
        <w:rPr>
          <w:rFonts w:ascii="ARIAL" w:hAnsi="ARIAL"/>
          <w:sz w:val="20"/>
        </w:rPr>
      </w:pPr>
      <w:r>
        <w:rPr>
          <w:rFonts w:ascii="ARIAL" w:hAnsi="ARIAL"/>
          <w:sz w:val="20"/>
        </w:rPr>
        <w:t xml:space="preserve">Ms. Brooks is currently retired. She is a former Congresswoman and former U.S. Attorney. From 2013 to 2021, she served as the U.S. Representative for the 5th District of Indiana, where she was instrumental in legislation to reform emergency response, healthcare, manufacturing, technology innovation, higher education and public safety. Ms. Brooks served as the Chair for the House Ethics Committee and was a member of the House Energy and Commerce Committee. She also held subcommittee roles in Health; Communications and Technology; Commerce, Manufacturing and Trade; and Oversight and Investigations. Ms. Brooks served on the Select Committee on the Modernization of Congress and on the House Committee on Education and Workforce and Homeland Security Committee. She also co-founded the 5G Caucus with a goal of positioning the United States as a leader in 5G wireless technology. Ms. Brooks co-chaired the Women’s Caucus and Women in High Tech Coalition and served as the Recruitment Chair for the National Republican Congressional Committee (NRCC). In this role, she recruited 94 women and 75 minority candidates who stood for election to Congress on general election ballots. Prior to serving in Congress, Ms. Brooks was Senior Vice President and General Counsel for Ivy Tech Community College, the public community college system for the state of Indiana, from 2007 to 2012. From 2001 to 2007, she served as U.S. Attorney for the Southern District of Indiana, where she oversaw the prosecution of Medicaid fraud and illegal opioid prescriptions. Prior to her appointment as U.S. Attorney, Ms. Brooks’ broad professional experience included practicing criminal defense law and later government services law at law firms in Indianapolis, Indiana. She also served as Deputy Mayor for the City of Indianapolis overseeing public safety operations and helped manage law enforcement and emergency response efforts. Ms. Brooks serves on the board of directors of First Merchants Corporation, a Nasdaq-listed financial holding company headquartered in central Indiana, and serves on its nominating and governance committee. She also serves on the board of directors of Team Health Holdings, Inc., a leading physician practice company. In addition, Ms. Brooks currently serves on the Bipartisan Commission on Biodefense and formerly served as the co-chair of the CSIS Commission on Strengthening America’s Health Security, both based in Washington, DC. Ms. Brooks served on the Indiana Governor’s Commission on Public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23 </w:t>
      </w:r>
      <w:r>
        <w:br w:type="page"/>
      </w:r>
    </w:p>
    <w:p>
      <w:pPr>
        <w:pStyle w:val="HorizontalLine"/>
        <w:rPr/>
      </w:pPr>
      <w:r>
        <w:rPr/>
      </w:r>
    </w:p>
    <w:p>
      <w:pPr>
        <w:pStyle w:val="TextBody"/>
        <w:spacing w:before="0" w:after="0"/>
        <w:jc w:val="left"/>
        <w:rPr>
          <w:rFonts w:ascii="ARIAL" w:hAnsi="ARIAL"/>
          <w:sz w:val="20"/>
        </w:rPr>
      </w:pPr>
      <w:r>
        <w:rPr>
          <w:rFonts w:ascii="ARIAL" w:hAnsi="ARIAL"/>
          <w:sz w:val="20"/>
        </w:rPr>
        <w:t xml:space="preserve">Health. She has also served on several non-profit boards, including Ascension St. Vincent Hospital in Indianapolis. Ms. Brooks has received numerous awards, including the Congressional Champion Award from the Association of Maternal and Child Health Programs and the Congressional Leadership Award from the Community Anti-Drug Coalitions of America, both in 2020; and the Champion of Healthcare Innovation Award from the Healthcare Leadership Council and the Legislator of the Year from the Indiana Health Industry Forum, both in 2015. </w:t>
      </w:r>
    </w:p>
    <w:p>
      <w:pPr>
        <w:pStyle w:val="TextBody"/>
        <w:spacing w:before="240" w:after="0"/>
        <w:jc w:val="left"/>
        <w:rPr>
          <w:rFonts w:ascii="ARIAL" w:hAnsi="ARIAL"/>
          <w:sz w:val="20"/>
        </w:rPr>
      </w:pPr>
      <w:r>
        <w:rPr>
          <w:rFonts w:ascii="ARIAL" w:hAnsi="ARIAL"/>
          <w:sz w:val="20"/>
        </w:rPr>
        <w:t xml:space="preserve">Ms. Brooks’ deep knowledge of and experience in both the legislative and judicial branches of the Federal government provide our Board with valuable insight into the governmental processes and priorities that impact the heavily-regulated industry in which we operate. In addition, her diverse experience, including advising public and privately-held companies, non-profits, educational institutions, hospitals and physician practices, gives her valuable insight both related to the healthcare industry as well as to other sectors with which our Company frequently interacts. </w:t>
      </w:r>
    </w:p>
    <w:p>
      <w:pPr>
        <w:pStyle w:val="TextBody"/>
        <w:spacing w:before="0" w:after="0"/>
        <w:jc w:val="left"/>
        <w:rPr/>
      </w:pPr>
      <w:r>
        <w:rPr/>
        <w:t> </w:t>
      </w:r>
    </w:p>
    <w:tbl>
      <w:tblPr>
        <w:tblW w:w="3625" w:type="dxa"/>
        <w:jc w:val="left"/>
        <w:tblInd w:w="0" w:type="dxa"/>
        <w:tblCellMar>
          <w:top w:w="0" w:type="dxa"/>
          <w:left w:w="0" w:type="dxa"/>
          <w:bottom w:w="0" w:type="dxa"/>
          <w:right w:w="0" w:type="dxa"/>
        </w:tblCellMar>
      </w:tblPr>
      <w:tblGrid>
        <w:gridCol w:w="1475"/>
        <w:gridCol w:w="120"/>
        <w:gridCol w:w="2030"/>
      </w:tblGrid>
      <w:tr>
        <w:trPr/>
        <w:tc>
          <w:tcPr>
            <w:tcW w:w="147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030" w:type="dxa"/>
            <w:tcBorders/>
            <w:shd w:fill="auto" w:val="clear"/>
            <w:vAlign w:val="center"/>
          </w:tcPr>
          <w:p>
            <w:pPr>
              <w:pStyle w:val="TableContents"/>
              <w:spacing w:before="0" w:after="283"/>
              <w:rPr>
                <w:sz w:val="4"/>
                <w:szCs w:val="4"/>
              </w:rPr>
            </w:pPr>
            <w:r>
              <w:rPr>
                <w:sz w:val="4"/>
                <w:szCs w:val="4"/>
              </w:rPr>
            </w:r>
          </w:p>
        </w:tc>
      </w:tr>
      <w:tr>
        <w:trPr/>
        <w:tc>
          <w:tcPr>
            <w:tcW w:w="1475" w:type="dxa"/>
            <w:tcBorders/>
            <w:shd w:fill="auto" w:val="clear"/>
            <w:vAlign w:val="center"/>
          </w:tcPr>
          <w:p>
            <w:pPr>
              <w:pStyle w:val="TableContents"/>
              <w:spacing w:before="0" w:after="0"/>
              <w:rPr>
                <w:rFonts w:ascii="ARIAL" w:hAnsi="ARIAL"/>
                <w:b/>
                <w:sz w:val="20"/>
              </w:rPr>
            </w:pPr>
            <w:r>
              <w:rPr>
                <w:rFonts w:ascii="ARIAL" w:hAnsi="ARIAL"/>
                <w:b/>
                <w:sz w:val="20"/>
              </w:rPr>
              <w:t>John A. Clerico</w:t>
            </w:r>
          </w:p>
        </w:tc>
        <w:tc>
          <w:tcPr>
            <w:tcW w:w="120" w:type="dxa"/>
            <w:tcBorders/>
            <w:shd w:fill="auto" w:val="clear"/>
            <w:vAlign w:val="center"/>
          </w:tcPr>
          <w:p>
            <w:pPr>
              <w:pStyle w:val="TableContents"/>
              <w:spacing w:before="0" w:after="283"/>
              <w:rPr/>
            </w:pPr>
            <w:r>
              <w:rPr/>
              <w:t>  </w:t>
            </w:r>
          </w:p>
        </w:tc>
        <w:tc>
          <w:tcPr>
            <w:tcW w:w="2030" w:type="dxa"/>
            <w:tcBorders/>
            <w:shd w:fill="auto" w:val="clear"/>
            <w:vAlign w:val="center"/>
          </w:tcPr>
          <w:p>
            <w:pPr>
              <w:pStyle w:val="TableContents"/>
              <w:spacing w:before="0" w:after="283"/>
              <w:jc w:val="right"/>
              <w:rPr>
                <w:b/>
              </w:rPr>
            </w:pPr>
            <w:r>
              <w:rPr>
                <w:b/>
              </w:rPr>
              <w:t>Director Since 2003</w:t>
            </w:r>
          </w:p>
        </w:tc>
      </w:tr>
    </w:tbl>
    <w:p>
      <w:pPr>
        <w:pStyle w:val="TextBody"/>
        <w:spacing w:before="0" w:after="0"/>
        <w:jc w:val="left"/>
        <w:rPr>
          <w:rFonts w:ascii="ARIAL" w:hAnsi="ARIAL"/>
          <w:i/>
          <w:sz w:val="20"/>
        </w:rPr>
      </w:pPr>
      <w:r>
        <w:rPr>
          <w:rFonts w:ascii="ARIAL" w:hAnsi="ARIAL"/>
          <w:i/>
          <w:sz w:val="20"/>
        </w:rPr>
        <w:t xml:space="preserve">Lead Director </w:t>
      </w:r>
    </w:p>
    <w:p>
      <w:pPr>
        <w:pStyle w:val="TextBody"/>
        <w:spacing w:before="0" w:after="0"/>
        <w:jc w:val="left"/>
        <w:rPr>
          <w:rFonts w:ascii="ARIAL" w:hAnsi="ARIAL"/>
          <w:i/>
          <w:sz w:val="20"/>
        </w:rPr>
      </w:pPr>
      <w:r>
        <w:rPr>
          <w:rFonts w:ascii="ARIAL" w:hAnsi="ARIAL"/>
          <w:i/>
          <w:sz w:val="20"/>
        </w:rPr>
        <w:t xml:space="preserve">Compensation Committee Member </w:t>
      </w:r>
    </w:p>
    <w:p>
      <w:pPr>
        <w:pStyle w:val="TextBody"/>
        <w:spacing w:before="240" w:after="0"/>
        <w:jc w:val="left"/>
        <w:rPr>
          <w:rFonts w:ascii="ARIAL" w:hAnsi="ARIAL"/>
          <w:sz w:val="20"/>
        </w:rPr>
      </w:pPr>
      <w:r>
        <w:rPr>
          <w:rFonts w:ascii="ARIAL" w:hAnsi="ARIAL"/>
          <w:sz w:val="20"/>
        </w:rPr>
        <w:t xml:space="preserve">Mr. Clerico serves as our Lead Director. Since 2000, when Mr. Clerico co-founded ChartMark Investments, Inc., a registered investment advisor providing portfolio management, investment consulting and financial planning solutions to individuals, small businesses and institutions, he has served as its chairman and as a registered financial advisor. From 2006 until 2012, Mr. Clerico served on the board of directors of Global Industries, Ltd., a provider of solutions for offshore oil and gas construction, engineering, project management and support services, with prior service on its audit, compensation and finance (chair) committees. In 2008, Mr. Clerico resigned from these committees upon his appointment as chairman of the board and interim chief executive officer. He stepped down as Global Industries, Ltd.’s interim chief executive officer in 2010 but continued to serve as chairman of its board through 2011, when Global Industries, Ltd. was acquired by Technip S.A. From 1992 to April 2000, he served as an executive vice president and chief financial officer and on the board of directors of Praxair, a supplier of industrial gases and coatings and related healthcare services and technologies. From 1983 until its spin-off of Praxair in 1992, he served as an executive officer of Union Carbide Corporation in various financial and accounting areas. Mr. Clerico serves on the board of directors of Educational Development Corporation, a Nasdaq-listed trade publisher and distributor of children’s books, where he serves as lead independent director as well as on its on its audit (chair), nominating and corporate governance (chair), compensation (chair), and executive committees. He previously served on the board of MacroSolve, Inc., a provider of consulting services related to the development, marketing and financing of mobile app businesses, where he also served on its audit (chair) and compensation committees. </w:t>
      </w:r>
    </w:p>
    <w:p>
      <w:pPr>
        <w:pStyle w:val="TextBody"/>
        <w:spacing w:before="240" w:after="0"/>
        <w:jc w:val="left"/>
        <w:rPr>
          <w:rFonts w:ascii="ARIAL" w:hAnsi="ARIAL"/>
          <w:sz w:val="20"/>
        </w:rPr>
      </w:pPr>
      <w:r>
        <w:rPr>
          <w:rFonts w:ascii="ARIAL" w:hAnsi="ARIAL"/>
          <w:sz w:val="20"/>
        </w:rPr>
        <w:t xml:space="preserve">Mr. Clerico brings executive leadership experience and skills to the Board. He has held the positions of chairman of the board, chief executive officer, co-chief operating officer, chief financial officer and treasurer at various points of his career. His extensive experience in industries (chemical and industrial gases) with a high risk profile give him a unique perspective on risk oversight. In addition, his prior service as chair of both our Board’s Audit and Compliance Committee and Compensation Committee lend important continuity to the Board’s financial, audit, compliance and compensation oversight functions. Finally, having formed and operated his own investment company, Mr. Clerico also brings the investor perspective to the Board’s review activities.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24 </w:t>
      </w:r>
      <w:r>
        <w:br w:type="page"/>
      </w:r>
    </w:p>
    <w:p>
      <w:pPr>
        <w:pStyle w:val="HorizontalLine"/>
        <w:rPr/>
      </w:pPr>
      <w:r>
        <w:rPr/>
      </w:r>
    </w:p>
    <w:tbl>
      <w:tblPr>
        <w:tblW w:w="3670" w:type="dxa"/>
        <w:jc w:val="left"/>
        <w:tblInd w:w="0" w:type="dxa"/>
        <w:tblCellMar>
          <w:top w:w="0" w:type="dxa"/>
          <w:left w:w="0" w:type="dxa"/>
          <w:bottom w:w="0" w:type="dxa"/>
          <w:right w:w="0" w:type="dxa"/>
        </w:tblCellMar>
      </w:tblPr>
      <w:tblGrid>
        <w:gridCol w:w="1520"/>
        <w:gridCol w:w="120"/>
        <w:gridCol w:w="2030"/>
      </w:tblGrid>
      <w:tr>
        <w:trPr/>
        <w:tc>
          <w:tcPr>
            <w:tcW w:w="15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030" w:type="dxa"/>
            <w:tcBorders/>
            <w:shd w:fill="auto" w:val="clear"/>
            <w:vAlign w:val="center"/>
          </w:tcPr>
          <w:p>
            <w:pPr>
              <w:pStyle w:val="TableContents"/>
              <w:spacing w:before="0" w:after="283"/>
              <w:rPr>
                <w:sz w:val="4"/>
                <w:szCs w:val="4"/>
              </w:rPr>
            </w:pPr>
            <w:r>
              <w:rPr>
                <w:sz w:val="4"/>
                <w:szCs w:val="4"/>
              </w:rPr>
            </w:r>
          </w:p>
        </w:tc>
      </w:tr>
      <w:tr>
        <w:trPr/>
        <w:tc>
          <w:tcPr>
            <w:tcW w:w="1520" w:type="dxa"/>
            <w:tcBorders/>
            <w:shd w:fill="auto" w:val="clear"/>
            <w:vAlign w:val="center"/>
          </w:tcPr>
          <w:p>
            <w:pPr>
              <w:pStyle w:val="TableContents"/>
              <w:spacing w:before="0" w:after="0"/>
              <w:rPr>
                <w:rFonts w:ascii="ARIAL" w:hAnsi="ARIAL"/>
                <w:b/>
                <w:sz w:val="20"/>
              </w:rPr>
            </w:pPr>
            <w:r>
              <w:rPr>
                <w:rFonts w:ascii="ARIAL" w:hAnsi="ARIAL"/>
                <w:b/>
                <w:sz w:val="20"/>
              </w:rPr>
              <w:t>Michael Dinkins</w:t>
            </w:r>
          </w:p>
        </w:tc>
        <w:tc>
          <w:tcPr>
            <w:tcW w:w="120" w:type="dxa"/>
            <w:tcBorders/>
            <w:shd w:fill="auto" w:val="clear"/>
            <w:vAlign w:val="center"/>
          </w:tcPr>
          <w:p>
            <w:pPr>
              <w:pStyle w:val="TableContents"/>
              <w:spacing w:before="0" w:after="283"/>
              <w:rPr/>
            </w:pPr>
            <w:r>
              <w:rPr/>
              <w:t>  </w:t>
            </w:r>
          </w:p>
        </w:tc>
        <w:tc>
          <w:tcPr>
            <w:tcW w:w="2030" w:type="dxa"/>
            <w:tcBorders/>
            <w:shd w:fill="auto" w:val="clear"/>
            <w:vAlign w:val="center"/>
          </w:tcPr>
          <w:p>
            <w:pPr>
              <w:pStyle w:val="TableContents"/>
              <w:spacing w:before="0" w:after="283"/>
              <w:jc w:val="right"/>
              <w:rPr>
                <w:b/>
              </w:rPr>
            </w:pPr>
            <w:r>
              <w:rPr>
                <w:b/>
              </w:rPr>
              <w:t>Director Since 2017</w:t>
            </w:r>
          </w:p>
        </w:tc>
      </w:tr>
    </w:tbl>
    <w:p>
      <w:pPr>
        <w:pStyle w:val="TextBody"/>
        <w:spacing w:before="0" w:after="0"/>
        <w:jc w:val="left"/>
        <w:rPr>
          <w:rFonts w:ascii="ARIAL" w:hAnsi="ARIAL"/>
          <w:i/>
          <w:sz w:val="20"/>
        </w:rPr>
      </w:pPr>
      <w:r>
        <w:rPr>
          <w:rFonts w:ascii="ARIAL" w:hAnsi="ARIAL"/>
          <w:i/>
          <w:sz w:val="20"/>
        </w:rPr>
        <w:t xml:space="preserve">Audit and Compliance Committee Chair </w:t>
      </w:r>
    </w:p>
    <w:p>
      <w:pPr>
        <w:pStyle w:val="TextBody"/>
        <w:spacing w:before="240" w:after="0"/>
        <w:jc w:val="left"/>
        <w:rPr>
          <w:rFonts w:ascii="ARIAL" w:hAnsi="ARIAL"/>
          <w:sz w:val="20"/>
        </w:rPr>
      </w:pPr>
      <w:r>
        <w:rPr>
          <w:rFonts w:ascii="ARIAL" w:hAnsi="ARIAL"/>
          <w:sz w:val="20"/>
        </w:rPr>
        <w:t xml:space="preserve">Mr. Dinkins has served as president and chief executive officer of Dinkins Financial, a consulting firm that helps small businesses gain access to capital, since October 2017. From 2008 until May 2012, Mr. Dinkins served on the board of directors of Integer Holdings Corporation (formerly known as Greatbatch, Inc.), a medical device outsource manufacturer, where he also served on its audit committee and compensation and organization committee. In May 2012, Mr. Dinkins resigned from Integer Holdings Corporation’s board of directors and its committees in conjunction with his appointment as senior vice president (later executive vice president) and chief financial officer of Integer Holdings Corporation, a position he held until his retirement in March 2017. From 2008 until 2012, Mr. Dinkins served as executive vice president and chief financial officer of USI Insurance Services, an insurance intermediary company. From 2005 until 2008, he was executive vice president and chief financial officer of Hilb Rogal &amp; Hobbs Co., an insurance and risk management services company. Mr. Dinkins was vice president, global control &amp; reengineering at Guidant Corporation from 2004 to 2005, and vice president and chief financial officer for NCR Worldwide Customer Service Operation from 2002 to 2004. Prior to 2002, he held senior positions at Access Worldwide Communications, Inc., Cadmus Communications Group and General Electric Company. Mr. Dinkins serves on the board of directors of Crane Co., a New York Stock Exchange-listed manufacturer of industrial products in the chemicals, oil and gas, power, automated payment solutions, banknote design and production, and aerospace and defense markets and serves on its audit and compliance committee. He also serves on the board of directors of The Shyft Group, Inc., a Nasdaq-listed manufacturer and upfitter of specialty vehicles for the commercial, retail and service specialty vehicle markets, and serves on its audit and compliance committee (chair). He is a former director of LandAmerica Financial Group, Inc. Mr. Dinkins also served on the National Council on Compensation Insurance from 2015 to 2020, including service on its audit, finance, and governance committees. </w:t>
      </w:r>
    </w:p>
    <w:p>
      <w:pPr>
        <w:pStyle w:val="TextBody"/>
        <w:spacing w:before="240" w:after="0"/>
        <w:jc w:val="left"/>
        <w:rPr>
          <w:rFonts w:ascii="ARIAL" w:hAnsi="ARIAL"/>
          <w:sz w:val="20"/>
        </w:rPr>
      </w:pPr>
      <w:r>
        <w:rPr>
          <w:rFonts w:ascii="ARIAL" w:hAnsi="ARIAL"/>
          <w:sz w:val="20"/>
        </w:rPr>
        <w:t xml:space="preserve">Mr. Dinkins brings extensive experience as a board member and a chief financial officer of a publicly-traded company to the Board, as well as knowledge of complex financial and operational issues facing large organizations and an understanding of operations and financial strategy in challenging environments. Through his role as a chief financial officer, he has also overseen the information technology risk assessment processes of a company. In addition, Mr. Dinkins brings the perspective of the insurance industry and the medical device industry to the Board, both of which are important related industries for the Company. Mr. Dinkins is National Association of Corporate directors (NACD) Directorship Certified. </w:t>
      </w:r>
    </w:p>
    <w:p>
      <w:pPr>
        <w:pStyle w:val="TextBody"/>
        <w:spacing w:before="0" w:after="0"/>
        <w:jc w:val="left"/>
        <w:rPr/>
      </w:pPr>
      <w:r>
        <w:rPr/>
        <w:t> </w:t>
      </w:r>
    </w:p>
    <w:tbl>
      <w:tblPr>
        <w:tblW w:w="3640" w:type="dxa"/>
        <w:jc w:val="left"/>
        <w:tblInd w:w="0" w:type="dxa"/>
        <w:tblCellMar>
          <w:top w:w="0" w:type="dxa"/>
          <w:left w:w="0" w:type="dxa"/>
          <w:bottom w:w="0" w:type="dxa"/>
          <w:right w:w="0" w:type="dxa"/>
        </w:tblCellMar>
      </w:tblPr>
      <w:tblGrid>
        <w:gridCol w:w="1490"/>
        <w:gridCol w:w="120"/>
        <w:gridCol w:w="2030"/>
      </w:tblGrid>
      <w:tr>
        <w:trPr/>
        <w:tc>
          <w:tcPr>
            <w:tcW w:w="149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030" w:type="dxa"/>
            <w:tcBorders/>
            <w:shd w:fill="auto" w:val="clear"/>
            <w:vAlign w:val="center"/>
          </w:tcPr>
          <w:p>
            <w:pPr>
              <w:pStyle w:val="TableContents"/>
              <w:spacing w:before="0" w:after="283"/>
              <w:rPr>
                <w:sz w:val="4"/>
                <w:szCs w:val="4"/>
              </w:rPr>
            </w:pPr>
            <w:r>
              <w:rPr>
                <w:sz w:val="4"/>
                <w:szCs w:val="4"/>
              </w:rPr>
            </w:r>
          </w:p>
        </w:tc>
      </w:tr>
      <w:tr>
        <w:trPr/>
        <w:tc>
          <w:tcPr>
            <w:tcW w:w="1490" w:type="dxa"/>
            <w:tcBorders/>
            <w:shd w:fill="auto" w:val="clear"/>
            <w:vAlign w:val="center"/>
          </w:tcPr>
          <w:p>
            <w:pPr>
              <w:pStyle w:val="TableContents"/>
              <w:spacing w:before="0" w:after="0"/>
              <w:rPr>
                <w:rFonts w:ascii="ARIAL" w:hAnsi="ARIAL"/>
                <w:b/>
                <w:sz w:val="20"/>
              </w:rPr>
            </w:pPr>
            <w:r>
              <w:rPr>
                <w:rFonts w:ascii="ARIAL" w:hAnsi="ARIAL"/>
                <w:b/>
                <w:sz w:val="20"/>
              </w:rPr>
              <w:t>James S. Ely III</w:t>
            </w:r>
          </w:p>
        </w:tc>
        <w:tc>
          <w:tcPr>
            <w:tcW w:w="120" w:type="dxa"/>
            <w:tcBorders/>
            <w:shd w:fill="auto" w:val="clear"/>
            <w:vAlign w:val="center"/>
          </w:tcPr>
          <w:p>
            <w:pPr>
              <w:pStyle w:val="TableContents"/>
              <w:spacing w:before="0" w:after="283"/>
              <w:rPr/>
            </w:pPr>
            <w:r>
              <w:rPr/>
              <w:t>  </w:t>
            </w:r>
          </w:p>
        </w:tc>
        <w:tc>
          <w:tcPr>
            <w:tcW w:w="2030" w:type="dxa"/>
            <w:tcBorders/>
            <w:shd w:fill="auto" w:val="clear"/>
            <w:vAlign w:val="center"/>
          </w:tcPr>
          <w:p>
            <w:pPr>
              <w:pStyle w:val="TableContents"/>
              <w:spacing w:before="0" w:after="283"/>
              <w:jc w:val="right"/>
              <w:rPr>
                <w:b/>
              </w:rPr>
            </w:pPr>
            <w:r>
              <w:rPr>
                <w:b/>
              </w:rPr>
              <w:t>Director Since 2009</w:t>
            </w:r>
          </w:p>
        </w:tc>
      </w:tr>
    </w:tbl>
    <w:p>
      <w:pPr>
        <w:pStyle w:val="TextBody"/>
        <w:spacing w:before="0" w:after="0"/>
        <w:jc w:val="left"/>
        <w:rPr>
          <w:rFonts w:ascii="ARIAL" w:hAnsi="ARIAL"/>
          <w:i/>
          <w:sz w:val="20"/>
        </w:rPr>
      </w:pPr>
      <w:r>
        <w:rPr>
          <w:rFonts w:ascii="ARIAL" w:hAnsi="ARIAL"/>
          <w:i/>
          <w:sz w:val="20"/>
        </w:rPr>
        <w:t xml:space="preserve">Compensation Committee Chair </w:t>
      </w:r>
    </w:p>
    <w:p>
      <w:pPr>
        <w:pStyle w:val="TextBody"/>
        <w:spacing w:before="0" w:after="0"/>
        <w:jc w:val="left"/>
        <w:rPr>
          <w:rFonts w:ascii="ARIAL" w:hAnsi="ARIAL"/>
          <w:i/>
          <w:sz w:val="20"/>
        </w:rPr>
      </w:pPr>
      <w:r>
        <w:rPr>
          <w:rFonts w:ascii="ARIAL" w:hAnsi="ARIAL"/>
          <w:i/>
          <w:sz w:val="20"/>
        </w:rPr>
        <w:t xml:space="preserve">Audit and Compliance Committee Member </w:t>
      </w:r>
    </w:p>
    <w:p>
      <w:pPr>
        <w:pStyle w:val="TextBody"/>
        <w:spacing w:before="240" w:after="0"/>
        <w:jc w:val="left"/>
        <w:rPr>
          <w:rFonts w:ascii="ARIAL" w:hAnsi="ARIAL"/>
          <w:sz w:val="20"/>
        </w:rPr>
      </w:pPr>
      <w:r>
        <w:rPr>
          <w:rFonts w:ascii="ARIAL" w:hAnsi="ARIAL"/>
          <w:sz w:val="20"/>
        </w:rPr>
        <w:t xml:space="preserve">Mr. Ely founded PriCap Advisors, LLC, an investment management firm, in 2009 and has served as its chief executive officer since its inception. From 1995 to 2008, he was a Managing Director in the Leveraged Finance Group at JPMorgan Chase &amp; Co., where he was responsible for structuring and arranging syndicated loans and high yield issues in the healthcare, aerospace, defense and other sectors. Mr. Ely’s service with JPMorgan’s predecessor institutions commenced in 1987. He serves on the board of directors of Select Medical Holdings Corporation, a New York Stock Exchange-listed provider of long-term hospitalization services, and serves as chair of both its audit and compliance and nominating and corporate governance committees. </w:t>
      </w:r>
    </w:p>
    <w:p>
      <w:pPr>
        <w:pStyle w:val="TextBody"/>
        <w:spacing w:before="240" w:after="0"/>
        <w:jc w:val="left"/>
        <w:rPr>
          <w:rFonts w:ascii="ARIAL" w:hAnsi="ARIAL"/>
          <w:sz w:val="20"/>
        </w:rPr>
      </w:pPr>
      <w:r>
        <w:rPr>
          <w:rFonts w:ascii="ARIAL" w:hAnsi="ARIAL"/>
          <w:sz w:val="20"/>
        </w:rPr>
        <w:t xml:space="preserve">Mr. Ely’s educational background (MBA in finance and accounting from the University of Chicago) and extensive (over twenty years) experience in the financing industry, and in the healthcare sector in particular, provide a needed area of expertise among the independent Board members. In addition, his years of prior service as the chair of our Board’s Audit and Compliance Committee provides valuable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25 </w:t>
      </w:r>
      <w:r>
        <w:br w:type="page"/>
      </w:r>
    </w:p>
    <w:p>
      <w:pPr>
        <w:pStyle w:val="HorizontalLine"/>
        <w:rPr/>
      </w:pPr>
      <w:r>
        <w:rPr/>
      </w:r>
    </w:p>
    <w:p>
      <w:pPr>
        <w:pStyle w:val="TextBody"/>
        <w:spacing w:before="0" w:after="0"/>
        <w:jc w:val="left"/>
        <w:rPr>
          <w:rFonts w:ascii="ARIAL" w:hAnsi="ARIAL"/>
          <w:sz w:val="20"/>
        </w:rPr>
      </w:pPr>
      <w:r>
        <w:rPr>
          <w:rFonts w:ascii="ARIAL" w:hAnsi="ARIAL"/>
          <w:sz w:val="20"/>
        </w:rPr>
        <w:t xml:space="preserve">continuity to the Board’s financial, audit, and compliance oversight functions. Finally, he is able to assist the Board members and management in evaluating financing opportunities, as he has specific experience in financing the types of indebtedness reflected on the Company’s balance sheet. </w:t>
      </w:r>
    </w:p>
    <w:p>
      <w:pPr>
        <w:pStyle w:val="TextBody"/>
        <w:spacing w:before="0" w:after="0"/>
        <w:jc w:val="left"/>
        <w:rPr/>
      </w:pPr>
      <w:r>
        <w:rPr/>
        <w:t> </w:t>
      </w:r>
    </w:p>
    <w:tbl>
      <w:tblPr>
        <w:tblW w:w="3265" w:type="dxa"/>
        <w:jc w:val="left"/>
        <w:tblInd w:w="0" w:type="dxa"/>
        <w:tblCellMar>
          <w:top w:w="0" w:type="dxa"/>
          <w:left w:w="0" w:type="dxa"/>
          <w:bottom w:w="0" w:type="dxa"/>
          <w:right w:w="0" w:type="dxa"/>
        </w:tblCellMar>
      </w:tblPr>
      <w:tblGrid>
        <w:gridCol w:w="1115"/>
        <w:gridCol w:w="120"/>
        <w:gridCol w:w="2030"/>
      </w:tblGrid>
      <w:tr>
        <w:trPr/>
        <w:tc>
          <w:tcPr>
            <w:tcW w:w="111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030" w:type="dxa"/>
            <w:tcBorders/>
            <w:shd w:fill="auto" w:val="clear"/>
            <w:vAlign w:val="center"/>
          </w:tcPr>
          <w:p>
            <w:pPr>
              <w:pStyle w:val="TableContents"/>
              <w:spacing w:before="0" w:after="283"/>
              <w:rPr>
                <w:sz w:val="4"/>
                <w:szCs w:val="4"/>
              </w:rPr>
            </w:pPr>
            <w:r>
              <w:rPr>
                <w:sz w:val="4"/>
                <w:szCs w:val="4"/>
              </w:rPr>
            </w:r>
          </w:p>
        </w:tc>
      </w:tr>
      <w:tr>
        <w:trPr/>
        <w:tc>
          <w:tcPr>
            <w:tcW w:w="1115" w:type="dxa"/>
            <w:tcBorders/>
            <w:shd w:fill="auto" w:val="clear"/>
            <w:vAlign w:val="center"/>
          </w:tcPr>
          <w:p>
            <w:pPr>
              <w:pStyle w:val="TableContents"/>
              <w:spacing w:before="0" w:after="0"/>
              <w:rPr>
                <w:rFonts w:ascii="ARIAL" w:hAnsi="ARIAL"/>
                <w:b/>
                <w:sz w:val="20"/>
              </w:rPr>
            </w:pPr>
            <w:r>
              <w:rPr>
                <w:rFonts w:ascii="ARIAL" w:hAnsi="ARIAL"/>
                <w:b/>
                <w:sz w:val="20"/>
              </w:rPr>
              <w:t>John A. Fry</w:t>
            </w:r>
          </w:p>
        </w:tc>
        <w:tc>
          <w:tcPr>
            <w:tcW w:w="120" w:type="dxa"/>
            <w:tcBorders/>
            <w:shd w:fill="auto" w:val="clear"/>
            <w:vAlign w:val="center"/>
          </w:tcPr>
          <w:p>
            <w:pPr>
              <w:pStyle w:val="TableContents"/>
              <w:spacing w:before="0" w:after="283"/>
              <w:rPr/>
            </w:pPr>
            <w:r>
              <w:rPr/>
              <w:t>  </w:t>
            </w:r>
          </w:p>
        </w:tc>
        <w:tc>
          <w:tcPr>
            <w:tcW w:w="2030" w:type="dxa"/>
            <w:tcBorders/>
            <w:shd w:fill="auto" w:val="clear"/>
            <w:vAlign w:val="center"/>
          </w:tcPr>
          <w:p>
            <w:pPr>
              <w:pStyle w:val="TableContents"/>
              <w:spacing w:before="0" w:after="283"/>
              <w:jc w:val="right"/>
              <w:rPr>
                <w:b/>
              </w:rPr>
            </w:pPr>
            <w:r>
              <w:rPr>
                <w:b/>
              </w:rPr>
              <w:t>Director Since 2004</w:t>
            </w:r>
          </w:p>
        </w:tc>
      </w:tr>
    </w:tbl>
    <w:p>
      <w:pPr>
        <w:pStyle w:val="TextBody"/>
        <w:spacing w:before="0" w:after="0"/>
        <w:jc w:val="left"/>
        <w:rPr>
          <w:rFonts w:ascii="ARIAL" w:hAnsi="ARIAL"/>
          <w:i/>
          <w:sz w:val="20"/>
        </w:rPr>
      </w:pPr>
      <w:r>
        <w:rPr>
          <w:rFonts w:ascii="ARIAL" w:hAnsi="ARIAL"/>
          <w:i/>
          <w:sz w:val="20"/>
        </w:rPr>
        <w:t xml:space="preserve">Governance and Nominating Committee Chair </w:t>
      </w:r>
    </w:p>
    <w:p>
      <w:pPr>
        <w:pStyle w:val="TextBody"/>
        <w:spacing w:before="0" w:after="0"/>
        <w:jc w:val="left"/>
        <w:rPr>
          <w:rFonts w:ascii="ARIAL" w:hAnsi="ARIAL"/>
          <w:i/>
          <w:sz w:val="20"/>
        </w:rPr>
      </w:pPr>
      <w:r>
        <w:rPr>
          <w:rFonts w:ascii="ARIAL" w:hAnsi="ARIAL"/>
          <w:i/>
          <w:sz w:val="20"/>
        </w:rPr>
        <w:t xml:space="preserve">Compensation Committee Member </w:t>
      </w:r>
    </w:p>
    <w:p>
      <w:pPr>
        <w:pStyle w:val="TextBody"/>
        <w:spacing w:before="240" w:after="0"/>
        <w:jc w:val="left"/>
        <w:rPr>
          <w:rFonts w:ascii="ARIAL" w:hAnsi="ARIAL"/>
          <w:sz w:val="20"/>
        </w:rPr>
      </w:pPr>
      <w:r>
        <w:rPr>
          <w:rFonts w:ascii="ARIAL" w:hAnsi="ARIAL"/>
          <w:sz w:val="20"/>
        </w:rPr>
        <w:t xml:space="preserve">Mr. Fry has served as president of Drexel University in Philadelphia, Pennsylvania since 2010. Prior to becoming president of Drexel University, Mr. Fry served as president of Franklin &amp; Marshall College in Lancaster, Pennsylvania from 2002 until 2010. From 1995 to 2002, he was executive vice president of the University of Pennsylvania and served as the chief operating officer of the university and as a member of the executive committee of the University of Pennsylvania Health System. Mr. Fry also serves on the board of directors of vTV Therapeutics Inc., a Nasdaq-listed clinical-stage pharmaceutical company focused on the discovery and development of human therapeutics, and serves on its compensation committee (chair) and audit committee. He is a member of the board of trustees of Macquarie Asset Management (formerly Delaware Investments), an asset management firm, with oversight responsibility for all of the portfolios in that mutual fund family; he also serves on its nominating and corporate governance committee. Mr. Fry also serves on the board of directors of FS Investment Credit Real Estate Income Trust Inc., an alternative asset manager, where he serves on its audit committee. </w:t>
      </w:r>
    </w:p>
    <w:p>
      <w:pPr>
        <w:pStyle w:val="TextBody"/>
        <w:spacing w:before="240" w:after="0"/>
        <w:jc w:val="left"/>
        <w:rPr>
          <w:rFonts w:ascii="ARIAL" w:hAnsi="ARIAL"/>
          <w:sz w:val="20"/>
        </w:rPr>
      </w:pPr>
      <w:r>
        <w:rPr>
          <w:rFonts w:ascii="ARIAL" w:hAnsi="ARIAL"/>
          <w:sz w:val="20"/>
        </w:rPr>
        <w:t xml:space="preserve">Mr. Fry’s experience as the president of an academic institution, together with his prior experience with the University of Pennsylvania Health System and service on the boards of a number of non-profit institutions, brings two important perspectives to the Board. His familiarity with the governance issues faced by non-profit organizations assists the Board in understanding the competitive environment in which many of the Company’s competitors and acquisition targets operate. His educational background (MBA in accounting from New York University) and his experience in financial management, financial reporting, audit and compliance, and risk management are all skill sets available to and needed by the Board. In his role as president of an academic institution, he works with that institution’s information technology and security team to understand and prepare for cybersecurity risks, including incident response and business continuity planning. </w:t>
      </w:r>
    </w:p>
    <w:p>
      <w:pPr>
        <w:pStyle w:val="TextBody"/>
        <w:spacing w:before="0" w:after="0"/>
        <w:jc w:val="left"/>
        <w:rPr/>
      </w:pPr>
      <w:r>
        <w:rPr/>
        <w:t> </w:t>
      </w:r>
    </w:p>
    <w:tbl>
      <w:tblPr>
        <w:tblW w:w="4720" w:type="dxa"/>
        <w:jc w:val="left"/>
        <w:tblInd w:w="0" w:type="dxa"/>
        <w:tblCellMar>
          <w:top w:w="0" w:type="dxa"/>
          <w:left w:w="0" w:type="dxa"/>
          <w:bottom w:w="0" w:type="dxa"/>
          <w:right w:w="0" w:type="dxa"/>
        </w:tblCellMar>
      </w:tblPr>
      <w:tblGrid>
        <w:gridCol w:w="2570"/>
        <w:gridCol w:w="120"/>
        <w:gridCol w:w="2030"/>
      </w:tblGrid>
      <w:tr>
        <w:trPr/>
        <w:tc>
          <w:tcPr>
            <w:tcW w:w="257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030" w:type="dxa"/>
            <w:tcBorders/>
            <w:shd w:fill="auto" w:val="clear"/>
            <w:vAlign w:val="center"/>
          </w:tcPr>
          <w:p>
            <w:pPr>
              <w:pStyle w:val="TableContents"/>
              <w:spacing w:before="0" w:after="283"/>
              <w:rPr>
                <w:sz w:val="4"/>
                <w:szCs w:val="4"/>
              </w:rPr>
            </w:pPr>
            <w:r>
              <w:rPr>
                <w:sz w:val="4"/>
                <w:szCs w:val="4"/>
              </w:rPr>
            </w:r>
          </w:p>
        </w:tc>
      </w:tr>
      <w:tr>
        <w:trPr/>
        <w:tc>
          <w:tcPr>
            <w:tcW w:w="2570" w:type="dxa"/>
            <w:tcBorders/>
            <w:shd w:fill="auto" w:val="clear"/>
            <w:vAlign w:val="center"/>
          </w:tcPr>
          <w:p>
            <w:pPr>
              <w:pStyle w:val="TableContents"/>
              <w:spacing w:before="0" w:after="0"/>
              <w:rPr>
                <w:rFonts w:ascii="ARIAL" w:hAnsi="ARIAL"/>
                <w:b/>
                <w:sz w:val="20"/>
              </w:rPr>
            </w:pPr>
            <w:r>
              <w:rPr>
                <w:rFonts w:ascii="ARIAL" w:hAnsi="ARIAL"/>
                <w:b/>
                <w:sz w:val="20"/>
              </w:rPr>
              <w:t>Joseph A. Hastings, D.M.D.</w:t>
            </w:r>
          </w:p>
        </w:tc>
        <w:tc>
          <w:tcPr>
            <w:tcW w:w="120" w:type="dxa"/>
            <w:tcBorders/>
            <w:shd w:fill="auto" w:val="clear"/>
            <w:vAlign w:val="center"/>
          </w:tcPr>
          <w:p>
            <w:pPr>
              <w:pStyle w:val="TableContents"/>
              <w:spacing w:before="0" w:after="283"/>
              <w:rPr/>
            </w:pPr>
            <w:r>
              <w:rPr/>
              <w:t>  </w:t>
            </w:r>
          </w:p>
        </w:tc>
        <w:tc>
          <w:tcPr>
            <w:tcW w:w="2030" w:type="dxa"/>
            <w:tcBorders/>
            <w:shd w:fill="auto" w:val="clear"/>
            <w:vAlign w:val="center"/>
          </w:tcPr>
          <w:p>
            <w:pPr>
              <w:pStyle w:val="TableContents"/>
              <w:spacing w:before="0" w:after="283"/>
              <w:jc w:val="right"/>
              <w:rPr>
                <w:b/>
              </w:rPr>
            </w:pPr>
            <w:r>
              <w:rPr>
                <w:b/>
              </w:rPr>
              <w:t>Director Since 2021</w:t>
            </w:r>
          </w:p>
        </w:tc>
      </w:tr>
    </w:tbl>
    <w:p>
      <w:pPr>
        <w:pStyle w:val="TextBody"/>
        <w:spacing w:before="0" w:after="0"/>
        <w:jc w:val="left"/>
        <w:rPr>
          <w:rFonts w:ascii="ARIAL" w:hAnsi="ARIAL"/>
          <w:i/>
          <w:sz w:val="20"/>
        </w:rPr>
      </w:pPr>
      <w:r>
        <w:rPr>
          <w:rFonts w:ascii="ARIAL" w:hAnsi="ARIAL"/>
          <w:i/>
          <w:sz w:val="20"/>
        </w:rPr>
        <w:t xml:space="preserve">Governance and Nominating Committee Member </w:t>
      </w:r>
    </w:p>
    <w:p>
      <w:pPr>
        <w:pStyle w:val="TextBody"/>
        <w:spacing w:before="240" w:after="0"/>
        <w:jc w:val="left"/>
        <w:rPr>
          <w:rFonts w:ascii="ARIAL" w:hAnsi="ARIAL"/>
          <w:sz w:val="20"/>
        </w:rPr>
      </w:pPr>
      <w:r>
        <w:rPr>
          <w:rFonts w:ascii="ARIAL" w:hAnsi="ARIAL"/>
          <w:sz w:val="20"/>
        </w:rPr>
        <w:t xml:space="preserve">Dr. Hastings is a private practice orthodontist in Mobile, Alabama with over 37 years of health care experience. Dr. Hasting previously served on the board of directors of Quorum Health Corporation, an operator of general acute care hospitals and outpatient services, from 2016 until 2020, where he also served on its compensation committee, governance committee, and patient safety and quality of care committee. He has served in numerous dental and orthodontic leadership positions in local, state, and national societies. Dr. Hastings is board certified in orthodontics and has been published in several orthodontic journals. He also holds two United States patents. Dr. Hastings graduated with honors from the University of Alabama at Birmingham School of Dentistry, and completed his post-doctoral training at the Louisiana State University School of Dentistry in New Orleans. </w:t>
      </w:r>
    </w:p>
    <w:p>
      <w:pPr>
        <w:pStyle w:val="TextBody"/>
        <w:spacing w:before="240" w:after="0"/>
        <w:jc w:val="left"/>
        <w:rPr>
          <w:rFonts w:ascii="ARIAL" w:hAnsi="ARIAL"/>
          <w:sz w:val="20"/>
        </w:rPr>
      </w:pPr>
      <w:r>
        <w:rPr>
          <w:rFonts w:ascii="ARIAL" w:hAnsi="ARIAL"/>
          <w:sz w:val="20"/>
        </w:rPr>
        <w:t xml:space="preserve">Dr. Hastings brings the perspective of a health care practitioner as well as prior experience as a public-company board member to the Board. His experience in managing a health care practice is similar to that of many of the Company’s affiliated physician practices, and he can provide valuable advice to the Board and management regarding trends in both medicine and the organization and operation of health care practices.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26 </w:t>
      </w:r>
      <w:r>
        <w:br w:type="page"/>
      </w:r>
    </w:p>
    <w:p>
      <w:pPr>
        <w:pStyle w:val="HorizontalLine"/>
        <w:rPr/>
      </w:pPr>
      <w:r>
        <w:rPr/>
      </w:r>
    </w:p>
    <w:tbl>
      <w:tblPr>
        <w:tblW w:w="3685" w:type="dxa"/>
        <w:jc w:val="left"/>
        <w:tblInd w:w="0" w:type="dxa"/>
        <w:tblCellMar>
          <w:top w:w="0" w:type="dxa"/>
          <w:left w:w="0" w:type="dxa"/>
          <w:bottom w:w="0" w:type="dxa"/>
          <w:right w:w="0" w:type="dxa"/>
        </w:tblCellMar>
      </w:tblPr>
      <w:tblGrid>
        <w:gridCol w:w="1535"/>
        <w:gridCol w:w="120"/>
        <w:gridCol w:w="2030"/>
      </w:tblGrid>
      <w:tr>
        <w:trPr/>
        <w:tc>
          <w:tcPr>
            <w:tcW w:w="153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030" w:type="dxa"/>
            <w:tcBorders/>
            <w:shd w:fill="auto" w:val="clear"/>
            <w:vAlign w:val="center"/>
          </w:tcPr>
          <w:p>
            <w:pPr>
              <w:pStyle w:val="TableContents"/>
              <w:spacing w:before="0" w:after="283"/>
              <w:rPr>
                <w:sz w:val="4"/>
                <w:szCs w:val="4"/>
              </w:rPr>
            </w:pPr>
            <w:r>
              <w:rPr>
                <w:sz w:val="4"/>
                <w:szCs w:val="4"/>
              </w:rPr>
            </w:r>
          </w:p>
        </w:tc>
      </w:tr>
      <w:tr>
        <w:trPr/>
        <w:tc>
          <w:tcPr>
            <w:tcW w:w="1535" w:type="dxa"/>
            <w:tcBorders/>
            <w:shd w:fill="auto" w:val="clear"/>
            <w:vAlign w:val="center"/>
          </w:tcPr>
          <w:p>
            <w:pPr>
              <w:pStyle w:val="TableContents"/>
              <w:spacing w:before="0" w:after="0"/>
              <w:rPr>
                <w:rFonts w:ascii="ARIAL" w:hAnsi="ARIAL"/>
                <w:b/>
                <w:sz w:val="20"/>
              </w:rPr>
            </w:pPr>
            <w:r>
              <w:rPr>
                <w:rFonts w:ascii="ARIAL" w:hAnsi="ARIAL"/>
                <w:b/>
                <w:sz w:val="20"/>
              </w:rPr>
              <w:t>Tim L. Hingtgen</w:t>
            </w:r>
          </w:p>
        </w:tc>
        <w:tc>
          <w:tcPr>
            <w:tcW w:w="120" w:type="dxa"/>
            <w:tcBorders/>
            <w:shd w:fill="auto" w:val="clear"/>
            <w:vAlign w:val="center"/>
          </w:tcPr>
          <w:p>
            <w:pPr>
              <w:pStyle w:val="TableContents"/>
              <w:spacing w:before="0" w:after="283"/>
              <w:rPr/>
            </w:pPr>
            <w:r>
              <w:rPr/>
              <w:t>  </w:t>
            </w:r>
          </w:p>
        </w:tc>
        <w:tc>
          <w:tcPr>
            <w:tcW w:w="2030" w:type="dxa"/>
            <w:tcBorders/>
            <w:shd w:fill="auto" w:val="clear"/>
            <w:vAlign w:val="center"/>
          </w:tcPr>
          <w:p>
            <w:pPr>
              <w:pStyle w:val="TableContents"/>
              <w:spacing w:before="0" w:after="283"/>
              <w:jc w:val="right"/>
              <w:rPr>
                <w:b/>
              </w:rPr>
            </w:pPr>
            <w:r>
              <w:rPr>
                <w:b/>
              </w:rPr>
              <w:t>Director Since 2017</w:t>
            </w:r>
          </w:p>
        </w:tc>
      </w:tr>
    </w:tbl>
    <w:p>
      <w:pPr>
        <w:pStyle w:val="TextBody"/>
        <w:spacing w:before="240" w:after="0"/>
        <w:jc w:val="left"/>
        <w:rPr>
          <w:rFonts w:ascii="ARIAL" w:hAnsi="ARIAL"/>
          <w:sz w:val="20"/>
        </w:rPr>
      </w:pPr>
      <w:r>
        <w:rPr>
          <w:rFonts w:ascii="ARIAL" w:hAnsi="ARIAL"/>
          <w:sz w:val="20"/>
        </w:rPr>
        <w:t xml:space="preserve">Mr. Hingtgen has served as our Chief Executive Officer since January 2021. Prior to that, he served as President and Chief Operating Officer from September 2016 through December 2020. In his role as Chief Executive Officer, he is responsible for strategic and operational priorities of the Company, and providing oversight and direction to the senior corporate and regional operations leaders who directly support the Company’s affiliated markets and related acute and ambulatory offerings. Mr. Hingtgen joined us in 2008 as a vice president of division operations, and, in January 2014, he was promoted to division president. In that position, he oversaw the operations of our affiliated markets in the western United States. In May 2016, Mr. Hingtgen was promoted again to executive vice president of operations. In that position he worked directly with the Company’s chief executive officer, chief operating officer and chief financial officer to advance the Company’s strategic priorities and to help elevate operational and financial performance in key markets. Mr. Hingtgen has over 20 years of healthcare management experience. Prior to joining us, he held chief executive officer and chief operating officer positions at for-profit hospitals in Arizona, Indiana and Nevada. Mr. Hingtgen has a master’s degree in business administration from the University of Nevada, Las Vegas. </w:t>
      </w:r>
    </w:p>
    <w:p>
      <w:pPr>
        <w:pStyle w:val="TextBody"/>
        <w:spacing w:before="240" w:after="0"/>
        <w:jc w:val="left"/>
        <w:rPr>
          <w:rFonts w:ascii="ARIAL" w:hAnsi="ARIAL"/>
          <w:sz w:val="20"/>
        </w:rPr>
      </w:pPr>
      <w:r>
        <w:rPr>
          <w:rFonts w:ascii="ARIAL" w:hAnsi="ARIAL"/>
          <w:sz w:val="20"/>
        </w:rPr>
        <w:t>As the Company’s chief executive officer, Mr. Hingtgen brings a deep perspective on the strategic development of the Company and its business lines, as well as the operation of hospitals, outpatient care centers, and integrated network delivery systems. He was named one of the 100 Most Influential People in Healthcare in </w:t>
      </w:r>
      <w:r>
        <w:rPr>
          <w:rFonts w:ascii="ARIAL" w:hAnsi="ARIAL"/>
          <w:i/>
          <w:sz w:val="20"/>
        </w:rPr>
        <w:t>Modern Healthcare</w:t>
      </w:r>
      <w:r>
        <w:rPr>
          <w:rFonts w:ascii="ARIAL" w:hAnsi="ARIAL"/>
          <w:sz w:val="20"/>
        </w:rPr>
        <w:t xml:space="preserve">’s peer-voted list for 2022. His vision and implementation of the corporate-wide efforts to strengthen the Company’s overall operations and support of organic growth and the delivery of high quality healthcare services are needed inputs on the Board’s development of its agenda. </w:t>
      </w:r>
    </w:p>
    <w:p>
      <w:pPr>
        <w:pStyle w:val="TextBody"/>
        <w:spacing w:before="0" w:after="0"/>
        <w:jc w:val="left"/>
        <w:rPr/>
      </w:pPr>
      <w:r>
        <w:rPr/>
        <w:t> </w:t>
      </w:r>
    </w:p>
    <w:tbl>
      <w:tblPr>
        <w:tblW w:w="3955" w:type="dxa"/>
        <w:jc w:val="left"/>
        <w:tblInd w:w="0" w:type="dxa"/>
        <w:tblCellMar>
          <w:top w:w="0" w:type="dxa"/>
          <w:left w:w="0" w:type="dxa"/>
          <w:bottom w:w="0" w:type="dxa"/>
          <w:right w:w="0" w:type="dxa"/>
        </w:tblCellMar>
      </w:tblPr>
      <w:tblGrid>
        <w:gridCol w:w="1805"/>
        <w:gridCol w:w="120"/>
        <w:gridCol w:w="2030"/>
      </w:tblGrid>
      <w:tr>
        <w:trPr/>
        <w:tc>
          <w:tcPr>
            <w:tcW w:w="180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030" w:type="dxa"/>
            <w:tcBorders/>
            <w:shd w:fill="auto" w:val="clear"/>
            <w:vAlign w:val="center"/>
          </w:tcPr>
          <w:p>
            <w:pPr>
              <w:pStyle w:val="TableContents"/>
              <w:spacing w:before="0" w:after="283"/>
              <w:rPr>
                <w:sz w:val="4"/>
                <w:szCs w:val="4"/>
              </w:rPr>
            </w:pPr>
            <w:r>
              <w:rPr>
                <w:sz w:val="4"/>
                <w:szCs w:val="4"/>
              </w:rPr>
            </w:r>
          </w:p>
        </w:tc>
      </w:tr>
      <w:tr>
        <w:trPr/>
        <w:tc>
          <w:tcPr>
            <w:tcW w:w="1805" w:type="dxa"/>
            <w:tcBorders/>
            <w:shd w:fill="auto" w:val="clear"/>
            <w:vAlign w:val="center"/>
          </w:tcPr>
          <w:p>
            <w:pPr>
              <w:pStyle w:val="TableContents"/>
              <w:spacing w:before="0" w:after="0"/>
              <w:rPr>
                <w:rFonts w:ascii="ARIAL" w:hAnsi="ARIAL"/>
                <w:b/>
                <w:sz w:val="20"/>
              </w:rPr>
            </w:pPr>
            <w:r>
              <w:rPr>
                <w:rFonts w:ascii="ARIAL" w:hAnsi="ARIAL"/>
                <w:b/>
                <w:sz w:val="20"/>
              </w:rPr>
              <w:t>Elizabeth T. Hirsch</w:t>
            </w:r>
          </w:p>
        </w:tc>
        <w:tc>
          <w:tcPr>
            <w:tcW w:w="120" w:type="dxa"/>
            <w:tcBorders/>
            <w:shd w:fill="auto" w:val="clear"/>
            <w:vAlign w:val="center"/>
          </w:tcPr>
          <w:p>
            <w:pPr>
              <w:pStyle w:val="TableContents"/>
              <w:spacing w:before="0" w:after="283"/>
              <w:rPr/>
            </w:pPr>
            <w:r>
              <w:rPr/>
              <w:t>  </w:t>
            </w:r>
          </w:p>
        </w:tc>
        <w:tc>
          <w:tcPr>
            <w:tcW w:w="2030" w:type="dxa"/>
            <w:tcBorders/>
            <w:shd w:fill="auto" w:val="clear"/>
            <w:vAlign w:val="center"/>
          </w:tcPr>
          <w:p>
            <w:pPr>
              <w:pStyle w:val="TableContents"/>
              <w:spacing w:before="0" w:after="283"/>
              <w:jc w:val="right"/>
              <w:rPr>
                <w:b/>
              </w:rPr>
            </w:pPr>
            <w:r>
              <w:rPr>
                <w:b/>
              </w:rPr>
              <w:t>Director Since 2018</w:t>
            </w:r>
          </w:p>
        </w:tc>
      </w:tr>
    </w:tbl>
    <w:p>
      <w:pPr>
        <w:pStyle w:val="TextBody"/>
        <w:spacing w:before="0" w:after="0"/>
        <w:jc w:val="left"/>
        <w:rPr>
          <w:rFonts w:ascii="ARIAL" w:hAnsi="ARIAL"/>
          <w:i/>
          <w:sz w:val="20"/>
        </w:rPr>
      </w:pPr>
      <w:r>
        <w:rPr>
          <w:rFonts w:ascii="ARIAL" w:hAnsi="ARIAL"/>
          <w:i/>
          <w:sz w:val="20"/>
        </w:rPr>
        <w:t xml:space="preserve">Audit and Compliance Committee Member </w:t>
      </w:r>
    </w:p>
    <w:p>
      <w:pPr>
        <w:pStyle w:val="TextBody"/>
        <w:spacing w:before="0" w:after="0"/>
        <w:jc w:val="left"/>
        <w:rPr>
          <w:rFonts w:ascii="ARIAL" w:hAnsi="ARIAL"/>
          <w:i/>
          <w:sz w:val="20"/>
        </w:rPr>
      </w:pPr>
      <w:r>
        <w:rPr>
          <w:rFonts w:ascii="ARIAL" w:hAnsi="ARIAL"/>
          <w:i/>
          <w:sz w:val="20"/>
        </w:rPr>
        <w:t xml:space="preserve">Compensation Committee Member </w:t>
      </w:r>
    </w:p>
    <w:p>
      <w:pPr>
        <w:pStyle w:val="TextBody"/>
        <w:spacing w:before="240" w:after="0"/>
        <w:jc w:val="left"/>
        <w:rPr>
          <w:rFonts w:ascii="ARIAL" w:hAnsi="ARIAL"/>
          <w:sz w:val="20"/>
        </w:rPr>
      </w:pPr>
      <w:r>
        <w:rPr>
          <w:rFonts w:ascii="ARIAL" w:hAnsi="ARIAL"/>
          <w:sz w:val="20"/>
        </w:rPr>
        <w:t xml:space="preserve">Ms. Hirsch is currently retired. She served as vice president and controller of Praxair from 2010 until her retirement in August 2016. In that role, she was responsible for Praxair’s global financial statement consolidation and SEC reporting. Prior to becoming controller, Ms. Hirsch served as Praxair’s director and then vice president of investor relations from 2002 until 2010. In that role she was recognized as the Best Investor Relations Professional in the Chemicals Sector by both buy-side and sell-side analysts in a 2011 Institutional Investor Survey. Ms. Hirsch joined Praxair in 1995 as director of corporate finance and later served as assistant treasurer. Prior to joining Praxair, she had fifteen years of experience in corporate banking, primarily at Manufacturers Hanover Trust Company. Ms. Hirsch also serves on the board of trustees of Devereux Advanced Behavioral Health, a non-profit organization providing services and leadership in the field of behavioral health. She is a member of Devereux’s executive committee, finance committee (chair), audit and compliance committee and clinical committee. Ms. Hirsch is also a trustee of the Helena Devereux Foundation. In addition, she serves on the board of directors of the Women’s Business Development Council of Connecticut, a non-profit organization providing education, technical and financial assistance to small businesses in Connecticut. </w:t>
      </w:r>
    </w:p>
    <w:p>
      <w:pPr>
        <w:pStyle w:val="TextBody"/>
        <w:spacing w:before="240" w:after="0"/>
        <w:jc w:val="left"/>
        <w:rPr>
          <w:rFonts w:ascii="ARIAL" w:hAnsi="ARIAL"/>
          <w:sz w:val="20"/>
        </w:rPr>
      </w:pPr>
      <w:r>
        <w:rPr>
          <w:rFonts w:ascii="ARIAL" w:hAnsi="ARIAL"/>
          <w:sz w:val="20"/>
        </w:rPr>
        <w:t xml:space="preserve">Ms. Hirsch’s educational background (MBA in finance from New York University) and her years of experience as a senior accounting and finance executive in a large publicly-traded corporation provide the Board with valuable additional insight in the areas of accounting and finance, including financial statement preparation, internal controls, SEC reporting and financings similar to the Company’s outstanding indebtedness, as well as in the area of environmental sustainability reporting. She also brings investor relations expertise to the Board, including an understanding of the perspective of institutional investors.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27 </w:t>
      </w:r>
      <w:r>
        <w:br w:type="page"/>
      </w:r>
    </w:p>
    <w:p>
      <w:pPr>
        <w:pStyle w:val="HorizontalLine"/>
        <w:rPr/>
      </w:pPr>
      <w:r>
        <w:rPr/>
      </w:r>
    </w:p>
    <w:tbl>
      <w:tblPr>
        <w:tblW w:w="4975" w:type="dxa"/>
        <w:jc w:val="left"/>
        <w:tblInd w:w="0" w:type="dxa"/>
        <w:tblCellMar>
          <w:top w:w="0" w:type="dxa"/>
          <w:left w:w="0" w:type="dxa"/>
          <w:bottom w:w="0" w:type="dxa"/>
          <w:right w:w="0" w:type="dxa"/>
        </w:tblCellMar>
      </w:tblPr>
      <w:tblGrid>
        <w:gridCol w:w="2825"/>
        <w:gridCol w:w="120"/>
        <w:gridCol w:w="2030"/>
      </w:tblGrid>
      <w:tr>
        <w:trPr/>
        <w:tc>
          <w:tcPr>
            <w:tcW w:w="282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030" w:type="dxa"/>
            <w:tcBorders/>
            <w:shd w:fill="auto" w:val="clear"/>
            <w:vAlign w:val="center"/>
          </w:tcPr>
          <w:p>
            <w:pPr>
              <w:pStyle w:val="TableContents"/>
              <w:spacing w:before="0" w:after="283"/>
              <w:rPr>
                <w:sz w:val="4"/>
                <w:szCs w:val="4"/>
              </w:rPr>
            </w:pPr>
            <w:r>
              <w:rPr>
                <w:sz w:val="4"/>
                <w:szCs w:val="4"/>
              </w:rPr>
            </w:r>
          </w:p>
        </w:tc>
      </w:tr>
      <w:tr>
        <w:trPr/>
        <w:tc>
          <w:tcPr>
            <w:tcW w:w="2825" w:type="dxa"/>
            <w:tcBorders/>
            <w:shd w:fill="auto" w:val="clear"/>
            <w:vAlign w:val="center"/>
          </w:tcPr>
          <w:p>
            <w:pPr>
              <w:pStyle w:val="TableContents"/>
              <w:spacing w:before="0" w:after="0"/>
              <w:rPr>
                <w:rFonts w:ascii="ARIAL" w:hAnsi="ARIAL"/>
                <w:b/>
                <w:sz w:val="20"/>
              </w:rPr>
            </w:pPr>
            <w:r>
              <w:rPr>
                <w:rFonts w:ascii="ARIAL" w:hAnsi="ARIAL"/>
                <w:b/>
                <w:sz w:val="20"/>
              </w:rPr>
              <w:t>William Norris Jennings, M.D.</w:t>
            </w:r>
          </w:p>
        </w:tc>
        <w:tc>
          <w:tcPr>
            <w:tcW w:w="120" w:type="dxa"/>
            <w:tcBorders/>
            <w:shd w:fill="auto" w:val="clear"/>
            <w:vAlign w:val="center"/>
          </w:tcPr>
          <w:p>
            <w:pPr>
              <w:pStyle w:val="TableContents"/>
              <w:spacing w:before="0" w:after="283"/>
              <w:rPr/>
            </w:pPr>
            <w:r>
              <w:rPr/>
              <w:t>  </w:t>
            </w:r>
          </w:p>
        </w:tc>
        <w:tc>
          <w:tcPr>
            <w:tcW w:w="2030" w:type="dxa"/>
            <w:tcBorders/>
            <w:shd w:fill="auto" w:val="clear"/>
            <w:vAlign w:val="center"/>
          </w:tcPr>
          <w:p>
            <w:pPr>
              <w:pStyle w:val="TableContents"/>
              <w:spacing w:before="0" w:after="283"/>
              <w:jc w:val="right"/>
              <w:rPr>
                <w:b/>
              </w:rPr>
            </w:pPr>
            <w:r>
              <w:rPr>
                <w:b/>
              </w:rPr>
              <w:t>Director Since 2008</w:t>
            </w:r>
          </w:p>
        </w:tc>
      </w:tr>
    </w:tbl>
    <w:p>
      <w:pPr>
        <w:pStyle w:val="TextBody"/>
        <w:spacing w:before="0" w:after="0"/>
        <w:jc w:val="left"/>
        <w:rPr>
          <w:rFonts w:ascii="ARIAL" w:hAnsi="ARIAL"/>
          <w:i/>
          <w:sz w:val="20"/>
        </w:rPr>
      </w:pPr>
      <w:r>
        <w:rPr>
          <w:rFonts w:ascii="ARIAL" w:hAnsi="ARIAL"/>
          <w:i/>
          <w:sz w:val="20"/>
        </w:rPr>
        <w:t xml:space="preserve">Governance and Nominating Committee Member </w:t>
      </w:r>
    </w:p>
    <w:p>
      <w:pPr>
        <w:pStyle w:val="TextBody"/>
        <w:spacing w:before="240" w:after="0"/>
        <w:jc w:val="left"/>
        <w:rPr>
          <w:rFonts w:ascii="ARIAL" w:hAnsi="ARIAL"/>
          <w:sz w:val="20"/>
        </w:rPr>
      </w:pPr>
      <w:r>
        <w:rPr>
          <w:rFonts w:ascii="ARIAL" w:hAnsi="ARIAL"/>
          <w:sz w:val="20"/>
        </w:rPr>
        <w:t xml:space="preserve">Dr. Jennings is currently retired. For more than 43 years, he was a practicing family medicine physician, most recently with KentuckyOne Health, in Louisville, Kentucky, which was formed by the merger of Jewish Hospital &amp; St. Mary’s HealthCare with Saint Joseph Health System in 2012. He served on KentuckyOne Health’s quality committee and formerly served as the quality committee chair for The Physician Group, which was affiliated with Jewish Hospital &amp; St. Mary’s HealthCare prior to its merger with Saint Joseph Health System. From 1971 until 2005, when the practice was acquired by Jewish Hospital, Dr. Jennings was in private practice with Southend Medical Clinic, PSC, serving as its managing partner. </w:t>
      </w:r>
    </w:p>
    <w:p>
      <w:pPr>
        <w:pStyle w:val="TextBody"/>
        <w:spacing w:before="240" w:after="0"/>
        <w:jc w:val="left"/>
        <w:rPr>
          <w:rFonts w:ascii="ARIAL" w:hAnsi="ARIAL"/>
          <w:sz w:val="20"/>
        </w:rPr>
      </w:pPr>
      <w:r>
        <w:rPr>
          <w:rFonts w:ascii="ARIAL" w:hAnsi="ARIAL"/>
          <w:sz w:val="20"/>
        </w:rPr>
        <w:t xml:space="preserve">Dr. Jennings brings the perspective of a physician to the Board. His career in a community practice setting is typical to that of most of the Company’s facilities and he provides advice to the Board and management about trends in medicine as well as the organization and operation of physician practices. His experience managing large physician practices, with particular focus in the areas of risk and quality oversight, offers the Board a physician’s viewpoint in these areas. He also brings practitioner insight to quality measures and reporting, electronic health record implementation, and federal government regulation of practitioner-hospital relationships. </w:t>
      </w:r>
    </w:p>
    <w:p>
      <w:pPr>
        <w:pStyle w:val="TextBody"/>
        <w:spacing w:before="0" w:after="0"/>
        <w:jc w:val="left"/>
        <w:rPr/>
      </w:pPr>
      <w:r>
        <w:rPr/>
        <w:t> </w:t>
      </w:r>
    </w:p>
    <w:tbl>
      <w:tblPr>
        <w:tblW w:w="4615" w:type="dxa"/>
        <w:jc w:val="left"/>
        <w:tblInd w:w="0" w:type="dxa"/>
        <w:tblCellMar>
          <w:top w:w="0" w:type="dxa"/>
          <w:left w:w="0" w:type="dxa"/>
          <w:bottom w:w="0" w:type="dxa"/>
          <w:right w:w="0" w:type="dxa"/>
        </w:tblCellMar>
      </w:tblPr>
      <w:tblGrid>
        <w:gridCol w:w="2465"/>
        <w:gridCol w:w="120"/>
        <w:gridCol w:w="2030"/>
      </w:tblGrid>
      <w:tr>
        <w:trPr/>
        <w:tc>
          <w:tcPr>
            <w:tcW w:w="246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030" w:type="dxa"/>
            <w:tcBorders/>
            <w:shd w:fill="auto" w:val="clear"/>
            <w:vAlign w:val="center"/>
          </w:tcPr>
          <w:p>
            <w:pPr>
              <w:pStyle w:val="TableContents"/>
              <w:spacing w:before="0" w:after="283"/>
              <w:rPr>
                <w:sz w:val="4"/>
                <w:szCs w:val="4"/>
              </w:rPr>
            </w:pPr>
            <w:r>
              <w:rPr>
                <w:sz w:val="4"/>
                <w:szCs w:val="4"/>
              </w:rPr>
            </w:r>
          </w:p>
        </w:tc>
      </w:tr>
      <w:tr>
        <w:trPr/>
        <w:tc>
          <w:tcPr>
            <w:tcW w:w="2465" w:type="dxa"/>
            <w:tcBorders/>
            <w:shd w:fill="auto" w:val="clear"/>
            <w:vAlign w:val="center"/>
          </w:tcPr>
          <w:p>
            <w:pPr>
              <w:pStyle w:val="TableContents"/>
              <w:spacing w:before="0" w:after="0"/>
              <w:rPr>
                <w:rFonts w:ascii="ARIAL" w:hAnsi="ARIAL"/>
                <w:b/>
                <w:sz w:val="20"/>
              </w:rPr>
            </w:pPr>
            <w:r>
              <w:rPr>
                <w:rFonts w:ascii="ARIAL" w:hAnsi="ARIAL"/>
                <w:b/>
                <w:sz w:val="20"/>
              </w:rPr>
              <w:t>K. Ranga Krishnan, MBBS</w:t>
            </w:r>
          </w:p>
        </w:tc>
        <w:tc>
          <w:tcPr>
            <w:tcW w:w="120" w:type="dxa"/>
            <w:tcBorders/>
            <w:shd w:fill="auto" w:val="clear"/>
            <w:vAlign w:val="center"/>
          </w:tcPr>
          <w:p>
            <w:pPr>
              <w:pStyle w:val="TableContents"/>
              <w:spacing w:before="0" w:after="283"/>
              <w:rPr/>
            </w:pPr>
            <w:r>
              <w:rPr/>
              <w:t>  </w:t>
            </w:r>
          </w:p>
        </w:tc>
        <w:tc>
          <w:tcPr>
            <w:tcW w:w="2030" w:type="dxa"/>
            <w:tcBorders/>
            <w:shd w:fill="auto" w:val="clear"/>
            <w:vAlign w:val="center"/>
          </w:tcPr>
          <w:p>
            <w:pPr>
              <w:pStyle w:val="TableContents"/>
              <w:spacing w:before="0" w:after="283"/>
              <w:jc w:val="right"/>
              <w:rPr>
                <w:b/>
              </w:rPr>
            </w:pPr>
            <w:r>
              <w:rPr>
                <w:b/>
              </w:rPr>
              <w:t>Director Since 2017</w:t>
            </w:r>
          </w:p>
        </w:tc>
      </w:tr>
    </w:tbl>
    <w:p>
      <w:pPr>
        <w:pStyle w:val="TextBody"/>
        <w:spacing w:before="0" w:after="0"/>
        <w:jc w:val="left"/>
        <w:rPr>
          <w:rFonts w:ascii="ARIAL" w:hAnsi="ARIAL"/>
          <w:i/>
          <w:sz w:val="20"/>
        </w:rPr>
      </w:pPr>
      <w:r>
        <w:rPr>
          <w:rFonts w:ascii="ARIAL" w:hAnsi="ARIAL"/>
          <w:i/>
          <w:sz w:val="20"/>
        </w:rPr>
        <w:t xml:space="preserve">Governance and Nominating Committee Member </w:t>
      </w:r>
    </w:p>
    <w:p>
      <w:pPr>
        <w:pStyle w:val="TextBody"/>
        <w:spacing w:before="240" w:after="0"/>
        <w:jc w:val="left"/>
        <w:rPr>
          <w:rFonts w:ascii="ARIAL" w:hAnsi="ARIAL"/>
          <w:sz w:val="20"/>
        </w:rPr>
      </w:pPr>
      <w:r>
        <w:rPr>
          <w:rFonts w:ascii="ARIAL" w:hAnsi="ARIAL"/>
          <w:sz w:val="20"/>
        </w:rPr>
        <w:t xml:space="preserve">Dr. Krishnan is the executive vice chairman and senior advisor to Rush University System for Health, an internationally known academic health center and health system in Chicago, Illinois. He also serves as a professor in the department of psychiatry at Rush Medical College. Dr. Krishnan served as the chief executive officer of Rush University System for Health from 2019 to 2022. From 2015 to 2019, Dr. Krishnan served as dean of Rush Medical College and as senior vice president of Rush University Medical Center.    From 2008 to 2015, Dr. Krishnan served as dean at the Duke-NUS Medical School, a joint venture between Duke University, in Durham, North Carolina and the National University of Singapore, in Singapore. He served on the board of directors of Singapore Health Services (SingHealth), the largest healthcare system in Singapore from 2013 to 2022. Dr. Krishnan currently serves on Singapore’s Health and Biomedical Science Executive Committee and as chairman of the National Medical Research Council and the National Health Innovation Center Singapore. Prior to and during his tenure in Singapore, Dr. Krishnan was a professor in the department of psychiatry and behavioral sciences at Duke University Medical Center, including serving as chairman of psychiatry and behavioral sciences from 1998 to 2009. He is a member of several professional societies, including the American Psychiatric Association, the American Association for the Advancement of Science, the New York Academy of Sciences, and the National Academy of Medicine. Dr. Krishnan has also received numerous honors and awards, including the Distinguished Scientist Award from the American Association of Geriatric Psychiatry, and the following honors from the government of Singapore for his service to that country – the Honorary Citizen Award (the highest honor conferred to non-citizens of Singapore), the President’s Science and Technology Award, and the Public Service Medal (Friend of Singapore). </w:t>
      </w:r>
    </w:p>
    <w:p>
      <w:pPr>
        <w:pStyle w:val="TextBody"/>
        <w:spacing w:before="240" w:after="0"/>
        <w:jc w:val="left"/>
        <w:rPr>
          <w:rFonts w:ascii="ARIAL" w:hAnsi="ARIAL"/>
          <w:sz w:val="20"/>
        </w:rPr>
      </w:pPr>
      <w:r>
        <w:rPr>
          <w:rFonts w:ascii="ARIAL" w:hAnsi="ARIAL"/>
          <w:sz w:val="20"/>
        </w:rPr>
        <w:t xml:space="preserve">Dr. Krishnan’s service as an executive and administrator at a large medical center and as the dean of two medical schools provides the Board with valuable experience in the management of physician practices and in maintaining compliance with the complex regulatory requirements of the hospital and healthcare industries. </w:t>
      </w:r>
    </w:p>
    <w:p>
      <w:pPr>
        <w:pStyle w:val="TextBody"/>
        <w:spacing w:before="0" w:after="0"/>
        <w:jc w:val="left"/>
        <w:rPr/>
      </w:pPr>
      <w:r>
        <w:rPr/>
        <w:t> </w:t>
      </w:r>
    </w:p>
    <w:tbl>
      <w:tblPr>
        <w:tblW w:w="3655" w:type="dxa"/>
        <w:jc w:val="left"/>
        <w:tblInd w:w="0" w:type="dxa"/>
        <w:tblCellMar>
          <w:top w:w="0" w:type="dxa"/>
          <w:left w:w="0" w:type="dxa"/>
          <w:bottom w:w="0" w:type="dxa"/>
          <w:right w:w="0" w:type="dxa"/>
        </w:tblCellMar>
      </w:tblPr>
      <w:tblGrid>
        <w:gridCol w:w="1505"/>
        <w:gridCol w:w="120"/>
        <w:gridCol w:w="2030"/>
      </w:tblGrid>
      <w:tr>
        <w:trPr/>
        <w:tc>
          <w:tcPr>
            <w:tcW w:w="150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030" w:type="dxa"/>
            <w:tcBorders/>
            <w:shd w:fill="auto" w:val="clear"/>
            <w:vAlign w:val="center"/>
          </w:tcPr>
          <w:p>
            <w:pPr>
              <w:pStyle w:val="TableContents"/>
              <w:spacing w:before="0" w:after="283"/>
              <w:rPr>
                <w:sz w:val="4"/>
                <w:szCs w:val="4"/>
              </w:rPr>
            </w:pPr>
            <w:r>
              <w:rPr>
                <w:sz w:val="4"/>
                <w:szCs w:val="4"/>
              </w:rPr>
            </w:r>
          </w:p>
        </w:tc>
      </w:tr>
      <w:tr>
        <w:trPr/>
        <w:tc>
          <w:tcPr>
            <w:tcW w:w="1505" w:type="dxa"/>
            <w:tcBorders/>
            <w:shd w:fill="auto" w:val="clear"/>
            <w:vAlign w:val="center"/>
          </w:tcPr>
          <w:p>
            <w:pPr>
              <w:pStyle w:val="TableContents"/>
              <w:spacing w:before="0" w:after="0"/>
              <w:rPr>
                <w:rFonts w:ascii="ARIAL" w:hAnsi="ARIAL"/>
                <w:b/>
                <w:sz w:val="20"/>
              </w:rPr>
            </w:pPr>
            <w:r>
              <w:rPr>
                <w:rFonts w:ascii="ARIAL" w:hAnsi="ARIAL"/>
                <w:b/>
                <w:sz w:val="20"/>
              </w:rPr>
              <w:t>Wayne T. Smith</w:t>
            </w:r>
          </w:p>
        </w:tc>
        <w:tc>
          <w:tcPr>
            <w:tcW w:w="120" w:type="dxa"/>
            <w:tcBorders/>
            <w:shd w:fill="auto" w:val="clear"/>
            <w:vAlign w:val="center"/>
          </w:tcPr>
          <w:p>
            <w:pPr>
              <w:pStyle w:val="TableContents"/>
              <w:spacing w:before="0" w:after="283"/>
              <w:rPr/>
            </w:pPr>
            <w:r>
              <w:rPr/>
              <w:t>  </w:t>
            </w:r>
          </w:p>
        </w:tc>
        <w:tc>
          <w:tcPr>
            <w:tcW w:w="2030" w:type="dxa"/>
            <w:tcBorders/>
            <w:shd w:fill="auto" w:val="clear"/>
            <w:vAlign w:val="center"/>
          </w:tcPr>
          <w:p>
            <w:pPr>
              <w:pStyle w:val="TableContents"/>
              <w:spacing w:before="0" w:after="283"/>
              <w:jc w:val="right"/>
              <w:rPr>
                <w:b/>
              </w:rPr>
            </w:pPr>
            <w:r>
              <w:rPr>
                <w:b/>
              </w:rPr>
              <w:t>Director Since 1997</w:t>
            </w:r>
          </w:p>
        </w:tc>
      </w:tr>
    </w:tbl>
    <w:p>
      <w:pPr>
        <w:pStyle w:val="TextBody"/>
        <w:spacing w:before="0" w:after="0"/>
        <w:jc w:val="left"/>
        <w:rPr>
          <w:rFonts w:ascii="ARIAL" w:hAnsi="ARIAL"/>
          <w:i/>
          <w:sz w:val="20"/>
        </w:rPr>
      </w:pPr>
      <w:r>
        <w:rPr>
          <w:rFonts w:ascii="ARIAL" w:hAnsi="ARIAL"/>
          <w:i/>
          <w:sz w:val="20"/>
        </w:rPr>
        <w:t xml:space="preserve">Chairman of the Board of Directors </w:t>
      </w:r>
    </w:p>
    <w:p>
      <w:pPr>
        <w:pStyle w:val="TextBody"/>
        <w:spacing w:before="240" w:after="0"/>
        <w:jc w:val="left"/>
        <w:rPr>
          <w:rFonts w:ascii="ARIAL" w:hAnsi="ARIAL"/>
          <w:sz w:val="20"/>
        </w:rPr>
      </w:pPr>
      <w:r>
        <w:rPr>
          <w:rFonts w:ascii="ARIAL" w:hAnsi="ARIAL"/>
          <w:sz w:val="20"/>
        </w:rPr>
        <w:t xml:space="preserve">Mr. Smith has served as the non-executive Chairman of our Board of Directors since January 2023. He has been a member of our Board of Directors since April 1997 and has served as Chairman since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28 </w:t>
      </w:r>
      <w:r>
        <w:br w:type="page"/>
      </w:r>
    </w:p>
    <w:p>
      <w:pPr>
        <w:pStyle w:val="HorizontalLine"/>
        <w:rPr/>
      </w:pPr>
      <w:r>
        <w:rPr/>
      </w:r>
    </w:p>
    <w:p>
      <w:pPr>
        <w:pStyle w:val="TextBody"/>
        <w:spacing w:before="0" w:after="0"/>
        <w:jc w:val="left"/>
        <w:rPr>
          <w:rFonts w:ascii="ARIAL" w:hAnsi="ARIAL"/>
          <w:sz w:val="20"/>
        </w:rPr>
      </w:pPr>
      <w:r>
        <w:rPr>
          <w:rFonts w:ascii="ARIAL" w:hAnsi="ARIAL"/>
          <w:sz w:val="20"/>
        </w:rPr>
        <w:t>2001. Mr. Smith joined us in January 1997 as President, a position he held until January 2014. From April 1997 through December 2020, he also served as our Chief Executive Officer. In January 2021, Mr. Smith was named our Executive Chairman of the Board, a position he held until he retired as an executive of the Company effective January 2023. Prior to joining us, Mr. Smith was President and Chief Operating Officer of Humana, Inc., where he served in various management positions during his 23 years with that company. Mr. Smith also serves on the board of trustees of Auburn University. He previously served on the board of directors of Praxair from July 2001 until its merger with Linde AG in October 2018, with service initially on Praxair’s audit committee and later on its compensation committee (former chair). Mr. Smith is the past-chair of the board of the Federation of American Hospitals. He is also the past-chair and a former board member of both the Nashville Area Chamber of Commerce and the Nashville Health Care Council. Mr. Smith is the uncle of Austen D. (Drew) Mason, who serves as the Regional President — Region 1 Operations of the Company as noted below.</w:t>
      </w:r>
    </w:p>
    <w:p>
      <w:pPr>
        <w:pStyle w:val="TextBody"/>
        <w:spacing w:before="240" w:after="0"/>
        <w:jc w:val="left"/>
        <w:rPr>
          <w:rFonts w:ascii="ARIAL" w:hAnsi="ARIAL"/>
          <w:sz w:val="20"/>
        </w:rPr>
      </w:pPr>
      <w:r>
        <w:rPr>
          <w:rFonts w:ascii="ARIAL" w:hAnsi="ARIAL"/>
          <w:sz w:val="20"/>
        </w:rPr>
        <w:t>At the time of his retirement as an executive of the Company, Mr. Smith was one of the most tenured executives in the hospital industry, with decades of experience in both the hospital and outpatient facilities sector and the managed care sector. Over the years, he garnered professional recognition from his peers, investors, and the business community. He was named one of the 100 Most Influential People in Healthcare in </w:t>
      </w:r>
      <w:r>
        <w:rPr>
          <w:rFonts w:ascii="ARIAL" w:hAnsi="ARIAL"/>
          <w:i/>
          <w:sz w:val="20"/>
        </w:rPr>
        <w:t>Modern Healthcare</w:t>
      </w:r>
      <w:r>
        <w:rPr>
          <w:rFonts w:ascii="ARIAL" w:hAnsi="ARIAL"/>
          <w:sz w:val="20"/>
        </w:rPr>
        <w:t xml:space="preserve">’s peer-voted list for 19 consecutive years. </w:t>
      </w:r>
      <w:r>
        <w:rPr>
          <w:rFonts w:ascii="ARIAL" w:hAnsi="ARIAL"/>
          <w:i/>
          <w:sz w:val="20"/>
        </w:rPr>
        <w:t>Institutional Investor</w:t>
      </w:r>
      <w:r>
        <w:rPr>
          <w:rFonts w:ascii="ARIAL" w:hAnsi="ARIAL"/>
          <w:sz w:val="20"/>
        </w:rPr>
        <w:t xml:space="preserve"> magazine named Mr. Smith a Top CEO for the healthcare facilities sector multiple times. Mr. Smith was honored on several occasions as being one of the top chief executive officers in the institutional provider segment of the healthcare sector. In addition, his past experience serving on other companies’ boards of directors provides him with insight and experiences to support his leadership of the Company’s Board.</w:t>
      </w:r>
    </w:p>
    <w:p>
      <w:pPr>
        <w:pStyle w:val="TextBody"/>
        <w:spacing w:before="0" w:after="0"/>
        <w:jc w:val="left"/>
        <w:rPr/>
      </w:pPr>
      <w:r>
        <w:rPr/>
        <w:t> </w:t>
      </w:r>
    </w:p>
    <w:tbl>
      <w:tblPr>
        <w:tblW w:w="4540" w:type="dxa"/>
        <w:jc w:val="left"/>
        <w:tblInd w:w="0" w:type="dxa"/>
        <w:tblCellMar>
          <w:top w:w="0" w:type="dxa"/>
          <w:left w:w="0" w:type="dxa"/>
          <w:bottom w:w="0" w:type="dxa"/>
          <w:right w:w="0" w:type="dxa"/>
        </w:tblCellMar>
      </w:tblPr>
      <w:tblGrid>
        <w:gridCol w:w="2390"/>
        <w:gridCol w:w="120"/>
        <w:gridCol w:w="2030"/>
      </w:tblGrid>
      <w:tr>
        <w:trPr/>
        <w:tc>
          <w:tcPr>
            <w:tcW w:w="239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030" w:type="dxa"/>
            <w:tcBorders/>
            <w:shd w:fill="auto" w:val="clear"/>
            <w:vAlign w:val="center"/>
          </w:tcPr>
          <w:p>
            <w:pPr>
              <w:pStyle w:val="TableContents"/>
              <w:spacing w:before="0" w:after="283"/>
              <w:rPr>
                <w:sz w:val="4"/>
                <w:szCs w:val="4"/>
              </w:rPr>
            </w:pPr>
            <w:r>
              <w:rPr>
                <w:sz w:val="4"/>
                <w:szCs w:val="4"/>
              </w:rPr>
            </w:r>
          </w:p>
        </w:tc>
      </w:tr>
      <w:tr>
        <w:trPr/>
        <w:tc>
          <w:tcPr>
            <w:tcW w:w="2390" w:type="dxa"/>
            <w:tcBorders/>
            <w:shd w:fill="auto" w:val="clear"/>
            <w:vAlign w:val="center"/>
          </w:tcPr>
          <w:p>
            <w:pPr>
              <w:pStyle w:val="TableContents"/>
              <w:spacing w:before="0" w:after="0"/>
              <w:rPr>
                <w:rFonts w:ascii="ARIAL" w:hAnsi="ARIAL"/>
                <w:b/>
                <w:sz w:val="20"/>
              </w:rPr>
            </w:pPr>
            <w:r>
              <w:rPr>
                <w:rFonts w:ascii="ARIAL" w:hAnsi="ARIAL"/>
                <w:b/>
                <w:sz w:val="20"/>
              </w:rPr>
              <w:t>H. James Williams, Ph.D.</w:t>
            </w:r>
          </w:p>
        </w:tc>
        <w:tc>
          <w:tcPr>
            <w:tcW w:w="120" w:type="dxa"/>
            <w:tcBorders/>
            <w:shd w:fill="auto" w:val="clear"/>
            <w:vAlign w:val="center"/>
          </w:tcPr>
          <w:p>
            <w:pPr>
              <w:pStyle w:val="TableContents"/>
              <w:spacing w:before="0" w:after="283"/>
              <w:rPr/>
            </w:pPr>
            <w:r>
              <w:rPr/>
              <w:t>  </w:t>
            </w:r>
          </w:p>
        </w:tc>
        <w:tc>
          <w:tcPr>
            <w:tcW w:w="2030" w:type="dxa"/>
            <w:tcBorders/>
            <w:shd w:fill="auto" w:val="clear"/>
            <w:vAlign w:val="center"/>
          </w:tcPr>
          <w:p>
            <w:pPr>
              <w:pStyle w:val="TableContents"/>
              <w:spacing w:before="0" w:after="283"/>
              <w:jc w:val="right"/>
              <w:rPr>
                <w:b/>
              </w:rPr>
            </w:pPr>
            <w:r>
              <w:rPr>
                <w:b/>
              </w:rPr>
              <w:t>Director Since 2015</w:t>
            </w:r>
          </w:p>
        </w:tc>
      </w:tr>
    </w:tbl>
    <w:p>
      <w:pPr>
        <w:pStyle w:val="TextBody"/>
        <w:spacing w:before="0" w:after="0"/>
        <w:jc w:val="left"/>
        <w:rPr>
          <w:rFonts w:ascii="ARIAL" w:hAnsi="ARIAL"/>
          <w:i/>
          <w:sz w:val="20"/>
        </w:rPr>
      </w:pPr>
      <w:r>
        <w:rPr>
          <w:rFonts w:ascii="ARIAL" w:hAnsi="ARIAL"/>
          <w:i/>
          <w:sz w:val="20"/>
        </w:rPr>
        <w:t xml:space="preserve">Audit and Compliance Committee Member </w:t>
      </w:r>
    </w:p>
    <w:p>
      <w:pPr>
        <w:pStyle w:val="TextBody"/>
        <w:spacing w:before="240" w:after="0"/>
        <w:jc w:val="left"/>
        <w:rPr>
          <w:rFonts w:ascii="ARIAL" w:hAnsi="ARIAL"/>
          <w:sz w:val="20"/>
        </w:rPr>
      </w:pPr>
      <w:r>
        <w:rPr>
          <w:rFonts w:ascii="ARIAL" w:hAnsi="ARIAL"/>
          <w:sz w:val="20"/>
        </w:rPr>
        <w:t xml:space="preserve">Dr. Williams has served as president of Mount St. Joseph University in Cincinnati, Ohio since March 2016. Mount St. Joseph University provides interdisciplinary liberal arts and professional curricula to its students, including a number of graduate and doctoral healthcare programs. Prior to that, he served as president of Fisk University, a leading liberal arts university located in Nashville, Tennessee, from February 2013 until September 2015. Fisk University is renowned for its leadership role and history in the education of African-American students. Dr. Williams also served as dean and a professor of accounting at the Seidman College of Business of Grand Valley State University in Grand Rapids, Michigan from 2004 until 2013. From 2006 until 2013, Dr. Williams served on the board of trustees of St. Mary’s Hospital, a non-profit hospital in Grand Rapids, Michigan. From 1999 until 2004, he was dean and a professor of accounting at the School of Business of North Carolina Central University in Durham, North Carolina. From 1994 to 1999, Dr. Williams was dean of the School of Management and a professor of accounting at Delaware State University in Dover, Delaware. Prior to that, he held faculty positions in the business schools at several universities. Dr. Williams also serves on the boards of several non-profit organizations. He previously served on the advisory board of Fifth Third Bank of Tennessee and as a member of the Metropolitan Nashville Airport Authority’s Air Service Coalition. Dr. Williams has also practiced law, primarily in the areas of partnership and corporate tax, as well as contract law. He started his diverse career as an accountant with Ernst &amp; Young where he worked in the audit division with companies in the banking, textiles, automotive and shipping industries. </w:t>
      </w:r>
    </w:p>
    <w:p>
      <w:pPr>
        <w:pStyle w:val="TextBody"/>
        <w:spacing w:before="240" w:after="0"/>
        <w:jc w:val="left"/>
        <w:rPr>
          <w:rFonts w:ascii="ARIAL" w:hAnsi="ARIAL"/>
          <w:sz w:val="20"/>
        </w:rPr>
      </w:pPr>
      <w:r>
        <w:rPr>
          <w:rFonts w:ascii="ARIAL" w:hAnsi="ARIAL"/>
          <w:sz w:val="20"/>
        </w:rPr>
        <w:t xml:space="preserve">Dr. Williams’ educational background (MBA in accounting from the University of Wisconsin-Madison; Ph.D. in accounting from University of Georgia; and J.D. and LL.M. degrees from Georgetown University Law Center) and his extensive teaching experience provide additional accounting expertise to the Board. In his role as president of an academic institution, he works with that institution’s information technology and security team to understand and prepare for cybersecurity risks, including incident response and business continuity planning. Additionally, his diverse experience, including serving as president of academic institutions and service on the boards of a number of non-profit institutions and a bank, bring a unique perspective to the Board.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29 </w:t>
      </w:r>
      <w:r>
        <w:br w:type="page"/>
      </w:r>
    </w:p>
    <w:p>
      <w:pPr>
        <w:pStyle w:val="HorizontalLine"/>
        <w:rPr/>
      </w:pPr>
      <w:r>
        <w:rPr/>
      </w:r>
    </w:p>
    <w:p>
      <w:pPr>
        <w:pStyle w:val="TextBody"/>
        <w:spacing w:before="0" w:after="0"/>
        <w:jc w:val="left"/>
        <w:rPr>
          <w:rFonts w:ascii="ARIAL" w:hAnsi="ARIAL"/>
          <w:b/>
          <w:sz w:val="20"/>
          <w:u w:val="single"/>
        </w:rPr>
      </w:pPr>
      <w:bookmarkStart w:id="7" w:name="toc360141_5"/>
      <w:bookmarkEnd w:id="7"/>
      <w:r>
        <w:rPr>
          <w:rFonts w:ascii="ARIAL" w:hAnsi="ARIAL"/>
          <w:b/>
          <w:sz w:val="20"/>
          <w:u w:val="single"/>
        </w:rPr>
        <w:t xml:space="preserve">SECURITY OWNERSHIP OF CERTAIN BENEFICIAL OWNERS AND MANAGEMENT </w:t>
      </w:r>
    </w:p>
    <w:p>
      <w:pPr>
        <w:pStyle w:val="TextBody"/>
        <w:spacing w:before="200" w:after="0"/>
        <w:jc w:val="left"/>
        <w:rPr>
          <w:rFonts w:ascii="ARIAL" w:hAnsi="ARIAL"/>
          <w:sz w:val="20"/>
        </w:rPr>
      </w:pPr>
      <w:r>
        <w:rPr>
          <w:rFonts w:ascii="ARIAL" w:hAnsi="ARIAL"/>
          <w:sz w:val="20"/>
        </w:rPr>
        <w:t xml:space="preserve">The following table sets forth information as of March 13, 2023, except as otherwise footnoted, with respect to ownership of our Common Stock by: </w:t>
      </w:r>
    </w:p>
    <w:p>
      <w:pPr>
        <w:pStyle w:val="TextBody"/>
        <w:spacing w:before="0" w:after="0"/>
        <w:jc w:val="left"/>
        <w:rPr/>
      </w:pPr>
      <w:r>
        <w:rPr/>
        <w:t> </w:t>
      </w:r>
    </w:p>
    <w:tbl>
      <w:tblPr>
        <w:tblW w:w="9205" w:type="dxa"/>
        <w:jc w:val="left"/>
        <w:tblInd w:w="0" w:type="dxa"/>
        <w:tblCellMar>
          <w:top w:w="0" w:type="dxa"/>
          <w:left w:w="0" w:type="dxa"/>
          <w:bottom w:w="0" w:type="dxa"/>
          <w:right w:w="0" w:type="dxa"/>
        </w:tblCellMar>
      </w:tblPr>
      <w:tblGrid>
        <w:gridCol w:w="75"/>
        <w:gridCol w:w="140"/>
        <w:gridCol w:w="8990"/>
      </w:tblGrid>
      <w:tr>
        <w:trPr/>
        <w:tc>
          <w:tcPr>
            <w:tcW w:w="75"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w:t>
            </w:r>
          </w:p>
        </w:tc>
        <w:tc>
          <w:tcPr>
            <w:tcW w:w="8990" w:type="dxa"/>
            <w:tcBorders/>
            <w:shd w:fill="auto" w:val="clear"/>
            <w:vAlign w:val="center"/>
          </w:tcPr>
          <w:p>
            <w:pPr>
              <w:pStyle w:val="TableContents"/>
              <w:spacing w:before="0" w:after="0"/>
              <w:jc w:val="left"/>
              <w:rPr>
                <w:rFonts w:ascii="ARIAL" w:hAnsi="ARIAL"/>
                <w:sz w:val="20"/>
              </w:rPr>
            </w:pPr>
            <w:r>
              <w:rPr>
                <w:rFonts w:ascii="ARIAL" w:hAnsi="ARIAL"/>
                <w:sz w:val="20"/>
              </w:rPr>
              <w:t xml:space="preserve">each person known by us to be a beneficial owner of more than 5% of our Company’s Common Stock; </w:t>
            </w:r>
          </w:p>
        </w:tc>
      </w:tr>
    </w:tbl>
    <w:p>
      <w:pPr>
        <w:pStyle w:val="TextBody"/>
        <w:spacing w:before="0" w:after="0"/>
        <w:jc w:val="left"/>
        <w:rPr/>
      </w:pPr>
      <w:r>
        <w:rPr/>
        <w:t> </w:t>
      </w:r>
    </w:p>
    <w:tbl>
      <w:tblPr>
        <w:tblW w:w="3430" w:type="dxa"/>
        <w:jc w:val="left"/>
        <w:tblInd w:w="0" w:type="dxa"/>
        <w:tblCellMar>
          <w:top w:w="0" w:type="dxa"/>
          <w:left w:w="0" w:type="dxa"/>
          <w:bottom w:w="0" w:type="dxa"/>
          <w:right w:w="0" w:type="dxa"/>
        </w:tblCellMar>
      </w:tblPr>
      <w:tblGrid>
        <w:gridCol w:w="75"/>
        <w:gridCol w:w="140"/>
        <w:gridCol w:w="3215"/>
      </w:tblGrid>
      <w:tr>
        <w:trPr/>
        <w:tc>
          <w:tcPr>
            <w:tcW w:w="75"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w:t>
            </w:r>
          </w:p>
        </w:tc>
        <w:tc>
          <w:tcPr>
            <w:tcW w:w="3215" w:type="dxa"/>
            <w:tcBorders/>
            <w:shd w:fill="auto" w:val="clear"/>
            <w:vAlign w:val="center"/>
          </w:tcPr>
          <w:p>
            <w:pPr>
              <w:pStyle w:val="TableContents"/>
              <w:spacing w:before="0" w:after="0"/>
              <w:jc w:val="left"/>
              <w:rPr>
                <w:rFonts w:ascii="ARIAL" w:hAnsi="ARIAL"/>
                <w:sz w:val="20"/>
              </w:rPr>
            </w:pPr>
            <w:r>
              <w:rPr>
                <w:rFonts w:ascii="ARIAL" w:hAnsi="ARIAL"/>
                <w:sz w:val="20"/>
              </w:rPr>
              <w:t xml:space="preserve">each of our directors and nominees;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40"/>
        <w:gridCol w:w="9990"/>
      </w:tblGrid>
      <w:tr>
        <w:trPr/>
        <w:tc>
          <w:tcPr>
            <w:tcW w:w="75"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w:t>
            </w:r>
          </w:p>
        </w:tc>
        <w:tc>
          <w:tcPr>
            <w:tcW w:w="9990" w:type="dxa"/>
            <w:tcBorders/>
            <w:shd w:fill="auto" w:val="clear"/>
            <w:vAlign w:val="center"/>
          </w:tcPr>
          <w:p>
            <w:pPr>
              <w:pStyle w:val="TableContents"/>
              <w:spacing w:before="0" w:after="0"/>
              <w:jc w:val="left"/>
              <w:rPr>
                <w:rFonts w:ascii="ARIAL" w:hAnsi="ARIAL"/>
                <w:sz w:val="20"/>
              </w:rPr>
            </w:pPr>
            <w:r>
              <w:rPr>
                <w:rFonts w:ascii="ARIAL" w:hAnsi="ARIAL"/>
                <w:sz w:val="20"/>
              </w:rPr>
              <w:t xml:space="preserve">each of our executive officers named in the Summary Compensation Table on page 64 of this Proxy Statement; and </w:t>
            </w:r>
          </w:p>
        </w:tc>
      </w:tr>
    </w:tbl>
    <w:p>
      <w:pPr>
        <w:pStyle w:val="TextBody"/>
        <w:spacing w:before="0" w:after="0"/>
        <w:jc w:val="left"/>
        <w:rPr/>
      </w:pPr>
      <w:r>
        <w:rPr/>
        <w:t> </w:t>
      </w:r>
    </w:p>
    <w:tbl>
      <w:tblPr>
        <w:tblW w:w="4885" w:type="dxa"/>
        <w:jc w:val="left"/>
        <w:tblInd w:w="0" w:type="dxa"/>
        <w:tblCellMar>
          <w:top w:w="0" w:type="dxa"/>
          <w:left w:w="0" w:type="dxa"/>
          <w:bottom w:w="0" w:type="dxa"/>
          <w:right w:w="0" w:type="dxa"/>
        </w:tblCellMar>
      </w:tblPr>
      <w:tblGrid>
        <w:gridCol w:w="75"/>
        <w:gridCol w:w="140"/>
        <w:gridCol w:w="4670"/>
      </w:tblGrid>
      <w:tr>
        <w:trPr/>
        <w:tc>
          <w:tcPr>
            <w:tcW w:w="75"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w:t>
            </w:r>
          </w:p>
        </w:tc>
        <w:tc>
          <w:tcPr>
            <w:tcW w:w="4670" w:type="dxa"/>
            <w:tcBorders/>
            <w:shd w:fill="auto" w:val="clear"/>
            <w:vAlign w:val="center"/>
          </w:tcPr>
          <w:p>
            <w:pPr>
              <w:pStyle w:val="TableContents"/>
              <w:spacing w:before="0" w:after="0"/>
              <w:jc w:val="left"/>
              <w:rPr>
                <w:rFonts w:ascii="ARIAL" w:hAnsi="ARIAL"/>
                <w:sz w:val="20"/>
              </w:rPr>
            </w:pPr>
            <w:r>
              <w:rPr>
                <w:rFonts w:ascii="ARIAL" w:hAnsi="ARIAL"/>
                <w:sz w:val="20"/>
              </w:rPr>
              <w:t xml:space="preserve">all of our directors and executive officers as a group. </w:t>
            </w:r>
          </w:p>
        </w:tc>
      </w:tr>
    </w:tbl>
    <w:p>
      <w:pPr>
        <w:pStyle w:val="TextBody"/>
        <w:spacing w:before="240" w:after="0"/>
        <w:jc w:val="left"/>
        <w:rPr>
          <w:rFonts w:ascii="ARIAL" w:hAnsi="ARIAL"/>
          <w:sz w:val="20"/>
        </w:rPr>
      </w:pPr>
      <w:r>
        <w:rPr>
          <w:rFonts w:ascii="ARIAL" w:hAnsi="ARIAL"/>
          <w:sz w:val="20"/>
        </w:rPr>
        <w:t xml:space="preserve">Except as otherwise indicated, the persons or entities listed below have sole voting and investment power with respect to all shares of Common Stock beneficially owned by them, except to the extent such power may be shared with a spouse. Ownership percentages are calculated based on 136,753,427 shares of our Common Stock outstanding as of March 13, 2023. </w:t>
      </w:r>
    </w:p>
    <w:p>
      <w:pPr>
        <w:pStyle w:val="TextBody"/>
        <w:spacing w:before="0" w:after="0"/>
        <w:jc w:val="left"/>
        <w:rPr/>
      </w:pPr>
      <w:r>
        <w:rPr/>
        <w:t> </w:t>
      </w:r>
    </w:p>
    <w:tbl>
      <w:tblPr>
        <w:tblW w:w="8225" w:type="dxa"/>
        <w:jc w:val="left"/>
        <w:tblInd w:w="0" w:type="dxa"/>
        <w:tblCellMar>
          <w:top w:w="0" w:type="dxa"/>
          <w:left w:w="0" w:type="dxa"/>
          <w:bottom w:w="0" w:type="dxa"/>
          <w:right w:w="0" w:type="dxa"/>
        </w:tblCellMar>
      </w:tblPr>
      <w:tblGrid>
        <w:gridCol w:w="5300"/>
        <w:gridCol w:w="60"/>
        <w:gridCol w:w="30"/>
        <w:gridCol w:w="30"/>
        <w:gridCol w:w="60"/>
        <w:gridCol w:w="120"/>
        <w:gridCol w:w="60"/>
        <w:gridCol w:w="1100"/>
        <w:gridCol w:w="530"/>
        <w:gridCol w:w="60"/>
        <w:gridCol w:w="96"/>
        <w:gridCol w:w="704"/>
        <w:gridCol w:w="75"/>
      </w:tblGrid>
      <w:tr>
        <w:trPr/>
        <w:tc>
          <w:tcPr>
            <w:tcW w:w="53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6" w:type="dxa"/>
            <w:tcBorders/>
            <w:shd w:fill="auto" w:val="clear"/>
            <w:vAlign w:val="center"/>
          </w:tcPr>
          <w:p>
            <w:pPr>
              <w:pStyle w:val="TableContents"/>
              <w:spacing w:before="0" w:after="283"/>
              <w:rPr>
                <w:sz w:val="4"/>
                <w:szCs w:val="4"/>
              </w:rPr>
            </w:pPr>
            <w:r>
              <w:rPr>
                <w:sz w:val="4"/>
                <w:szCs w:val="4"/>
              </w:rPr>
            </w:r>
          </w:p>
        </w:tc>
        <w:tc>
          <w:tcPr>
            <w:tcW w:w="704"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530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550" w:type="dxa"/>
            <w:gridSpan w:val="6"/>
            <w:tcBorders/>
            <w:shd w:fill="auto" w:val="clear"/>
            <w:vAlign w:val="center"/>
          </w:tcPr>
          <w:p>
            <w:pPr>
              <w:pStyle w:val="TableContents"/>
              <w:spacing w:before="0" w:after="283"/>
              <w:jc w:val="center"/>
              <w:rPr>
                <w:b/>
              </w:rPr>
            </w:pPr>
            <w:r>
              <w:rPr>
                <w:b/>
              </w:rPr>
              <w:t>Shares Beneficially</w:t>
              <w:br/>
              <w:t>Owned(1)</w:t>
            </w:r>
          </w:p>
        </w:tc>
        <w:tc>
          <w:tcPr>
            <w:tcW w:w="75" w:type="dxa"/>
            <w:tcBorders/>
            <w:shd w:fill="auto" w:val="clear"/>
            <w:vAlign w:val="center"/>
          </w:tcPr>
          <w:p>
            <w:pPr>
              <w:pStyle w:val="TableContents"/>
              <w:spacing w:before="0" w:after="283"/>
              <w:rPr/>
            </w:pPr>
            <w:r>
              <w:rPr/>
              <w:t> </w:t>
            </w:r>
          </w:p>
        </w:tc>
      </w:tr>
      <w:tr>
        <w:trPr/>
        <w:tc>
          <w:tcPr>
            <w:tcW w:w="5300" w:type="dxa"/>
            <w:tcBorders/>
            <w:shd w:fill="auto" w:val="clear"/>
            <w:vAlign w:val="center"/>
          </w:tcPr>
          <w:p>
            <w:pPr>
              <w:pStyle w:val="TableContents"/>
              <w:spacing w:before="0" w:after="283"/>
              <w:rPr>
                <w:sz w:val="4"/>
                <w:szCs w:val="4"/>
              </w:rPr>
            </w:pPr>
            <w:r>
              <w:rPr>
                <w:sz w:val="4"/>
                <w:szCs w:val="4"/>
              </w:rPr>
            </w:r>
          </w:p>
        </w:tc>
        <w:tc>
          <w:tcPr>
            <w:tcW w:w="180" w:type="dxa"/>
            <w:gridSpan w:val="4"/>
            <w:tcBorders/>
            <w:shd w:fill="auto" w:val="clear"/>
            <w:vAlign w:val="center"/>
          </w:tcPr>
          <w:p>
            <w:pPr>
              <w:pStyle w:val="TableContents"/>
              <w:spacing w:before="0" w:after="283"/>
              <w:rPr>
                <w:sz w:val="4"/>
                <w:szCs w:val="4"/>
              </w:rPr>
            </w:pPr>
            <w:r>
              <w:rPr>
                <w:sz w:val="4"/>
                <w:szCs w:val="4"/>
              </w:rPr>
            </w:r>
          </w:p>
        </w:tc>
        <w:tc>
          <w:tcPr>
            <w:tcW w:w="1810" w:type="dxa"/>
            <w:gridSpan w:val="4"/>
            <w:tcBorders/>
            <w:shd w:fill="auto" w:val="clear"/>
            <w:vAlign w:val="center"/>
          </w:tcPr>
          <w:p>
            <w:pPr>
              <w:pStyle w:val="TableContents"/>
              <w:spacing w:before="0" w:after="283"/>
              <w:rPr>
                <w:sz w:val="4"/>
                <w:szCs w:val="4"/>
              </w:rPr>
            </w:pPr>
            <w:r>
              <w:rPr>
                <w:sz w:val="4"/>
                <w:szCs w:val="4"/>
              </w:rPr>
            </w:r>
          </w:p>
        </w:tc>
        <w:tc>
          <w:tcPr>
            <w:tcW w:w="935" w:type="dxa"/>
            <w:gridSpan w:val="4"/>
            <w:tcBorders/>
            <w:shd w:fill="auto" w:val="clear"/>
            <w:vAlign w:val="center"/>
          </w:tcPr>
          <w:p>
            <w:pPr>
              <w:pStyle w:val="TableContents"/>
              <w:spacing w:before="0" w:after="283"/>
              <w:rPr>
                <w:sz w:val="4"/>
                <w:szCs w:val="4"/>
              </w:rPr>
            </w:pPr>
            <w:r>
              <w:rPr>
                <w:sz w:val="4"/>
                <w:szCs w:val="4"/>
              </w:rPr>
            </w:r>
          </w:p>
        </w:tc>
      </w:tr>
      <w:tr>
        <w:trPr/>
        <w:tc>
          <w:tcPr>
            <w:tcW w:w="5300" w:type="dxa"/>
            <w:tcBorders>
              <w:bottom w:val="single" w:sz="2" w:space="0" w:color="000000"/>
            </w:tcBorders>
            <w:shd w:fill="auto" w:val="clear"/>
            <w:tcMar>
              <w:bottom w:w="28" w:type="dxa"/>
            </w:tcMar>
            <w:vAlign w:val="center"/>
          </w:tcPr>
          <w:p>
            <w:pPr>
              <w:pStyle w:val="TableContents"/>
              <w:spacing w:before="0" w:after="20"/>
              <w:rPr>
                <w:rFonts w:ascii="ARIAL" w:hAnsi="ARIAL"/>
                <w:b/>
                <w:sz w:val="20"/>
              </w:rPr>
            </w:pPr>
            <w:r>
              <w:rPr>
                <w:rFonts w:ascii="ARIAL" w:hAnsi="ARIAL"/>
                <w:b/>
                <w:sz w:val="20"/>
              </w:rPr>
              <w:t>Name</w:t>
            </w:r>
          </w:p>
        </w:tc>
        <w:tc>
          <w:tcPr>
            <w:tcW w:w="60" w:type="dxa"/>
            <w:tcBorders/>
            <w:shd w:fill="auto" w:val="clear"/>
            <w:vAlign w:val="center"/>
          </w:tcPr>
          <w:p>
            <w:pPr>
              <w:pStyle w:val="TableContents"/>
              <w:spacing w:before="0" w:after="283"/>
              <w:rPr/>
            </w:pPr>
            <w:r>
              <w:rPr/>
              <w:t> </w:t>
            </w:r>
          </w:p>
        </w:tc>
        <w:tc>
          <w:tcPr>
            <w:tcW w:w="60"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60" w:type="dxa"/>
            <w:gridSpan w:val="2"/>
            <w:tcBorders>
              <w:bottom w:val="single" w:sz="2" w:space="0" w:color="000000"/>
            </w:tcBorders>
            <w:shd w:fill="auto" w:val="clear"/>
            <w:tcMar>
              <w:bottom w:w="28" w:type="dxa"/>
            </w:tcMar>
            <w:vAlign w:val="center"/>
          </w:tcPr>
          <w:p>
            <w:pPr>
              <w:pStyle w:val="TableContents"/>
              <w:spacing w:before="0" w:after="283"/>
              <w:jc w:val="center"/>
              <w:rPr>
                <w:b/>
              </w:rPr>
            </w:pPr>
            <w:r>
              <w:rPr>
                <w:b/>
              </w:rPr>
              <w:t>Number</w:t>
            </w:r>
          </w:p>
        </w:tc>
        <w:tc>
          <w:tcPr>
            <w:tcW w:w="53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gridSpan w:val="2"/>
            <w:tcBorders>
              <w:bottom w:val="single" w:sz="2" w:space="0" w:color="000000"/>
            </w:tcBorders>
            <w:shd w:fill="auto" w:val="clear"/>
            <w:tcMar>
              <w:bottom w:w="28" w:type="dxa"/>
            </w:tcMar>
            <w:vAlign w:val="center"/>
          </w:tcPr>
          <w:p>
            <w:pPr>
              <w:pStyle w:val="TableContents"/>
              <w:spacing w:before="0" w:after="283"/>
              <w:jc w:val="center"/>
              <w:rPr>
                <w:b/>
              </w:rPr>
            </w:pPr>
            <w:r>
              <w:rPr>
                <w:b/>
              </w:rPr>
              <w:t>Percent</w:t>
            </w:r>
          </w:p>
        </w:tc>
        <w:tc>
          <w:tcPr>
            <w:tcW w:w="75" w:type="dxa"/>
            <w:tcBorders/>
            <w:shd w:fill="auto" w:val="clear"/>
            <w:vAlign w:val="center"/>
          </w:tcPr>
          <w:p>
            <w:pPr>
              <w:pStyle w:val="TableContents"/>
              <w:spacing w:before="0" w:after="283"/>
              <w:rPr/>
            </w:pPr>
            <w:r>
              <w:rPr/>
              <w:t> </w:t>
            </w:r>
          </w:p>
        </w:tc>
      </w:tr>
      <w:tr>
        <w:trPr/>
        <w:tc>
          <w:tcPr>
            <w:tcW w:w="5300" w:type="dxa"/>
            <w:tcBorders/>
            <w:shd w:fill="auto" w:val="clear"/>
            <w:vAlign w:val="center"/>
          </w:tcPr>
          <w:p>
            <w:pPr>
              <w:pStyle w:val="TableContents"/>
              <w:spacing w:before="0" w:after="283"/>
              <w:rPr>
                <w:sz w:val="4"/>
                <w:szCs w:val="4"/>
              </w:rPr>
            </w:pPr>
            <w:r>
              <w:rPr>
                <w:sz w:val="4"/>
                <w:szCs w:val="4"/>
              </w:rPr>
            </w:r>
          </w:p>
        </w:tc>
        <w:tc>
          <w:tcPr>
            <w:tcW w:w="180" w:type="dxa"/>
            <w:gridSpan w:val="4"/>
            <w:tcBorders/>
            <w:shd w:fill="auto" w:val="clear"/>
            <w:vAlign w:val="center"/>
          </w:tcPr>
          <w:p>
            <w:pPr>
              <w:pStyle w:val="TableContents"/>
              <w:spacing w:before="0" w:after="283"/>
              <w:rPr>
                <w:sz w:val="4"/>
                <w:szCs w:val="4"/>
              </w:rPr>
            </w:pPr>
            <w:r>
              <w:rPr>
                <w:sz w:val="4"/>
                <w:szCs w:val="4"/>
              </w:rPr>
            </w:r>
          </w:p>
        </w:tc>
        <w:tc>
          <w:tcPr>
            <w:tcW w:w="1810" w:type="dxa"/>
            <w:gridSpan w:val="4"/>
            <w:tcBorders/>
            <w:shd w:fill="auto" w:val="clear"/>
            <w:vAlign w:val="center"/>
          </w:tcPr>
          <w:p>
            <w:pPr>
              <w:pStyle w:val="TableContents"/>
              <w:spacing w:before="0" w:after="283"/>
              <w:rPr>
                <w:sz w:val="4"/>
                <w:szCs w:val="4"/>
              </w:rPr>
            </w:pPr>
            <w:r>
              <w:rPr>
                <w:sz w:val="4"/>
                <w:szCs w:val="4"/>
              </w:rPr>
            </w:r>
          </w:p>
        </w:tc>
        <w:tc>
          <w:tcPr>
            <w:tcW w:w="935" w:type="dxa"/>
            <w:gridSpan w:val="4"/>
            <w:tcBorders/>
            <w:shd w:fill="auto" w:val="clear"/>
            <w:vAlign w:val="center"/>
          </w:tcPr>
          <w:p>
            <w:pPr>
              <w:pStyle w:val="TableContents"/>
              <w:spacing w:before="0" w:after="283"/>
              <w:rPr>
                <w:sz w:val="4"/>
                <w:szCs w:val="4"/>
              </w:rPr>
            </w:pPr>
            <w:r>
              <w:rPr>
                <w:sz w:val="4"/>
                <w:szCs w:val="4"/>
              </w:rPr>
            </w:r>
          </w:p>
        </w:tc>
      </w:tr>
      <w:tr>
        <w:trPr/>
        <w:tc>
          <w:tcPr>
            <w:tcW w:w="5300" w:type="dxa"/>
            <w:tcBorders/>
            <w:shd w:fill="auto" w:val="clear"/>
            <w:vAlign w:val="center"/>
          </w:tcPr>
          <w:p>
            <w:pPr>
              <w:pStyle w:val="TableContents"/>
              <w:spacing w:before="0" w:after="0"/>
              <w:rPr>
                <w:rFonts w:ascii="ARIAL" w:hAnsi="ARIAL"/>
                <w:b/>
                <w:sz w:val="20"/>
              </w:rPr>
            </w:pPr>
            <w:r>
              <w:rPr>
                <w:rFonts w:ascii="ARIAL" w:hAnsi="ARIAL"/>
                <w:b/>
                <w:sz w:val="20"/>
              </w:rPr>
              <w:t>5% Stockholders:</w:t>
            </w:r>
          </w:p>
        </w:tc>
        <w:tc>
          <w:tcPr>
            <w:tcW w:w="60" w:type="dxa"/>
            <w:tcBorders/>
            <w:shd w:fill="auto" w:val="clear"/>
            <w:vAlign w:val="center"/>
          </w:tcPr>
          <w:p>
            <w:pPr>
              <w:pStyle w:val="TableContents"/>
              <w:spacing w:before="0" w:after="283"/>
              <w:rPr/>
            </w:pPr>
            <w:r>
              <w:rPr/>
              <w:t> </w:t>
            </w:r>
          </w:p>
        </w:tc>
        <w:tc>
          <w:tcPr>
            <w:tcW w:w="30"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sz w:val="4"/>
                <w:szCs w:val="4"/>
              </w:rPr>
            </w:pPr>
            <w:r>
              <w:rPr>
                <w:sz w:val="4"/>
                <w:szCs w:val="4"/>
              </w:rPr>
            </w:r>
          </w:p>
        </w:tc>
        <w:tc>
          <w:tcPr>
            <w:tcW w:w="704"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5300" w:type="dxa"/>
            <w:tcBorders/>
            <w:shd w:fill="auto" w:val="clear"/>
            <w:vAlign w:val="center"/>
          </w:tcPr>
          <w:p>
            <w:pPr>
              <w:pStyle w:val="TableContents"/>
              <w:spacing w:before="0" w:after="283"/>
              <w:rPr>
                <w:sz w:val="4"/>
                <w:szCs w:val="4"/>
              </w:rPr>
            </w:pPr>
            <w:r>
              <w:rPr>
                <w:sz w:val="4"/>
                <w:szCs w:val="4"/>
              </w:rPr>
            </w:r>
          </w:p>
        </w:tc>
        <w:tc>
          <w:tcPr>
            <w:tcW w:w="180" w:type="dxa"/>
            <w:gridSpan w:val="4"/>
            <w:tcBorders/>
            <w:shd w:fill="auto" w:val="clear"/>
            <w:vAlign w:val="center"/>
          </w:tcPr>
          <w:p>
            <w:pPr>
              <w:pStyle w:val="TableContents"/>
              <w:spacing w:before="0" w:after="283"/>
              <w:rPr>
                <w:sz w:val="4"/>
                <w:szCs w:val="4"/>
              </w:rPr>
            </w:pPr>
            <w:r>
              <w:rPr>
                <w:sz w:val="4"/>
                <w:szCs w:val="4"/>
              </w:rPr>
            </w:r>
          </w:p>
        </w:tc>
        <w:tc>
          <w:tcPr>
            <w:tcW w:w="1810" w:type="dxa"/>
            <w:gridSpan w:val="4"/>
            <w:tcBorders/>
            <w:shd w:fill="auto" w:val="clear"/>
            <w:vAlign w:val="center"/>
          </w:tcPr>
          <w:p>
            <w:pPr>
              <w:pStyle w:val="TableContents"/>
              <w:spacing w:before="0" w:after="283"/>
              <w:rPr>
                <w:sz w:val="4"/>
                <w:szCs w:val="4"/>
              </w:rPr>
            </w:pPr>
            <w:r>
              <w:rPr>
                <w:sz w:val="4"/>
                <w:szCs w:val="4"/>
              </w:rPr>
            </w:r>
          </w:p>
        </w:tc>
        <w:tc>
          <w:tcPr>
            <w:tcW w:w="935" w:type="dxa"/>
            <w:gridSpan w:val="4"/>
            <w:tcBorders/>
            <w:shd w:fill="auto" w:val="clear"/>
            <w:vAlign w:val="center"/>
          </w:tcPr>
          <w:p>
            <w:pPr>
              <w:pStyle w:val="TableContents"/>
              <w:spacing w:before="0" w:after="283"/>
              <w:rPr>
                <w:sz w:val="4"/>
                <w:szCs w:val="4"/>
              </w:rPr>
            </w:pPr>
            <w:r>
              <w:rPr>
                <w:sz w:val="4"/>
                <w:szCs w:val="4"/>
              </w:rPr>
            </w:r>
          </w:p>
        </w:tc>
      </w:tr>
      <w:tr>
        <w:trPr/>
        <w:tc>
          <w:tcPr>
            <w:tcW w:w="5300" w:type="dxa"/>
            <w:tcBorders/>
            <w:shd w:fill="auto" w:val="clear"/>
            <w:vAlign w:val="center"/>
          </w:tcPr>
          <w:p>
            <w:pPr>
              <w:pStyle w:val="TableContents"/>
              <w:spacing w:before="0" w:after="0"/>
              <w:rPr>
                <w:rFonts w:ascii="ARIAL" w:hAnsi="ARIAL"/>
                <w:sz w:val="20"/>
              </w:rPr>
            </w:pPr>
            <w:r>
              <w:rPr>
                <w:rFonts w:ascii="ARIAL" w:hAnsi="ARIAL"/>
                <w:sz w:val="20"/>
              </w:rPr>
              <w:t>BlackRock</w:t>
            </w:r>
          </w:p>
        </w:tc>
        <w:tc>
          <w:tcPr>
            <w:tcW w:w="60" w:type="dxa"/>
            <w:tcBorders/>
            <w:shd w:fill="auto" w:val="clear"/>
            <w:vAlign w:val="center"/>
          </w:tcPr>
          <w:p>
            <w:pPr>
              <w:pStyle w:val="TableContents"/>
              <w:spacing w:before="0" w:after="283"/>
              <w:rPr/>
            </w:pPr>
            <w:r>
              <w:rPr/>
              <w:t> </w:t>
            </w:r>
          </w:p>
        </w:tc>
        <w:tc>
          <w:tcPr>
            <w:tcW w:w="30"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21,122,948</w:t>
            </w:r>
          </w:p>
        </w:tc>
        <w:tc>
          <w:tcPr>
            <w:tcW w:w="530" w:type="dxa"/>
            <w:tcBorders/>
            <w:shd w:fill="auto" w:val="clear"/>
            <w:vAlign w:val="center"/>
          </w:tcPr>
          <w:p>
            <w:pPr>
              <w:pStyle w:val="TableContents"/>
              <w:spacing w:before="0" w:after="283"/>
              <w:rPr/>
            </w:pPr>
            <w:r>
              <w:rPr/>
              <w:t> </w:t>
            </w:r>
            <w:r>
              <w:rPr/>
              <w:t>(2) </w:t>
            </w:r>
          </w:p>
        </w:tc>
        <w:tc>
          <w:tcPr>
            <w:tcW w:w="6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704" w:type="dxa"/>
            <w:tcBorders/>
            <w:shd w:fill="auto" w:val="clear"/>
            <w:vAlign w:val="center"/>
          </w:tcPr>
          <w:p>
            <w:pPr>
              <w:pStyle w:val="TableContents"/>
              <w:spacing w:before="0" w:after="283"/>
              <w:jc w:val="center"/>
              <w:rPr/>
            </w:pPr>
            <w:r>
              <w:rPr/>
              <w:t>15.4%</w:t>
            </w:r>
          </w:p>
        </w:tc>
        <w:tc>
          <w:tcPr>
            <w:tcW w:w="75" w:type="dxa"/>
            <w:tcBorders/>
            <w:shd w:fill="auto" w:val="clear"/>
            <w:vAlign w:val="center"/>
          </w:tcPr>
          <w:p>
            <w:pPr>
              <w:pStyle w:val="TableContents"/>
              <w:spacing w:before="0" w:after="283"/>
              <w:rPr/>
            </w:pPr>
            <w:r>
              <w:rPr/>
              <w:t> </w:t>
            </w:r>
          </w:p>
        </w:tc>
      </w:tr>
      <w:tr>
        <w:trPr/>
        <w:tc>
          <w:tcPr>
            <w:tcW w:w="5300" w:type="dxa"/>
            <w:tcBorders/>
            <w:shd w:fill="auto" w:val="clear"/>
            <w:vAlign w:val="center"/>
          </w:tcPr>
          <w:p>
            <w:pPr>
              <w:pStyle w:val="TableContents"/>
              <w:spacing w:before="0" w:after="283"/>
              <w:rPr>
                <w:sz w:val="4"/>
                <w:szCs w:val="4"/>
              </w:rPr>
            </w:pPr>
            <w:r>
              <w:rPr>
                <w:sz w:val="4"/>
                <w:szCs w:val="4"/>
              </w:rPr>
            </w:r>
          </w:p>
        </w:tc>
        <w:tc>
          <w:tcPr>
            <w:tcW w:w="180" w:type="dxa"/>
            <w:gridSpan w:val="4"/>
            <w:tcBorders/>
            <w:shd w:fill="auto" w:val="clear"/>
            <w:vAlign w:val="center"/>
          </w:tcPr>
          <w:p>
            <w:pPr>
              <w:pStyle w:val="TableContents"/>
              <w:spacing w:before="0" w:after="283"/>
              <w:rPr>
                <w:sz w:val="4"/>
                <w:szCs w:val="4"/>
              </w:rPr>
            </w:pPr>
            <w:r>
              <w:rPr>
                <w:sz w:val="4"/>
                <w:szCs w:val="4"/>
              </w:rPr>
            </w:r>
          </w:p>
        </w:tc>
        <w:tc>
          <w:tcPr>
            <w:tcW w:w="1810" w:type="dxa"/>
            <w:gridSpan w:val="4"/>
            <w:tcBorders/>
            <w:shd w:fill="auto" w:val="clear"/>
            <w:vAlign w:val="center"/>
          </w:tcPr>
          <w:p>
            <w:pPr>
              <w:pStyle w:val="TableContents"/>
              <w:spacing w:before="0" w:after="283"/>
              <w:rPr>
                <w:sz w:val="4"/>
                <w:szCs w:val="4"/>
              </w:rPr>
            </w:pPr>
            <w:r>
              <w:rPr>
                <w:sz w:val="4"/>
                <w:szCs w:val="4"/>
              </w:rPr>
            </w:r>
          </w:p>
        </w:tc>
        <w:tc>
          <w:tcPr>
            <w:tcW w:w="935" w:type="dxa"/>
            <w:gridSpan w:val="4"/>
            <w:tcBorders/>
            <w:shd w:fill="auto" w:val="clear"/>
            <w:vAlign w:val="center"/>
          </w:tcPr>
          <w:p>
            <w:pPr>
              <w:pStyle w:val="TableContents"/>
              <w:spacing w:before="0" w:after="283"/>
              <w:rPr>
                <w:sz w:val="4"/>
                <w:szCs w:val="4"/>
              </w:rPr>
            </w:pPr>
            <w:r>
              <w:rPr>
                <w:sz w:val="4"/>
                <w:szCs w:val="4"/>
              </w:rPr>
            </w:r>
          </w:p>
        </w:tc>
      </w:tr>
      <w:tr>
        <w:trPr/>
        <w:tc>
          <w:tcPr>
            <w:tcW w:w="5300" w:type="dxa"/>
            <w:tcBorders/>
            <w:shd w:fill="auto" w:val="clear"/>
            <w:vAlign w:val="center"/>
          </w:tcPr>
          <w:p>
            <w:pPr>
              <w:pStyle w:val="TableContents"/>
              <w:spacing w:before="0" w:after="0"/>
              <w:rPr>
                <w:rFonts w:ascii="ARIAL" w:hAnsi="ARIAL"/>
                <w:sz w:val="20"/>
              </w:rPr>
            </w:pPr>
            <w:r>
              <w:rPr>
                <w:rFonts w:ascii="ARIAL" w:hAnsi="ARIAL"/>
                <w:sz w:val="20"/>
              </w:rPr>
              <w:t>The Vanguard Group</w:t>
            </w:r>
          </w:p>
        </w:tc>
        <w:tc>
          <w:tcPr>
            <w:tcW w:w="60" w:type="dxa"/>
            <w:tcBorders/>
            <w:shd w:fill="auto" w:val="clear"/>
            <w:vAlign w:val="center"/>
          </w:tcPr>
          <w:p>
            <w:pPr>
              <w:pStyle w:val="TableContents"/>
              <w:spacing w:before="0" w:after="283"/>
              <w:rPr/>
            </w:pPr>
            <w:r>
              <w:rPr/>
              <w:t> </w:t>
            </w:r>
          </w:p>
        </w:tc>
        <w:tc>
          <w:tcPr>
            <w:tcW w:w="30"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9,071,324</w:t>
            </w:r>
          </w:p>
        </w:tc>
        <w:tc>
          <w:tcPr>
            <w:tcW w:w="530" w:type="dxa"/>
            <w:tcBorders/>
            <w:shd w:fill="auto" w:val="clear"/>
            <w:vAlign w:val="center"/>
          </w:tcPr>
          <w:p>
            <w:pPr>
              <w:pStyle w:val="TableContents"/>
              <w:spacing w:before="0" w:after="283"/>
              <w:rPr/>
            </w:pPr>
            <w:r>
              <w:rPr/>
              <w:t> </w:t>
            </w:r>
            <w:r>
              <w:rPr/>
              <w:t>(3) </w:t>
            </w:r>
          </w:p>
        </w:tc>
        <w:tc>
          <w:tcPr>
            <w:tcW w:w="6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704" w:type="dxa"/>
            <w:tcBorders/>
            <w:shd w:fill="auto" w:val="clear"/>
            <w:vAlign w:val="center"/>
          </w:tcPr>
          <w:p>
            <w:pPr>
              <w:pStyle w:val="TableContents"/>
              <w:spacing w:before="0" w:after="283"/>
              <w:jc w:val="center"/>
              <w:rPr/>
            </w:pPr>
            <w:r>
              <w:rPr/>
              <w:t>6.6%</w:t>
            </w:r>
          </w:p>
        </w:tc>
        <w:tc>
          <w:tcPr>
            <w:tcW w:w="75" w:type="dxa"/>
            <w:tcBorders/>
            <w:shd w:fill="auto" w:val="clear"/>
            <w:vAlign w:val="center"/>
          </w:tcPr>
          <w:p>
            <w:pPr>
              <w:pStyle w:val="TableContents"/>
              <w:spacing w:before="0" w:after="283"/>
              <w:rPr/>
            </w:pPr>
            <w:r>
              <w:rPr/>
              <w:t> </w:t>
            </w:r>
          </w:p>
        </w:tc>
      </w:tr>
      <w:tr>
        <w:trPr/>
        <w:tc>
          <w:tcPr>
            <w:tcW w:w="5300" w:type="dxa"/>
            <w:tcBorders/>
            <w:shd w:fill="auto" w:val="clear"/>
            <w:vAlign w:val="center"/>
          </w:tcPr>
          <w:p>
            <w:pPr>
              <w:pStyle w:val="TableContents"/>
              <w:spacing w:before="0" w:after="283"/>
              <w:rPr>
                <w:sz w:val="4"/>
                <w:szCs w:val="4"/>
              </w:rPr>
            </w:pPr>
            <w:r>
              <w:rPr>
                <w:sz w:val="4"/>
                <w:szCs w:val="4"/>
              </w:rPr>
            </w:r>
          </w:p>
        </w:tc>
        <w:tc>
          <w:tcPr>
            <w:tcW w:w="180" w:type="dxa"/>
            <w:gridSpan w:val="4"/>
            <w:tcBorders/>
            <w:shd w:fill="auto" w:val="clear"/>
            <w:vAlign w:val="center"/>
          </w:tcPr>
          <w:p>
            <w:pPr>
              <w:pStyle w:val="TableContents"/>
              <w:spacing w:before="0" w:after="283"/>
              <w:rPr>
                <w:sz w:val="4"/>
                <w:szCs w:val="4"/>
              </w:rPr>
            </w:pPr>
            <w:r>
              <w:rPr>
                <w:sz w:val="4"/>
                <w:szCs w:val="4"/>
              </w:rPr>
            </w:r>
          </w:p>
        </w:tc>
        <w:tc>
          <w:tcPr>
            <w:tcW w:w="1810" w:type="dxa"/>
            <w:gridSpan w:val="4"/>
            <w:tcBorders/>
            <w:shd w:fill="auto" w:val="clear"/>
            <w:vAlign w:val="center"/>
          </w:tcPr>
          <w:p>
            <w:pPr>
              <w:pStyle w:val="TableContents"/>
              <w:spacing w:before="0" w:after="283"/>
              <w:rPr>
                <w:sz w:val="4"/>
                <w:szCs w:val="4"/>
              </w:rPr>
            </w:pPr>
            <w:r>
              <w:rPr>
                <w:sz w:val="4"/>
                <w:szCs w:val="4"/>
              </w:rPr>
            </w:r>
          </w:p>
        </w:tc>
        <w:tc>
          <w:tcPr>
            <w:tcW w:w="935" w:type="dxa"/>
            <w:gridSpan w:val="4"/>
            <w:tcBorders/>
            <w:shd w:fill="auto" w:val="clear"/>
            <w:vAlign w:val="center"/>
          </w:tcPr>
          <w:p>
            <w:pPr>
              <w:pStyle w:val="TableContents"/>
              <w:spacing w:before="0" w:after="283"/>
              <w:rPr>
                <w:sz w:val="4"/>
                <w:szCs w:val="4"/>
              </w:rPr>
            </w:pPr>
            <w:r>
              <w:rPr>
                <w:sz w:val="4"/>
                <w:szCs w:val="4"/>
              </w:rPr>
            </w:r>
          </w:p>
        </w:tc>
      </w:tr>
      <w:tr>
        <w:trPr/>
        <w:tc>
          <w:tcPr>
            <w:tcW w:w="5300" w:type="dxa"/>
            <w:tcBorders/>
            <w:shd w:fill="auto" w:val="clear"/>
            <w:vAlign w:val="center"/>
          </w:tcPr>
          <w:p>
            <w:pPr>
              <w:pStyle w:val="TableContents"/>
              <w:spacing w:before="0" w:after="0"/>
              <w:rPr>
                <w:rFonts w:ascii="ARIAL" w:hAnsi="ARIAL"/>
                <w:sz w:val="20"/>
              </w:rPr>
            </w:pPr>
            <w:r>
              <w:rPr>
                <w:rFonts w:ascii="ARIAL" w:hAnsi="ARIAL"/>
                <w:sz w:val="20"/>
              </w:rPr>
              <w:t>Eversept Partners, L.P.</w:t>
            </w:r>
          </w:p>
        </w:tc>
        <w:tc>
          <w:tcPr>
            <w:tcW w:w="60" w:type="dxa"/>
            <w:tcBorders/>
            <w:shd w:fill="auto" w:val="clear"/>
            <w:vAlign w:val="center"/>
          </w:tcPr>
          <w:p>
            <w:pPr>
              <w:pStyle w:val="TableContents"/>
              <w:spacing w:before="0" w:after="283"/>
              <w:rPr/>
            </w:pPr>
            <w:r>
              <w:rPr/>
              <w:t> </w:t>
            </w:r>
          </w:p>
        </w:tc>
        <w:tc>
          <w:tcPr>
            <w:tcW w:w="30"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9,015,629</w:t>
            </w:r>
          </w:p>
        </w:tc>
        <w:tc>
          <w:tcPr>
            <w:tcW w:w="530" w:type="dxa"/>
            <w:tcBorders/>
            <w:shd w:fill="auto" w:val="clear"/>
            <w:vAlign w:val="center"/>
          </w:tcPr>
          <w:p>
            <w:pPr>
              <w:pStyle w:val="TableContents"/>
              <w:spacing w:before="0" w:after="283"/>
              <w:rPr/>
            </w:pPr>
            <w:r>
              <w:rPr/>
              <w:t> </w:t>
            </w:r>
            <w:r>
              <w:rPr/>
              <w:t>(4) </w:t>
            </w:r>
          </w:p>
        </w:tc>
        <w:tc>
          <w:tcPr>
            <w:tcW w:w="6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704" w:type="dxa"/>
            <w:tcBorders/>
            <w:shd w:fill="auto" w:val="clear"/>
            <w:vAlign w:val="center"/>
          </w:tcPr>
          <w:p>
            <w:pPr>
              <w:pStyle w:val="TableContents"/>
              <w:spacing w:before="0" w:after="283"/>
              <w:jc w:val="center"/>
              <w:rPr/>
            </w:pPr>
            <w:r>
              <w:rPr/>
              <w:t>6.6%</w:t>
            </w:r>
          </w:p>
        </w:tc>
        <w:tc>
          <w:tcPr>
            <w:tcW w:w="75" w:type="dxa"/>
            <w:tcBorders/>
            <w:shd w:fill="auto" w:val="clear"/>
            <w:vAlign w:val="center"/>
          </w:tcPr>
          <w:p>
            <w:pPr>
              <w:pStyle w:val="TableContents"/>
              <w:spacing w:before="0" w:after="283"/>
              <w:rPr/>
            </w:pPr>
            <w:r>
              <w:rPr/>
              <w:t> </w:t>
            </w:r>
          </w:p>
        </w:tc>
      </w:tr>
      <w:tr>
        <w:trPr/>
        <w:tc>
          <w:tcPr>
            <w:tcW w:w="5300" w:type="dxa"/>
            <w:tcBorders/>
            <w:shd w:fill="auto" w:val="clear"/>
            <w:vAlign w:val="center"/>
          </w:tcPr>
          <w:p>
            <w:pPr>
              <w:pStyle w:val="TableContents"/>
              <w:spacing w:before="0" w:after="283"/>
              <w:rPr>
                <w:sz w:val="4"/>
                <w:szCs w:val="4"/>
              </w:rPr>
            </w:pPr>
            <w:r>
              <w:rPr>
                <w:sz w:val="4"/>
                <w:szCs w:val="4"/>
              </w:rPr>
            </w:r>
          </w:p>
        </w:tc>
        <w:tc>
          <w:tcPr>
            <w:tcW w:w="180" w:type="dxa"/>
            <w:gridSpan w:val="4"/>
            <w:tcBorders/>
            <w:shd w:fill="auto" w:val="clear"/>
            <w:vAlign w:val="center"/>
          </w:tcPr>
          <w:p>
            <w:pPr>
              <w:pStyle w:val="TableContents"/>
              <w:spacing w:before="0" w:after="283"/>
              <w:rPr>
                <w:sz w:val="4"/>
                <w:szCs w:val="4"/>
              </w:rPr>
            </w:pPr>
            <w:r>
              <w:rPr>
                <w:sz w:val="4"/>
                <w:szCs w:val="4"/>
              </w:rPr>
            </w:r>
          </w:p>
        </w:tc>
        <w:tc>
          <w:tcPr>
            <w:tcW w:w="1810" w:type="dxa"/>
            <w:gridSpan w:val="4"/>
            <w:tcBorders/>
            <w:shd w:fill="auto" w:val="clear"/>
            <w:vAlign w:val="center"/>
          </w:tcPr>
          <w:p>
            <w:pPr>
              <w:pStyle w:val="TableContents"/>
              <w:spacing w:before="0" w:after="283"/>
              <w:rPr>
                <w:sz w:val="4"/>
                <w:szCs w:val="4"/>
              </w:rPr>
            </w:pPr>
            <w:r>
              <w:rPr>
                <w:sz w:val="4"/>
                <w:szCs w:val="4"/>
              </w:rPr>
            </w:r>
          </w:p>
        </w:tc>
        <w:tc>
          <w:tcPr>
            <w:tcW w:w="935" w:type="dxa"/>
            <w:gridSpan w:val="4"/>
            <w:tcBorders/>
            <w:shd w:fill="auto" w:val="clear"/>
            <w:vAlign w:val="center"/>
          </w:tcPr>
          <w:p>
            <w:pPr>
              <w:pStyle w:val="TableContents"/>
              <w:spacing w:before="0" w:after="283"/>
              <w:rPr>
                <w:sz w:val="4"/>
                <w:szCs w:val="4"/>
              </w:rPr>
            </w:pPr>
            <w:r>
              <w:rPr>
                <w:sz w:val="4"/>
                <w:szCs w:val="4"/>
              </w:rPr>
            </w:r>
          </w:p>
        </w:tc>
      </w:tr>
      <w:tr>
        <w:trPr/>
        <w:tc>
          <w:tcPr>
            <w:tcW w:w="5300" w:type="dxa"/>
            <w:tcBorders/>
            <w:shd w:fill="auto" w:val="clear"/>
            <w:vAlign w:val="center"/>
          </w:tcPr>
          <w:p>
            <w:pPr>
              <w:pStyle w:val="TableContents"/>
              <w:spacing w:before="0" w:after="0"/>
              <w:rPr>
                <w:rFonts w:ascii="ARIAL" w:hAnsi="ARIAL"/>
                <w:b/>
                <w:sz w:val="20"/>
              </w:rPr>
            </w:pPr>
            <w:r>
              <w:rPr>
                <w:rFonts w:ascii="ARIAL" w:hAnsi="ARIAL"/>
                <w:b/>
                <w:sz w:val="20"/>
              </w:rPr>
              <w:t>Directors and Nominees:</w:t>
            </w:r>
          </w:p>
        </w:tc>
        <w:tc>
          <w:tcPr>
            <w:tcW w:w="60" w:type="dxa"/>
            <w:tcBorders/>
            <w:shd w:fill="auto" w:val="clear"/>
            <w:vAlign w:val="center"/>
          </w:tcPr>
          <w:p>
            <w:pPr>
              <w:pStyle w:val="TableContents"/>
              <w:spacing w:before="0" w:after="283"/>
              <w:rPr/>
            </w:pPr>
            <w:r>
              <w:rPr/>
              <w:t> </w:t>
            </w:r>
          </w:p>
        </w:tc>
        <w:tc>
          <w:tcPr>
            <w:tcW w:w="30"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sz w:val="4"/>
                <w:szCs w:val="4"/>
              </w:rPr>
            </w:pPr>
            <w:r>
              <w:rPr>
                <w:sz w:val="4"/>
                <w:szCs w:val="4"/>
              </w:rPr>
            </w:r>
          </w:p>
        </w:tc>
        <w:tc>
          <w:tcPr>
            <w:tcW w:w="704"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5300" w:type="dxa"/>
            <w:tcBorders/>
            <w:shd w:fill="auto" w:val="clear"/>
            <w:vAlign w:val="center"/>
          </w:tcPr>
          <w:p>
            <w:pPr>
              <w:pStyle w:val="TableContents"/>
              <w:spacing w:before="0" w:after="283"/>
              <w:rPr>
                <w:sz w:val="4"/>
                <w:szCs w:val="4"/>
              </w:rPr>
            </w:pPr>
            <w:r>
              <w:rPr>
                <w:sz w:val="4"/>
                <w:szCs w:val="4"/>
              </w:rPr>
            </w:r>
          </w:p>
        </w:tc>
        <w:tc>
          <w:tcPr>
            <w:tcW w:w="180" w:type="dxa"/>
            <w:gridSpan w:val="4"/>
            <w:tcBorders/>
            <w:shd w:fill="auto" w:val="clear"/>
            <w:vAlign w:val="center"/>
          </w:tcPr>
          <w:p>
            <w:pPr>
              <w:pStyle w:val="TableContents"/>
              <w:spacing w:before="0" w:after="283"/>
              <w:rPr>
                <w:sz w:val="4"/>
                <w:szCs w:val="4"/>
              </w:rPr>
            </w:pPr>
            <w:r>
              <w:rPr>
                <w:sz w:val="4"/>
                <w:szCs w:val="4"/>
              </w:rPr>
            </w:r>
          </w:p>
        </w:tc>
        <w:tc>
          <w:tcPr>
            <w:tcW w:w="1810" w:type="dxa"/>
            <w:gridSpan w:val="4"/>
            <w:tcBorders/>
            <w:shd w:fill="auto" w:val="clear"/>
            <w:vAlign w:val="center"/>
          </w:tcPr>
          <w:p>
            <w:pPr>
              <w:pStyle w:val="TableContents"/>
              <w:spacing w:before="0" w:after="283"/>
              <w:rPr>
                <w:sz w:val="4"/>
                <w:szCs w:val="4"/>
              </w:rPr>
            </w:pPr>
            <w:r>
              <w:rPr>
                <w:sz w:val="4"/>
                <w:szCs w:val="4"/>
              </w:rPr>
            </w:r>
          </w:p>
        </w:tc>
        <w:tc>
          <w:tcPr>
            <w:tcW w:w="935" w:type="dxa"/>
            <w:gridSpan w:val="4"/>
            <w:tcBorders/>
            <w:shd w:fill="auto" w:val="clear"/>
            <w:vAlign w:val="center"/>
          </w:tcPr>
          <w:p>
            <w:pPr>
              <w:pStyle w:val="TableContents"/>
              <w:spacing w:before="0" w:after="283"/>
              <w:rPr>
                <w:sz w:val="4"/>
                <w:szCs w:val="4"/>
              </w:rPr>
            </w:pPr>
            <w:r>
              <w:rPr>
                <w:sz w:val="4"/>
                <w:szCs w:val="4"/>
              </w:rPr>
            </w:r>
          </w:p>
        </w:tc>
      </w:tr>
      <w:tr>
        <w:trPr/>
        <w:tc>
          <w:tcPr>
            <w:tcW w:w="5300" w:type="dxa"/>
            <w:tcBorders/>
            <w:shd w:fill="auto" w:val="clear"/>
            <w:vAlign w:val="center"/>
          </w:tcPr>
          <w:p>
            <w:pPr>
              <w:pStyle w:val="TableContents"/>
              <w:spacing w:before="0" w:after="0"/>
              <w:rPr>
                <w:rFonts w:ascii="ARIAL" w:hAnsi="ARIAL"/>
                <w:sz w:val="20"/>
              </w:rPr>
            </w:pPr>
            <w:r>
              <w:rPr>
                <w:rFonts w:ascii="ARIAL" w:hAnsi="ARIAL"/>
                <w:sz w:val="20"/>
              </w:rPr>
              <w:t>Susan W. Brooks</w:t>
            </w:r>
          </w:p>
        </w:tc>
        <w:tc>
          <w:tcPr>
            <w:tcW w:w="60" w:type="dxa"/>
            <w:tcBorders/>
            <w:shd w:fill="auto" w:val="clear"/>
            <w:vAlign w:val="center"/>
          </w:tcPr>
          <w:p>
            <w:pPr>
              <w:pStyle w:val="TableContents"/>
              <w:spacing w:before="0" w:after="283"/>
              <w:rPr/>
            </w:pPr>
            <w:r>
              <w:rPr/>
              <w:t> </w:t>
            </w:r>
          </w:p>
        </w:tc>
        <w:tc>
          <w:tcPr>
            <w:tcW w:w="30"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0</w:t>
            </w:r>
          </w:p>
        </w:tc>
        <w:tc>
          <w:tcPr>
            <w:tcW w:w="530" w:type="dxa"/>
            <w:tcBorders/>
            <w:shd w:fill="auto" w:val="clear"/>
            <w:vAlign w:val="center"/>
          </w:tcPr>
          <w:p>
            <w:pPr>
              <w:pStyle w:val="TableContents"/>
              <w:spacing w:before="0" w:after="283"/>
              <w:rPr/>
            </w:pPr>
            <w:r>
              <w:rPr/>
              <w:t>(5) </w:t>
            </w:r>
          </w:p>
        </w:tc>
        <w:tc>
          <w:tcPr>
            <w:tcW w:w="6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704" w:type="dxa"/>
            <w:tcBorders/>
            <w:shd w:fill="auto" w:val="clear"/>
            <w:vAlign w:val="center"/>
          </w:tcPr>
          <w:p>
            <w:pPr>
              <w:pStyle w:val="TableContents"/>
              <w:spacing w:before="0" w:after="283"/>
              <w:jc w:val="center"/>
              <w:rPr/>
            </w:pPr>
            <w:r>
              <w:rPr/>
              <w:t>  </w:t>
            </w:r>
            <w:r>
              <w:rPr/>
              <w:t>*</w:t>
            </w:r>
          </w:p>
        </w:tc>
        <w:tc>
          <w:tcPr>
            <w:tcW w:w="75" w:type="dxa"/>
            <w:tcBorders/>
            <w:shd w:fill="auto" w:val="clear"/>
            <w:vAlign w:val="center"/>
          </w:tcPr>
          <w:p>
            <w:pPr>
              <w:pStyle w:val="TableContents"/>
              <w:spacing w:before="0" w:after="283"/>
              <w:rPr/>
            </w:pPr>
            <w:r>
              <w:rPr/>
              <w:t> </w:t>
            </w:r>
          </w:p>
        </w:tc>
      </w:tr>
      <w:tr>
        <w:trPr/>
        <w:tc>
          <w:tcPr>
            <w:tcW w:w="5300" w:type="dxa"/>
            <w:tcBorders/>
            <w:shd w:fill="auto" w:val="clear"/>
            <w:vAlign w:val="center"/>
          </w:tcPr>
          <w:p>
            <w:pPr>
              <w:pStyle w:val="TableContents"/>
              <w:spacing w:before="0" w:after="283"/>
              <w:rPr>
                <w:sz w:val="4"/>
                <w:szCs w:val="4"/>
              </w:rPr>
            </w:pPr>
            <w:r>
              <w:rPr>
                <w:sz w:val="4"/>
                <w:szCs w:val="4"/>
              </w:rPr>
            </w:r>
          </w:p>
        </w:tc>
        <w:tc>
          <w:tcPr>
            <w:tcW w:w="180" w:type="dxa"/>
            <w:gridSpan w:val="4"/>
            <w:tcBorders/>
            <w:shd w:fill="auto" w:val="clear"/>
            <w:vAlign w:val="center"/>
          </w:tcPr>
          <w:p>
            <w:pPr>
              <w:pStyle w:val="TableContents"/>
              <w:spacing w:before="0" w:after="283"/>
              <w:rPr>
                <w:sz w:val="4"/>
                <w:szCs w:val="4"/>
              </w:rPr>
            </w:pPr>
            <w:r>
              <w:rPr>
                <w:sz w:val="4"/>
                <w:szCs w:val="4"/>
              </w:rPr>
            </w:r>
          </w:p>
        </w:tc>
        <w:tc>
          <w:tcPr>
            <w:tcW w:w="1810" w:type="dxa"/>
            <w:gridSpan w:val="4"/>
            <w:tcBorders/>
            <w:shd w:fill="auto" w:val="clear"/>
            <w:vAlign w:val="center"/>
          </w:tcPr>
          <w:p>
            <w:pPr>
              <w:pStyle w:val="TableContents"/>
              <w:spacing w:before="0" w:after="283"/>
              <w:rPr>
                <w:sz w:val="4"/>
                <w:szCs w:val="4"/>
              </w:rPr>
            </w:pPr>
            <w:r>
              <w:rPr>
                <w:sz w:val="4"/>
                <w:szCs w:val="4"/>
              </w:rPr>
            </w:r>
          </w:p>
        </w:tc>
        <w:tc>
          <w:tcPr>
            <w:tcW w:w="935" w:type="dxa"/>
            <w:gridSpan w:val="4"/>
            <w:tcBorders/>
            <w:shd w:fill="auto" w:val="clear"/>
            <w:vAlign w:val="center"/>
          </w:tcPr>
          <w:p>
            <w:pPr>
              <w:pStyle w:val="TableContents"/>
              <w:spacing w:before="0" w:after="283"/>
              <w:rPr>
                <w:sz w:val="4"/>
                <w:szCs w:val="4"/>
              </w:rPr>
            </w:pPr>
            <w:r>
              <w:rPr>
                <w:sz w:val="4"/>
                <w:szCs w:val="4"/>
              </w:rPr>
            </w:r>
          </w:p>
        </w:tc>
      </w:tr>
      <w:tr>
        <w:trPr/>
        <w:tc>
          <w:tcPr>
            <w:tcW w:w="5300" w:type="dxa"/>
            <w:tcBorders/>
            <w:shd w:fill="auto" w:val="clear"/>
            <w:vAlign w:val="center"/>
          </w:tcPr>
          <w:p>
            <w:pPr>
              <w:pStyle w:val="TableContents"/>
              <w:spacing w:before="0" w:after="0"/>
              <w:rPr>
                <w:rFonts w:ascii="ARIAL" w:hAnsi="ARIAL"/>
                <w:sz w:val="20"/>
              </w:rPr>
            </w:pPr>
            <w:r>
              <w:rPr>
                <w:rFonts w:ascii="ARIAL" w:hAnsi="ARIAL"/>
                <w:sz w:val="20"/>
              </w:rPr>
              <w:t>John A. Clerico</w:t>
            </w:r>
          </w:p>
        </w:tc>
        <w:tc>
          <w:tcPr>
            <w:tcW w:w="60" w:type="dxa"/>
            <w:tcBorders/>
            <w:shd w:fill="auto" w:val="clear"/>
            <w:vAlign w:val="center"/>
          </w:tcPr>
          <w:p>
            <w:pPr>
              <w:pStyle w:val="TableContents"/>
              <w:spacing w:before="0" w:after="283"/>
              <w:rPr/>
            </w:pPr>
            <w:r>
              <w:rPr/>
              <w:t> </w:t>
            </w:r>
          </w:p>
        </w:tc>
        <w:tc>
          <w:tcPr>
            <w:tcW w:w="30"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259,530</w:t>
            </w:r>
          </w:p>
        </w:tc>
        <w:tc>
          <w:tcPr>
            <w:tcW w:w="530" w:type="dxa"/>
            <w:tcBorders/>
            <w:shd w:fill="auto" w:val="clear"/>
            <w:vAlign w:val="center"/>
          </w:tcPr>
          <w:p>
            <w:pPr>
              <w:pStyle w:val="TableContents"/>
              <w:spacing w:before="0" w:after="283"/>
              <w:rPr/>
            </w:pPr>
            <w:r>
              <w:rPr/>
              <w:t>(6) </w:t>
            </w:r>
          </w:p>
        </w:tc>
        <w:tc>
          <w:tcPr>
            <w:tcW w:w="6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704" w:type="dxa"/>
            <w:tcBorders/>
            <w:shd w:fill="auto" w:val="clear"/>
            <w:vAlign w:val="center"/>
          </w:tcPr>
          <w:p>
            <w:pPr>
              <w:pStyle w:val="TableContents"/>
              <w:spacing w:before="0" w:after="283"/>
              <w:jc w:val="center"/>
              <w:rPr/>
            </w:pPr>
            <w:r>
              <w:rPr/>
              <w:t>  </w:t>
            </w:r>
            <w:r>
              <w:rPr/>
              <w:t>*</w:t>
            </w:r>
          </w:p>
        </w:tc>
        <w:tc>
          <w:tcPr>
            <w:tcW w:w="75" w:type="dxa"/>
            <w:tcBorders/>
            <w:shd w:fill="auto" w:val="clear"/>
            <w:vAlign w:val="center"/>
          </w:tcPr>
          <w:p>
            <w:pPr>
              <w:pStyle w:val="TableContents"/>
              <w:spacing w:before="0" w:after="283"/>
              <w:rPr/>
            </w:pPr>
            <w:r>
              <w:rPr/>
              <w:t> </w:t>
            </w:r>
          </w:p>
        </w:tc>
      </w:tr>
      <w:tr>
        <w:trPr/>
        <w:tc>
          <w:tcPr>
            <w:tcW w:w="5300" w:type="dxa"/>
            <w:tcBorders/>
            <w:shd w:fill="auto" w:val="clear"/>
            <w:vAlign w:val="center"/>
          </w:tcPr>
          <w:p>
            <w:pPr>
              <w:pStyle w:val="TableContents"/>
              <w:spacing w:before="0" w:after="283"/>
              <w:rPr>
                <w:sz w:val="4"/>
                <w:szCs w:val="4"/>
              </w:rPr>
            </w:pPr>
            <w:r>
              <w:rPr>
                <w:sz w:val="4"/>
                <w:szCs w:val="4"/>
              </w:rPr>
            </w:r>
          </w:p>
        </w:tc>
        <w:tc>
          <w:tcPr>
            <w:tcW w:w="180" w:type="dxa"/>
            <w:gridSpan w:val="4"/>
            <w:tcBorders/>
            <w:shd w:fill="auto" w:val="clear"/>
            <w:vAlign w:val="center"/>
          </w:tcPr>
          <w:p>
            <w:pPr>
              <w:pStyle w:val="TableContents"/>
              <w:spacing w:before="0" w:after="283"/>
              <w:rPr>
                <w:sz w:val="4"/>
                <w:szCs w:val="4"/>
              </w:rPr>
            </w:pPr>
            <w:r>
              <w:rPr>
                <w:sz w:val="4"/>
                <w:szCs w:val="4"/>
              </w:rPr>
            </w:r>
          </w:p>
        </w:tc>
        <w:tc>
          <w:tcPr>
            <w:tcW w:w="1810" w:type="dxa"/>
            <w:gridSpan w:val="4"/>
            <w:tcBorders/>
            <w:shd w:fill="auto" w:val="clear"/>
            <w:vAlign w:val="center"/>
          </w:tcPr>
          <w:p>
            <w:pPr>
              <w:pStyle w:val="TableContents"/>
              <w:spacing w:before="0" w:after="283"/>
              <w:rPr>
                <w:sz w:val="4"/>
                <w:szCs w:val="4"/>
              </w:rPr>
            </w:pPr>
            <w:r>
              <w:rPr>
                <w:sz w:val="4"/>
                <w:szCs w:val="4"/>
              </w:rPr>
            </w:r>
          </w:p>
        </w:tc>
        <w:tc>
          <w:tcPr>
            <w:tcW w:w="935" w:type="dxa"/>
            <w:gridSpan w:val="4"/>
            <w:tcBorders/>
            <w:shd w:fill="auto" w:val="clear"/>
            <w:vAlign w:val="center"/>
          </w:tcPr>
          <w:p>
            <w:pPr>
              <w:pStyle w:val="TableContents"/>
              <w:spacing w:before="0" w:after="283"/>
              <w:rPr>
                <w:sz w:val="4"/>
                <w:szCs w:val="4"/>
              </w:rPr>
            </w:pPr>
            <w:r>
              <w:rPr>
                <w:sz w:val="4"/>
                <w:szCs w:val="4"/>
              </w:rPr>
            </w:r>
          </w:p>
        </w:tc>
      </w:tr>
      <w:tr>
        <w:trPr/>
        <w:tc>
          <w:tcPr>
            <w:tcW w:w="5300" w:type="dxa"/>
            <w:tcBorders/>
            <w:shd w:fill="auto" w:val="clear"/>
            <w:vAlign w:val="center"/>
          </w:tcPr>
          <w:p>
            <w:pPr>
              <w:pStyle w:val="TableContents"/>
              <w:spacing w:before="0" w:after="0"/>
              <w:rPr>
                <w:rFonts w:ascii="ARIAL" w:hAnsi="ARIAL"/>
                <w:sz w:val="20"/>
              </w:rPr>
            </w:pPr>
            <w:r>
              <w:rPr>
                <w:rFonts w:ascii="ARIAL" w:hAnsi="ARIAL"/>
                <w:sz w:val="20"/>
              </w:rPr>
              <w:t>Michael Dinkins</w:t>
            </w:r>
          </w:p>
        </w:tc>
        <w:tc>
          <w:tcPr>
            <w:tcW w:w="60" w:type="dxa"/>
            <w:tcBorders/>
            <w:shd w:fill="auto" w:val="clear"/>
            <w:vAlign w:val="center"/>
          </w:tcPr>
          <w:p>
            <w:pPr>
              <w:pStyle w:val="TableContents"/>
              <w:spacing w:before="0" w:after="283"/>
              <w:rPr/>
            </w:pPr>
            <w:r>
              <w:rPr/>
              <w:t> </w:t>
            </w:r>
          </w:p>
        </w:tc>
        <w:tc>
          <w:tcPr>
            <w:tcW w:w="30"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136,582</w:t>
            </w:r>
          </w:p>
        </w:tc>
        <w:tc>
          <w:tcPr>
            <w:tcW w:w="530" w:type="dxa"/>
            <w:tcBorders/>
            <w:shd w:fill="auto" w:val="clear"/>
            <w:vAlign w:val="center"/>
          </w:tcPr>
          <w:p>
            <w:pPr>
              <w:pStyle w:val="TableContents"/>
              <w:spacing w:before="0" w:after="283"/>
              <w:rPr/>
            </w:pPr>
            <w:r>
              <w:rPr/>
              <w:t>(7) </w:t>
            </w:r>
          </w:p>
        </w:tc>
        <w:tc>
          <w:tcPr>
            <w:tcW w:w="6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704" w:type="dxa"/>
            <w:tcBorders/>
            <w:shd w:fill="auto" w:val="clear"/>
            <w:vAlign w:val="center"/>
          </w:tcPr>
          <w:p>
            <w:pPr>
              <w:pStyle w:val="TableContents"/>
              <w:spacing w:before="0" w:after="283"/>
              <w:jc w:val="center"/>
              <w:rPr/>
            </w:pPr>
            <w:r>
              <w:rPr/>
              <w:t>  </w:t>
            </w:r>
            <w:r>
              <w:rPr/>
              <w:t>*</w:t>
            </w:r>
          </w:p>
        </w:tc>
        <w:tc>
          <w:tcPr>
            <w:tcW w:w="75" w:type="dxa"/>
            <w:tcBorders/>
            <w:shd w:fill="auto" w:val="clear"/>
            <w:vAlign w:val="center"/>
          </w:tcPr>
          <w:p>
            <w:pPr>
              <w:pStyle w:val="TableContents"/>
              <w:spacing w:before="0" w:after="283"/>
              <w:rPr/>
            </w:pPr>
            <w:r>
              <w:rPr/>
              <w:t> </w:t>
            </w:r>
          </w:p>
        </w:tc>
      </w:tr>
      <w:tr>
        <w:trPr/>
        <w:tc>
          <w:tcPr>
            <w:tcW w:w="5300" w:type="dxa"/>
            <w:tcBorders/>
            <w:shd w:fill="auto" w:val="clear"/>
            <w:vAlign w:val="center"/>
          </w:tcPr>
          <w:p>
            <w:pPr>
              <w:pStyle w:val="TableContents"/>
              <w:spacing w:before="0" w:after="283"/>
              <w:rPr>
                <w:sz w:val="4"/>
                <w:szCs w:val="4"/>
              </w:rPr>
            </w:pPr>
            <w:r>
              <w:rPr>
                <w:sz w:val="4"/>
                <w:szCs w:val="4"/>
              </w:rPr>
            </w:r>
          </w:p>
        </w:tc>
        <w:tc>
          <w:tcPr>
            <w:tcW w:w="180" w:type="dxa"/>
            <w:gridSpan w:val="4"/>
            <w:tcBorders/>
            <w:shd w:fill="auto" w:val="clear"/>
            <w:vAlign w:val="center"/>
          </w:tcPr>
          <w:p>
            <w:pPr>
              <w:pStyle w:val="TableContents"/>
              <w:spacing w:before="0" w:after="283"/>
              <w:rPr>
                <w:sz w:val="4"/>
                <w:szCs w:val="4"/>
              </w:rPr>
            </w:pPr>
            <w:r>
              <w:rPr>
                <w:sz w:val="4"/>
                <w:szCs w:val="4"/>
              </w:rPr>
            </w:r>
          </w:p>
        </w:tc>
        <w:tc>
          <w:tcPr>
            <w:tcW w:w="1810" w:type="dxa"/>
            <w:gridSpan w:val="4"/>
            <w:tcBorders/>
            <w:shd w:fill="auto" w:val="clear"/>
            <w:vAlign w:val="center"/>
          </w:tcPr>
          <w:p>
            <w:pPr>
              <w:pStyle w:val="TableContents"/>
              <w:spacing w:before="0" w:after="283"/>
              <w:rPr>
                <w:sz w:val="4"/>
                <w:szCs w:val="4"/>
              </w:rPr>
            </w:pPr>
            <w:r>
              <w:rPr>
                <w:sz w:val="4"/>
                <w:szCs w:val="4"/>
              </w:rPr>
            </w:r>
          </w:p>
        </w:tc>
        <w:tc>
          <w:tcPr>
            <w:tcW w:w="935" w:type="dxa"/>
            <w:gridSpan w:val="4"/>
            <w:tcBorders/>
            <w:shd w:fill="auto" w:val="clear"/>
            <w:vAlign w:val="center"/>
          </w:tcPr>
          <w:p>
            <w:pPr>
              <w:pStyle w:val="TableContents"/>
              <w:spacing w:before="0" w:after="283"/>
              <w:rPr>
                <w:sz w:val="4"/>
                <w:szCs w:val="4"/>
              </w:rPr>
            </w:pPr>
            <w:r>
              <w:rPr>
                <w:sz w:val="4"/>
                <w:szCs w:val="4"/>
              </w:rPr>
            </w:r>
          </w:p>
        </w:tc>
      </w:tr>
      <w:tr>
        <w:trPr/>
        <w:tc>
          <w:tcPr>
            <w:tcW w:w="5300" w:type="dxa"/>
            <w:tcBorders/>
            <w:shd w:fill="auto" w:val="clear"/>
            <w:vAlign w:val="center"/>
          </w:tcPr>
          <w:p>
            <w:pPr>
              <w:pStyle w:val="TableContents"/>
              <w:spacing w:before="0" w:after="0"/>
              <w:rPr>
                <w:rFonts w:ascii="ARIAL" w:hAnsi="ARIAL"/>
                <w:sz w:val="20"/>
              </w:rPr>
            </w:pPr>
            <w:r>
              <w:rPr>
                <w:rFonts w:ascii="ARIAL" w:hAnsi="ARIAL"/>
                <w:sz w:val="20"/>
              </w:rPr>
              <w:t>James S. Ely III</w:t>
            </w:r>
          </w:p>
        </w:tc>
        <w:tc>
          <w:tcPr>
            <w:tcW w:w="60" w:type="dxa"/>
            <w:tcBorders/>
            <w:shd w:fill="auto" w:val="clear"/>
            <w:vAlign w:val="center"/>
          </w:tcPr>
          <w:p>
            <w:pPr>
              <w:pStyle w:val="TableContents"/>
              <w:spacing w:before="0" w:after="283"/>
              <w:rPr/>
            </w:pPr>
            <w:r>
              <w:rPr/>
              <w:t> </w:t>
            </w:r>
          </w:p>
        </w:tc>
        <w:tc>
          <w:tcPr>
            <w:tcW w:w="30"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312,183</w:t>
            </w:r>
          </w:p>
        </w:tc>
        <w:tc>
          <w:tcPr>
            <w:tcW w:w="530" w:type="dxa"/>
            <w:tcBorders/>
            <w:shd w:fill="auto" w:val="clear"/>
            <w:vAlign w:val="center"/>
          </w:tcPr>
          <w:p>
            <w:pPr>
              <w:pStyle w:val="TableContents"/>
              <w:spacing w:before="0" w:after="283"/>
              <w:rPr/>
            </w:pPr>
            <w:r>
              <w:rPr/>
              <w:t>(8) </w:t>
            </w:r>
          </w:p>
        </w:tc>
        <w:tc>
          <w:tcPr>
            <w:tcW w:w="6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704" w:type="dxa"/>
            <w:tcBorders/>
            <w:shd w:fill="auto" w:val="clear"/>
            <w:vAlign w:val="center"/>
          </w:tcPr>
          <w:p>
            <w:pPr>
              <w:pStyle w:val="TableContents"/>
              <w:spacing w:before="0" w:after="283"/>
              <w:jc w:val="center"/>
              <w:rPr/>
            </w:pPr>
            <w:r>
              <w:rPr/>
              <w:t>  </w:t>
            </w:r>
            <w:r>
              <w:rPr/>
              <w:t>*</w:t>
            </w:r>
          </w:p>
        </w:tc>
        <w:tc>
          <w:tcPr>
            <w:tcW w:w="75" w:type="dxa"/>
            <w:tcBorders/>
            <w:shd w:fill="auto" w:val="clear"/>
            <w:vAlign w:val="center"/>
          </w:tcPr>
          <w:p>
            <w:pPr>
              <w:pStyle w:val="TableContents"/>
              <w:spacing w:before="0" w:after="283"/>
              <w:rPr/>
            </w:pPr>
            <w:r>
              <w:rPr/>
              <w:t> </w:t>
            </w:r>
          </w:p>
        </w:tc>
      </w:tr>
      <w:tr>
        <w:trPr/>
        <w:tc>
          <w:tcPr>
            <w:tcW w:w="5300" w:type="dxa"/>
            <w:tcBorders/>
            <w:shd w:fill="auto" w:val="clear"/>
            <w:vAlign w:val="center"/>
          </w:tcPr>
          <w:p>
            <w:pPr>
              <w:pStyle w:val="TableContents"/>
              <w:spacing w:before="0" w:after="283"/>
              <w:rPr>
                <w:sz w:val="4"/>
                <w:szCs w:val="4"/>
              </w:rPr>
            </w:pPr>
            <w:r>
              <w:rPr>
                <w:sz w:val="4"/>
                <w:szCs w:val="4"/>
              </w:rPr>
            </w:r>
          </w:p>
        </w:tc>
        <w:tc>
          <w:tcPr>
            <w:tcW w:w="180" w:type="dxa"/>
            <w:gridSpan w:val="4"/>
            <w:tcBorders/>
            <w:shd w:fill="auto" w:val="clear"/>
            <w:vAlign w:val="center"/>
          </w:tcPr>
          <w:p>
            <w:pPr>
              <w:pStyle w:val="TableContents"/>
              <w:spacing w:before="0" w:after="283"/>
              <w:rPr>
                <w:sz w:val="4"/>
                <w:szCs w:val="4"/>
              </w:rPr>
            </w:pPr>
            <w:r>
              <w:rPr>
                <w:sz w:val="4"/>
                <w:szCs w:val="4"/>
              </w:rPr>
            </w:r>
          </w:p>
        </w:tc>
        <w:tc>
          <w:tcPr>
            <w:tcW w:w="1810" w:type="dxa"/>
            <w:gridSpan w:val="4"/>
            <w:tcBorders/>
            <w:shd w:fill="auto" w:val="clear"/>
            <w:vAlign w:val="center"/>
          </w:tcPr>
          <w:p>
            <w:pPr>
              <w:pStyle w:val="TableContents"/>
              <w:spacing w:before="0" w:after="283"/>
              <w:rPr>
                <w:sz w:val="4"/>
                <w:szCs w:val="4"/>
              </w:rPr>
            </w:pPr>
            <w:r>
              <w:rPr>
                <w:sz w:val="4"/>
                <w:szCs w:val="4"/>
              </w:rPr>
            </w:r>
          </w:p>
        </w:tc>
        <w:tc>
          <w:tcPr>
            <w:tcW w:w="935" w:type="dxa"/>
            <w:gridSpan w:val="4"/>
            <w:tcBorders/>
            <w:shd w:fill="auto" w:val="clear"/>
            <w:vAlign w:val="center"/>
          </w:tcPr>
          <w:p>
            <w:pPr>
              <w:pStyle w:val="TableContents"/>
              <w:spacing w:before="0" w:after="283"/>
              <w:rPr>
                <w:sz w:val="4"/>
                <w:szCs w:val="4"/>
              </w:rPr>
            </w:pPr>
            <w:r>
              <w:rPr>
                <w:sz w:val="4"/>
                <w:szCs w:val="4"/>
              </w:rPr>
            </w:r>
          </w:p>
        </w:tc>
      </w:tr>
      <w:tr>
        <w:trPr/>
        <w:tc>
          <w:tcPr>
            <w:tcW w:w="5300" w:type="dxa"/>
            <w:tcBorders/>
            <w:shd w:fill="auto" w:val="clear"/>
            <w:vAlign w:val="center"/>
          </w:tcPr>
          <w:p>
            <w:pPr>
              <w:pStyle w:val="TableContents"/>
              <w:spacing w:before="0" w:after="0"/>
              <w:rPr>
                <w:rFonts w:ascii="ARIAL" w:hAnsi="ARIAL"/>
                <w:sz w:val="20"/>
              </w:rPr>
            </w:pPr>
            <w:r>
              <w:rPr>
                <w:rFonts w:ascii="ARIAL" w:hAnsi="ARIAL"/>
                <w:sz w:val="20"/>
              </w:rPr>
              <w:t>John A. Fry</w:t>
            </w:r>
          </w:p>
        </w:tc>
        <w:tc>
          <w:tcPr>
            <w:tcW w:w="60" w:type="dxa"/>
            <w:tcBorders/>
            <w:shd w:fill="auto" w:val="clear"/>
            <w:vAlign w:val="center"/>
          </w:tcPr>
          <w:p>
            <w:pPr>
              <w:pStyle w:val="TableContents"/>
              <w:spacing w:before="0" w:after="283"/>
              <w:rPr/>
            </w:pPr>
            <w:r>
              <w:rPr/>
              <w:t> </w:t>
            </w:r>
          </w:p>
        </w:tc>
        <w:tc>
          <w:tcPr>
            <w:tcW w:w="30"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159,733</w:t>
            </w:r>
          </w:p>
        </w:tc>
        <w:tc>
          <w:tcPr>
            <w:tcW w:w="530" w:type="dxa"/>
            <w:tcBorders/>
            <w:shd w:fill="auto" w:val="clear"/>
            <w:vAlign w:val="center"/>
          </w:tcPr>
          <w:p>
            <w:pPr>
              <w:pStyle w:val="TableContents"/>
              <w:spacing w:before="0" w:after="283"/>
              <w:rPr/>
            </w:pPr>
            <w:r>
              <w:rPr/>
              <w:t>(9) </w:t>
            </w:r>
          </w:p>
        </w:tc>
        <w:tc>
          <w:tcPr>
            <w:tcW w:w="6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704" w:type="dxa"/>
            <w:tcBorders/>
            <w:shd w:fill="auto" w:val="clear"/>
            <w:vAlign w:val="center"/>
          </w:tcPr>
          <w:p>
            <w:pPr>
              <w:pStyle w:val="TableContents"/>
              <w:spacing w:before="0" w:after="283"/>
              <w:jc w:val="center"/>
              <w:rPr/>
            </w:pPr>
            <w:r>
              <w:rPr/>
              <w:t>  </w:t>
            </w:r>
            <w:r>
              <w:rPr/>
              <w:t>*</w:t>
            </w:r>
          </w:p>
        </w:tc>
        <w:tc>
          <w:tcPr>
            <w:tcW w:w="75" w:type="dxa"/>
            <w:tcBorders/>
            <w:shd w:fill="auto" w:val="clear"/>
            <w:vAlign w:val="center"/>
          </w:tcPr>
          <w:p>
            <w:pPr>
              <w:pStyle w:val="TableContents"/>
              <w:spacing w:before="0" w:after="283"/>
              <w:rPr/>
            </w:pPr>
            <w:r>
              <w:rPr/>
              <w:t> </w:t>
            </w:r>
          </w:p>
        </w:tc>
      </w:tr>
      <w:tr>
        <w:trPr/>
        <w:tc>
          <w:tcPr>
            <w:tcW w:w="5300" w:type="dxa"/>
            <w:tcBorders/>
            <w:shd w:fill="auto" w:val="clear"/>
            <w:vAlign w:val="center"/>
          </w:tcPr>
          <w:p>
            <w:pPr>
              <w:pStyle w:val="TableContents"/>
              <w:spacing w:before="0" w:after="283"/>
              <w:rPr>
                <w:sz w:val="4"/>
                <w:szCs w:val="4"/>
              </w:rPr>
            </w:pPr>
            <w:r>
              <w:rPr>
                <w:sz w:val="4"/>
                <w:szCs w:val="4"/>
              </w:rPr>
            </w:r>
          </w:p>
        </w:tc>
        <w:tc>
          <w:tcPr>
            <w:tcW w:w="180" w:type="dxa"/>
            <w:gridSpan w:val="4"/>
            <w:tcBorders/>
            <w:shd w:fill="auto" w:val="clear"/>
            <w:vAlign w:val="center"/>
          </w:tcPr>
          <w:p>
            <w:pPr>
              <w:pStyle w:val="TableContents"/>
              <w:spacing w:before="0" w:after="283"/>
              <w:rPr>
                <w:sz w:val="4"/>
                <w:szCs w:val="4"/>
              </w:rPr>
            </w:pPr>
            <w:r>
              <w:rPr>
                <w:sz w:val="4"/>
                <w:szCs w:val="4"/>
              </w:rPr>
            </w:r>
          </w:p>
        </w:tc>
        <w:tc>
          <w:tcPr>
            <w:tcW w:w="1810" w:type="dxa"/>
            <w:gridSpan w:val="4"/>
            <w:tcBorders/>
            <w:shd w:fill="auto" w:val="clear"/>
            <w:vAlign w:val="center"/>
          </w:tcPr>
          <w:p>
            <w:pPr>
              <w:pStyle w:val="TableContents"/>
              <w:spacing w:before="0" w:after="283"/>
              <w:rPr>
                <w:sz w:val="4"/>
                <w:szCs w:val="4"/>
              </w:rPr>
            </w:pPr>
            <w:r>
              <w:rPr>
                <w:sz w:val="4"/>
                <w:szCs w:val="4"/>
              </w:rPr>
            </w:r>
          </w:p>
        </w:tc>
        <w:tc>
          <w:tcPr>
            <w:tcW w:w="935" w:type="dxa"/>
            <w:gridSpan w:val="4"/>
            <w:tcBorders/>
            <w:shd w:fill="auto" w:val="clear"/>
            <w:vAlign w:val="center"/>
          </w:tcPr>
          <w:p>
            <w:pPr>
              <w:pStyle w:val="TableContents"/>
              <w:spacing w:before="0" w:after="283"/>
              <w:rPr>
                <w:sz w:val="4"/>
                <w:szCs w:val="4"/>
              </w:rPr>
            </w:pPr>
            <w:r>
              <w:rPr>
                <w:sz w:val="4"/>
                <w:szCs w:val="4"/>
              </w:rPr>
            </w:r>
          </w:p>
        </w:tc>
      </w:tr>
      <w:tr>
        <w:trPr/>
        <w:tc>
          <w:tcPr>
            <w:tcW w:w="5300" w:type="dxa"/>
            <w:tcBorders/>
            <w:shd w:fill="auto" w:val="clear"/>
            <w:vAlign w:val="center"/>
          </w:tcPr>
          <w:p>
            <w:pPr>
              <w:pStyle w:val="TableContents"/>
              <w:spacing w:before="0" w:after="0"/>
              <w:rPr>
                <w:rFonts w:ascii="ARIAL" w:hAnsi="ARIAL"/>
                <w:sz w:val="20"/>
              </w:rPr>
            </w:pPr>
            <w:r>
              <w:rPr>
                <w:rFonts w:ascii="ARIAL" w:hAnsi="ARIAL"/>
                <w:sz w:val="20"/>
              </w:rPr>
              <w:t>Joseph A. Hastings, D.M.D.</w:t>
            </w:r>
          </w:p>
        </w:tc>
        <w:tc>
          <w:tcPr>
            <w:tcW w:w="60" w:type="dxa"/>
            <w:tcBorders/>
            <w:shd w:fill="auto" w:val="clear"/>
            <w:vAlign w:val="center"/>
          </w:tcPr>
          <w:p>
            <w:pPr>
              <w:pStyle w:val="TableContents"/>
              <w:spacing w:before="0" w:after="283"/>
              <w:rPr/>
            </w:pPr>
            <w:r>
              <w:rPr/>
              <w:t> </w:t>
            </w:r>
          </w:p>
        </w:tc>
        <w:tc>
          <w:tcPr>
            <w:tcW w:w="30"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17,130</w:t>
            </w:r>
          </w:p>
        </w:tc>
        <w:tc>
          <w:tcPr>
            <w:tcW w:w="530" w:type="dxa"/>
            <w:tcBorders/>
            <w:shd w:fill="auto" w:val="clear"/>
            <w:vAlign w:val="center"/>
          </w:tcPr>
          <w:p>
            <w:pPr>
              <w:pStyle w:val="TableContents"/>
              <w:spacing w:before="0" w:after="283"/>
              <w:rPr/>
            </w:pPr>
            <w:r>
              <w:rPr/>
              <w:t>(10) </w:t>
            </w:r>
          </w:p>
        </w:tc>
        <w:tc>
          <w:tcPr>
            <w:tcW w:w="6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704" w:type="dxa"/>
            <w:tcBorders/>
            <w:shd w:fill="auto" w:val="clear"/>
            <w:vAlign w:val="center"/>
          </w:tcPr>
          <w:p>
            <w:pPr>
              <w:pStyle w:val="TableContents"/>
              <w:spacing w:before="0" w:after="283"/>
              <w:jc w:val="center"/>
              <w:rPr/>
            </w:pPr>
            <w:r>
              <w:rPr/>
              <w:t>  </w:t>
            </w:r>
            <w:r>
              <w:rPr/>
              <w:t>*</w:t>
            </w:r>
          </w:p>
        </w:tc>
        <w:tc>
          <w:tcPr>
            <w:tcW w:w="75" w:type="dxa"/>
            <w:tcBorders/>
            <w:shd w:fill="auto" w:val="clear"/>
            <w:vAlign w:val="center"/>
          </w:tcPr>
          <w:p>
            <w:pPr>
              <w:pStyle w:val="TableContents"/>
              <w:spacing w:before="0" w:after="283"/>
              <w:rPr/>
            </w:pPr>
            <w:r>
              <w:rPr/>
              <w:t> </w:t>
            </w:r>
          </w:p>
        </w:tc>
      </w:tr>
      <w:tr>
        <w:trPr/>
        <w:tc>
          <w:tcPr>
            <w:tcW w:w="5300" w:type="dxa"/>
            <w:tcBorders/>
            <w:shd w:fill="auto" w:val="clear"/>
            <w:vAlign w:val="center"/>
          </w:tcPr>
          <w:p>
            <w:pPr>
              <w:pStyle w:val="TableContents"/>
              <w:spacing w:before="0" w:after="283"/>
              <w:rPr>
                <w:sz w:val="4"/>
                <w:szCs w:val="4"/>
              </w:rPr>
            </w:pPr>
            <w:r>
              <w:rPr>
                <w:sz w:val="4"/>
                <w:szCs w:val="4"/>
              </w:rPr>
            </w:r>
          </w:p>
        </w:tc>
        <w:tc>
          <w:tcPr>
            <w:tcW w:w="180" w:type="dxa"/>
            <w:gridSpan w:val="4"/>
            <w:tcBorders/>
            <w:shd w:fill="auto" w:val="clear"/>
            <w:vAlign w:val="center"/>
          </w:tcPr>
          <w:p>
            <w:pPr>
              <w:pStyle w:val="TableContents"/>
              <w:spacing w:before="0" w:after="283"/>
              <w:rPr>
                <w:sz w:val="4"/>
                <w:szCs w:val="4"/>
              </w:rPr>
            </w:pPr>
            <w:r>
              <w:rPr>
                <w:sz w:val="4"/>
                <w:szCs w:val="4"/>
              </w:rPr>
            </w:r>
          </w:p>
        </w:tc>
        <w:tc>
          <w:tcPr>
            <w:tcW w:w="1810" w:type="dxa"/>
            <w:gridSpan w:val="4"/>
            <w:tcBorders/>
            <w:shd w:fill="auto" w:val="clear"/>
            <w:vAlign w:val="center"/>
          </w:tcPr>
          <w:p>
            <w:pPr>
              <w:pStyle w:val="TableContents"/>
              <w:spacing w:before="0" w:after="283"/>
              <w:rPr>
                <w:sz w:val="4"/>
                <w:szCs w:val="4"/>
              </w:rPr>
            </w:pPr>
            <w:r>
              <w:rPr>
                <w:sz w:val="4"/>
                <w:szCs w:val="4"/>
              </w:rPr>
            </w:r>
          </w:p>
        </w:tc>
        <w:tc>
          <w:tcPr>
            <w:tcW w:w="935" w:type="dxa"/>
            <w:gridSpan w:val="4"/>
            <w:tcBorders/>
            <w:shd w:fill="auto" w:val="clear"/>
            <w:vAlign w:val="center"/>
          </w:tcPr>
          <w:p>
            <w:pPr>
              <w:pStyle w:val="TableContents"/>
              <w:spacing w:before="0" w:after="283"/>
              <w:rPr>
                <w:sz w:val="4"/>
                <w:szCs w:val="4"/>
              </w:rPr>
            </w:pPr>
            <w:r>
              <w:rPr>
                <w:sz w:val="4"/>
                <w:szCs w:val="4"/>
              </w:rPr>
            </w:r>
          </w:p>
        </w:tc>
      </w:tr>
      <w:tr>
        <w:trPr/>
        <w:tc>
          <w:tcPr>
            <w:tcW w:w="5300" w:type="dxa"/>
            <w:tcBorders/>
            <w:shd w:fill="auto" w:val="clear"/>
            <w:vAlign w:val="center"/>
          </w:tcPr>
          <w:p>
            <w:pPr>
              <w:pStyle w:val="TableContents"/>
              <w:spacing w:before="0" w:after="0"/>
              <w:rPr>
                <w:rFonts w:ascii="ARIAL" w:hAnsi="ARIAL"/>
                <w:sz w:val="20"/>
              </w:rPr>
            </w:pPr>
            <w:r>
              <w:rPr>
                <w:rFonts w:ascii="ARIAL" w:hAnsi="ARIAL"/>
                <w:sz w:val="20"/>
              </w:rPr>
              <w:t>Tim L. Hingtgen</w:t>
            </w:r>
          </w:p>
        </w:tc>
        <w:tc>
          <w:tcPr>
            <w:tcW w:w="60" w:type="dxa"/>
            <w:tcBorders/>
            <w:shd w:fill="auto" w:val="clear"/>
            <w:vAlign w:val="center"/>
          </w:tcPr>
          <w:p>
            <w:pPr>
              <w:pStyle w:val="TableContents"/>
              <w:spacing w:before="0" w:after="283"/>
              <w:rPr/>
            </w:pPr>
            <w:r>
              <w:rPr/>
              <w:t> </w:t>
            </w:r>
          </w:p>
        </w:tc>
        <w:tc>
          <w:tcPr>
            <w:tcW w:w="30"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2,220,666</w:t>
            </w:r>
          </w:p>
        </w:tc>
        <w:tc>
          <w:tcPr>
            <w:tcW w:w="530" w:type="dxa"/>
            <w:tcBorders/>
            <w:shd w:fill="auto" w:val="clear"/>
            <w:vAlign w:val="center"/>
          </w:tcPr>
          <w:p>
            <w:pPr>
              <w:pStyle w:val="TableContents"/>
              <w:spacing w:before="0" w:after="283"/>
              <w:rPr/>
            </w:pPr>
            <w:r>
              <w:rPr/>
              <w:t> </w:t>
            </w:r>
            <w:r>
              <w:rPr/>
              <w:t>(11) </w:t>
            </w:r>
          </w:p>
        </w:tc>
        <w:tc>
          <w:tcPr>
            <w:tcW w:w="6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704" w:type="dxa"/>
            <w:tcBorders/>
            <w:shd w:fill="auto" w:val="clear"/>
            <w:vAlign w:val="center"/>
          </w:tcPr>
          <w:p>
            <w:pPr>
              <w:pStyle w:val="TableContents"/>
              <w:spacing w:before="0" w:after="283"/>
              <w:jc w:val="center"/>
              <w:rPr/>
            </w:pPr>
            <w:r>
              <w:rPr/>
              <w:t>  </w:t>
            </w:r>
            <w:r>
              <w:rPr/>
              <w:t>*</w:t>
            </w:r>
          </w:p>
        </w:tc>
        <w:tc>
          <w:tcPr>
            <w:tcW w:w="75" w:type="dxa"/>
            <w:tcBorders/>
            <w:shd w:fill="auto" w:val="clear"/>
            <w:vAlign w:val="center"/>
          </w:tcPr>
          <w:p>
            <w:pPr>
              <w:pStyle w:val="TableContents"/>
              <w:spacing w:before="0" w:after="283"/>
              <w:rPr/>
            </w:pPr>
            <w:r>
              <w:rPr/>
              <w:t> </w:t>
            </w:r>
          </w:p>
        </w:tc>
      </w:tr>
      <w:tr>
        <w:trPr/>
        <w:tc>
          <w:tcPr>
            <w:tcW w:w="5300" w:type="dxa"/>
            <w:tcBorders/>
            <w:shd w:fill="auto" w:val="clear"/>
            <w:vAlign w:val="center"/>
          </w:tcPr>
          <w:p>
            <w:pPr>
              <w:pStyle w:val="TableContents"/>
              <w:spacing w:before="0" w:after="283"/>
              <w:rPr>
                <w:sz w:val="4"/>
                <w:szCs w:val="4"/>
              </w:rPr>
            </w:pPr>
            <w:r>
              <w:rPr>
                <w:sz w:val="4"/>
                <w:szCs w:val="4"/>
              </w:rPr>
            </w:r>
          </w:p>
        </w:tc>
        <w:tc>
          <w:tcPr>
            <w:tcW w:w="180" w:type="dxa"/>
            <w:gridSpan w:val="4"/>
            <w:tcBorders/>
            <w:shd w:fill="auto" w:val="clear"/>
            <w:vAlign w:val="center"/>
          </w:tcPr>
          <w:p>
            <w:pPr>
              <w:pStyle w:val="TableContents"/>
              <w:spacing w:before="0" w:after="283"/>
              <w:rPr>
                <w:sz w:val="4"/>
                <w:szCs w:val="4"/>
              </w:rPr>
            </w:pPr>
            <w:r>
              <w:rPr>
                <w:sz w:val="4"/>
                <w:szCs w:val="4"/>
              </w:rPr>
            </w:r>
          </w:p>
        </w:tc>
        <w:tc>
          <w:tcPr>
            <w:tcW w:w="1810" w:type="dxa"/>
            <w:gridSpan w:val="4"/>
            <w:tcBorders/>
            <w:shd w:fill="auto" w:val="clear"/>
            <w:vAlign w:val="center"/>
          </w:tcPr>
          <w:p>
            <w:pPr>
              <w:pStyle w:val="TableContents"/>
              <w:spacing w:before="0" w:after="283"/>
              <w:rPr>
                <w:sz w:val="4"/>
                <w:szCs w:val="4"/>
              </w:rPr>
            </w:pPr>
            <w:r>
              <w:rPr>
                <w:sz w:val="4"/>
                <w:szCs w:val="4"/>
              </w:rPr>
            </w:r>
          </w:p>
        </w:tc>
        <w:tc>
          <w:tcPr>
            <w:tcW w:w="935" w:type="dxa"/>
            <w:gridSpan w:val="4"/>
            <w:tcBorders/>
            <w:shd w:fill="auto" w:val="clear"/>
            <w:vAlign w:val="center"/>
          </w:tcPr>
          <w:p>
            <w:pPr>
              <w:pStyle w:val="TableContents"/>
              <w:spacing w:before="0" w:after="283"/>
              <w:rPr>
                <w:sz w:val="4"/>
                <w:szCs w:val="4"/>
              </w:rPr>
            </w:pPr>
            <w:r>
              <w:rPr>
                <w:sz w:val="4"/>
                <w:szCs w:val="4"/>
              </w:rPr>
            </w:r>
          </w:p>
        </w:tc>
      </w:tr>
      <w:tr>
        <w:trPr/>
        <w:tc>
          <w:tcPr>
            <w:tcW w:w="5300" w:type="dxa"/>
            <w:tcBorders/>
            <w:shd w:fill="auto" w:val="clear"/>
            <w:vAlign w:val="center"/>
          </w:tcPr>
          <w:p>
            <w:pPr>
              <w:pStyle w:val="TableContents"/>
              <w:spacing w:before="0" w:after="0"/>
              <w:rPr>
                <w:rFonts w:ascii="ARIAL" w:hAnsi="ARIAL"/>
                <w:sz w:val="20"/>
              </w:rPr>
            </w:pPr>
            <w:r>
              <w:rPr>
                <w:rFonts w:ascii="ARIAL" w:hAnsi="ARIAL"/>
                <w:sz w:val="20"/>
              </w:rPr>
              <w:t>Elizabeth T. Hirsch</w:t>
            </w:r>
          </w:p>
        </w:tc>
        <w:tc>
          <w:tcPr>
            <w:tcW w:w="60" w:type="dxa"/>
            <w:tcBorders/>
            <w:shd w:fill="auto" w:val="clear"/>
            <w:vAlign w:val="center"/>
          </w:tcPr>
          <w:p>
            <w:pPr>
              <w:pStyle w:val="TableContents"/>
              <w:spacing w:before="0" w:after="283"/>
              <w:rPr/>
            </w:pPr>
            <w:r>
              <w:rPr/>
              <w:t> </w:t>
            </w:r>
          </w:p>
        </w:tc>
        <w:tc>
          <w:tcPr>
            <w:tcW w:w="30"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52,826</w:t>
            </w:r>
          </w:p>
        </w:tc>
        <w:tc>
          <w:tcPr>
            <w:tcW w:w="530" w:type="dxa"/>
            <w:tcBorders/>
            <w:shd w:fill="auto" w:val="clear"/>
            <w:vAlign w:val="center"/>
          </w:tcPr>
          <w:p>
            <w:pPr>
              <w:pStyle w:val="TableContents"/>
              <w:spacing w:before="0" w:after="283"/>
              <w:rPr/>
            </w:pPr>
            <w:r>
              <w:rPr/>
              <w:t>(12) </w:t>
            </w:r>
          </w:p>
        </w:tc>
        <w:tc>
          <w:tcPr>
            <w:tcW w:w="6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704" w:type="dxa"/>
            <w:tcBorders/>
            <w:shd w:fill="auto" w:val="clear"/>
            <w:vAlign w:val="center"/>
          </w:tcPr>
          <w:p>
            <w:pPr>
              <w:pStyle w:val="TableContents"/>
              <w:spacing w:before="0" w:after="283"/>
              <w:jc w:val="center"/>
              <w:rPr/>
            </w:pPr>
            <w:r>
              <w:rPr/>
              <w:t>  </w:t>
            </w:r>
            <w:r>
              <w:rPr/>
              <w:t>*</w:t>
            </w:r>
          </w:p>
        </w:tc>
        <w:tc>
          <w:tcPr>
            <w:tcW w:w="75" w:type="dxa"/>
            <w:tcBorders/>
            <w:shd w:fill="auto" w:val="clear"/>
            <w:vAlign w:val="center"/>
          </w:tcPr>
          <w:p>
            <w:pPr>
              <w:pStyle w:val="TableContents"/>
              <w:spacing w:before="0" w:after="283"/>
              <w:rPr/>
            </w:pPr>
            <w:r>
              <w:rPr/>
              <w:t> </w:t>
            </w:r>
          </w:p>
        </w:tc>
      </w:tr>
      <w:tr>
        <w:trPr/>
        <w:tc>
          <w:tcPr>
            <w:tcW w:w="5300" w:type="dxa"/>
            <w:tcBorders/>
            <w:shd w:fill="auto" w:val="clear"/>
            <w:vAlign w:val="center"/>
          </w:tcPr>
          <w:p>
            <w:pPr>
              <w:pStyle w:val="TableContents"/>
              <w:spacing w:before="0" w:after="283"/>
              <w:rPr>
                <w:sz w:val="4"/>
                <w:szCs w:val="4"/>
              </w:rPr>
            </w:pPr>
            <w:r>
              <w:rPr>
                <w:sz w:val="4"/>
                <w:szCs w:val="4"/>
              </w:rPr>
            </w:r>
          </w:p>
        </w:tc>
        <w:tc>
          <w:tcPr>
            <w:tcW w:w="180" w:type="dxa"/>
            <w:gridSpan w:val="4"/>
            <w:tcBorders/>
            <w:shd w:fill="auto" w:val="clear"/>
            <w:vAlign w:val="center"/>
          </w:tcPr>
          <w:p>
            <w:pPr>
              <w:pStyle w:val="TableContents"/>
              <w:spacing w:before="0" w:after="283"/>
              <w:rPr>
                <w:sz w:val="4"/>
                <w:szCs w:val="4"/>
              </w:rPr>
            </w:pPr>
            <w:r>
              <w:rPr>
                <w:sz w:val="4"/>
                <w:szCs w:val="4"/>
              </w:rPr>
            </w:r>
          </w:p>
        </w:tc>
        <w:tc>
          <w:tcPr>
            <w:tcW w:w="1810" w:type="dxa"/>
            <w:gridSpan w:val="4"/>
            <w:tcBorders/>
            <w:shd w:fill="auto" w:val="clear"/>
            <w:vAlign w:val="center"/>
          </w:tcPr>
          <w:p>
            <w:pPr>
              <w:pStyle w:val="TableContents"/>
              <w:spacing w:before="0" w:after="283"/>
              <w:rPr>
                <w:sz w:val="4"/>
                <w:szCs w:val="4"/>
              </w:rPr>
            </w:pPr>
            <w:r>
              <w:rPr>
                <w:sz w:val="4"/>
                <w:szCs w:val="4"/>
              </w:rPr>
            </w:r>
          </w:p>
        </w:tc>
        <w:tc>
          <w:tcPr>
            <w:tcW w:w="935" w:type="dxa"/>
            <w:gridSpan w:val="4"/>
            <w:tcBorders/>
            <w:shd w:fill="auto" w:val="clear"/>
            <w:vAlign w:val="center"/>
          </w:tcPr>
          <w:p>
            <w:pPr>
              <w:pStyle w:val="TableContents"/>
              <w:spacing w:before="0" w:after="283"/>
              <w:rPr>
                <w:sz w:val="4"/>
                <w:szCs w:val="4"/>
              </w:rPr>
            </w:pPr>
            <w:r>
              <w:rPr>
                <w:sz w:val="4"/>
                <w:szCs w:val="4"/>
              </w:rPr>
            </w:r>
          </w:p>
        </w:tc>
      </w:tr>
      <w:tr>
        <w:trPr/>
        <w:tc>
          <w:tcPr>
            <w:tcW w:w="5300" w:type="dxa"/>
            <w:tcBorders/>
            <w:shd w:fill="auto" w:val="clear"/>
            <w:vAlign w:val="center"/>
          </w:tcPr>
          <w:p>
            <w:pPr>
              <w:pStyle w:val="TableContents"/>
              <w:spacing w:before="0" w:after="0"/>
              <w:rPr>
                <w:rFonts w:ascii="ARIAL" w:hAnsi="ARIAL"/>
                <w:sz w:val="20"/>
              </w:rPr>
            </w:pPr>
            <w:r>
              <w:rPr>
                <w:rFonts w:ascii="ARIAL" w:hAnsi="ARIAL"/>
                <w:sz w:val="20"/>
              </w:rPr>
              <w:t>William N. Jennings, M.D.</w:t>
            </w:r>
          </w:p>
        </w:tc>
        <w:tc>
          <w:tcPr>
            <w:tcW w:w="60" w:type="dxa"/>
            <w:tcBorders/>
            <w:shd w:fill="auto" w:val="clear"/>
            <w:vAlign w:val="center"/>
          </w:tcPr>
          <w:p>
            <w:pPr>
              <w:pStyle w:val="TableContents"/>
              <w:spacing w:before="0" w:after="283"/>
              <w:rPr/>
            </w:pPr>
            <w:r>
              <w:rPr/>
              <w:t> </w:t>
            </w:r>
          </w:p>
        </w:tc>
        <w:tc>
          <w:tcPr>
            <w:tcW w:w="30"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78,468</w:t>
            </w:r>
          </w:p>
        </w:tc>
        <w:tc>
          <w:tcPr>
            <w:tcW w:w="530" w:type="dxa"/>
            <w:tcBorders/>
            <w:shd w:fill="auto" w:val="clear"/>
            <w:vAlign w:val="center"/>
          </w:tcPr>
          <w:p>
            <w:pPr>
              <w:pStyle w:val="TableContents"/>
              <w:spacing w:before="0" w:after="283"/>
              <w:rPr/>
            </w:pPr>
            <w:r>
              <w:rPr/>
              <w:t>(13)  </w:t>
            </w:r>
          </w:p>
        </w:tc>
        <w:tc>
          <w:tcPr>
            <w:tcW w:w="6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704" w:type="dxa"/>
            <w:tcBorders/>
            <w:shd w:fill="auto" w:val="clear"/>
            <w:vAlign w:val="center"/>
          </w:tcPr>
          <w:p>
            <w:pPr>
              <w:pStyle w:val="TableContents"/>
              <w:spacing w:before="0" w:after="283"/>
              <w:jc w:val="center"/>
              <w:rPr/>
            </w:pPr>
            <w:r>
              <w:rPr/>
              <w:t>  </w:t>
            </w:r>
            <w:r>
              <w:rPr/>
              <w:t>*</w:t>
            </w:r>
          </w:p>
        </w:tc>
        <w:tc>
          <w:tcPr>
            <w:tcW w:w="75" w:type="dxa"/>
            <w:tcBorders/>
            <w:shd w:fill="auto" w:val="clear"/>
            <w:vAlign w:val="center"/>
          </w:tcPr>
          <w:p>
            <w:pPr>
              <w:pStyle w:val="TableContents"/>
              <w:spacing w:before="0" w:after="283"/>
              <w:rPr/>
            </w:pPr>
            <w:r>
              <w:rPr/>
              <w:t> </w:t>
            </w:r>
          </w:p>
        </w:tc>
      </w:tr>
      <w:tr>
        <w:trPr/>
        <w:tc>
          <w:tcPr>
            <w:tcW w:w="5300" w:type="dxa"/>
            <w:tcBorders/>
            <w:shd w:fill="auto" w:val="clear"/>
            <w:vAlign w:val="center"/>
          </w:tcPr>
          <w:p>
            <w:pPr>
              <w:pStyle w:val="TableContents"/>
              <w:spacing w:before="0" w:after="283"/>
              <w:rPr>
                <w:sz w:val="4"/>
                <w:szCs w:val="4"/>
              </w:rPr>
            </w:pPr>
            <w:r>
              <w:rPr>
                <w:sz w:val="4"/>
                <w:szCs w:val="4"/>
              </w:rPr>
            </w:r>
          </w:p>
        </w:tc>
        <w:tc>
          <w:tcPr>
            <w:tcW w:w="180" w:type="dxa"/>
            <w:gridSpan w:val="4"/>
            <w:tcBorders/>
            <w:shd w:fill="auto" w:val="clear"/>
            <w:vAlign w:val="center"/>
          </w:tcPr>
          <w:p>
            <w:pPr>
              <w:pStyle w:val="TableContents"/>
              <w:spacing w:before="0" w:after="283"/>
              <w:rPr>
                <w:sz w:val="4"/>
                <w:szCs w:val="4"/>
              </w:rPr>
            </w:pPr>
            <w:r>
              <w:rPr>
                <w:sz w:val="4"/>
                <w:szCs w:val="4"/>
              </w:rPr>
            </w:r>
          </w:p>
        </w:tc>
        <w:tc>
          <w:tcPr>
            <w:tcW w:w="1810" w:type="dxa"/>
            <w:gridSpan w:val="4"/>
            <w:tcBorders/>
            <w:shd w:fill="auto" w:val="clear"/>
            <w:vAlign w:val="center"/>
          </w:tcPr>
          <w:p>
            <w:pPr>
              <w:pStyle w:val="TableContents"/>
              <w:spacing w:before="0" w:after="283"/>
              <w:rPr>
                <w:sz w:val="4"/>
                <w:szCs w:val="4"/>
              </w:rPr>
            </w:pPr>
            <w:r>
              <w:rPr>
                <w:sz w:val="4"/>
                <w:szCs w:val="4"/>
              </w:rPr>
            </w:r>
          </w:p>
        </w:tc>
        <w:tc>
          <w:tcPr>
            <w:tcW w:w="935" w:type="dxa"/>
            <w:gridSpan w:val="4"/>
            <w:tcBorders/>
            <w:shd w:fill="auto" w:val="clear"/>
            <w:vAlign w:val="center"/>
          </w:tcPr>
          <w:p>
            <w:pPr>
              <w:pStyle w:val="TableContents"/>
              <w:spacing w:before="0" w:after="283"/>
              <w:rPr>
                <w:sz w:val="4"/>
                <w:szCs w:val="4"/>
              </w:rPr>
            </w:pPr>
            <w:r>
              <w:rPr>
                <w:sz w:val="4"/>
                <w:szCs w:val="4"/>
              </w:rPr>
            </w:r>
          </w:p>
        </w:tc>
      </w:tr>
      <w:tr>
        <w:trPr/>
        <w:tc>
          <w:tcPr>
            <w:tcW w:w="5300" w:type="dxa"/>
            <w:tcBorders/>
            <w:shd w:fill="auto" w:val="clear"/>
            <w:vAlign w:val="center"/>
          </w:tcPr>
          <w:p>
            <w:pPr>
              <w:pStyle w:val="TableContents"/>
              <w:spacing w:before="0" w:after="0"/>
              <w:rPr>
                <w:rFonts w:ascii="ARIAL" w:hAnsi="ARIAL"/>
                <w:sz w:val="20"/>
              </w:rPr>
            </w:pPr>
            <w:r>
              <w:rPr>
                <w:rFonts w:ascii="ARIAL" w:hAnsi="ARIAL"/>
                <w:sz w:val="20"/>
              </w:rPr>
              <w:t>K. Ranga Krishnan, MBBS</w:t>
            </w:r>
          </w:p>
        </w:tc>
        <w:tc>
          <w:tcPr>
            <w:tcW w:w="60" w:type="dxa"/>
            <w:tcBorders/>
            <w:shd w:fill="auto" w:val="clear"/>
            <w:vAlign w:val="center"/>
          </w:tcPr>
          <w:p>
            <w:pPr>
              <w:pStyle w:val="TableContents"/>
              <w:spacing w:before="0" w:after="283"/>
              <w:rPr/>
            </w:pPr>
            <w:r>
              <w:rPr/>
              <w:t> </w:t>
            </w:r>
          </w:p>
        </w:tc>
        <w:tc>
          <w:tcPr>
            <w:tcW w:w="30"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109,143</w:t>
            </w:r>
          </w:p>
        </w:tc>
        <w:tc>
          <w:tcPr>
            <w:tcW w:w="530" w:type="dxa"/>
            <w:tcBorders/>
            <w:shd w:fill="auto" w:val="clear"/>
            <w:vAlign w:val="center"/>
          </w:tcPr>
          <w:p>
            <w:pPr>
              <w:pStyle w:val="TableContents"/>
              <w:spacing w:before="0" w:after="283"/>
              <w:rPr/>
            </w:pPr>
            <w:r>
              <w:rPr/>
              <w:t>(14) </w:t>
            </w:r>
          </w:p>
        </w:tc>
        <w:tc>
          <w:tcPr>
            <w:tcW w:w="6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704" w:type="dxa"/>
            <w:tcBorders/>
            <w:shd w:fill="auto" w:val="clear"/>
            <w:vAlign w:val="center"/>
          </w:tcPr>
          <w:p>
            <w:pPr>
              <w:pStyle w:val="TableContents"/>
              <w:spacing w:before="0" w:after="283"/>
              <w:jc w:val="center"/>
              <w:rPr/>
            </w:pPr>
            <w:r>
              <w:rPr/>
              <w:t>  </w:t>
            </w:r>
            <w:r>
              <w:rPr/>
              <w:t>*</w:t>
            </w:r>
          </w:p>
        </w:tc>
        <w:tc>
          <w:tcPr>
            <w:tcW w:w="75" w:type="dxa"/>
            <w:tcBorders/>
            <w:shd w:fill="auto" w:val="clear"/>
            <w:vAlign w:val="center"/>
          </w:tcPr>
          <w:p>
            <w:pPr>
              <w:pStyle w:val="TableContents"/>
              <w:spacing w:before="0" w:after="283"/>
              <w:rPr/>
            </w:pPr>
            <w:r>
              <w:rPr/>
              <w:t> </w:t>
            </w:r>
          </w:p>
        </w:tc>
      </w:tr>
      <w:tr>
        <w:trPr/>
        <w:tc>
          <w:tcPr>
            <w:tcW w:w="5300" w:type="dxa"/>
            <w:tcBorders/>
            <w:shd w:fill="auto" w:val="clear"/>
            <w:vAlign w:val="center"/>
          </w:tcPr>
          <w:p>
            <w:pPr>
              <w:pStyle w:val="TableContents"/>
              <w:spacing w:before="0" w:after="283"/>
              <w:rPr>
                <w:sz w:val="4"/>
                <w:szCs w:val="4"/>
              </w:rPr>
            </w:pPr>
            <w:r>
              <w:rPr>
                <w:sz w:val="4"/>
                <w:szCs w:val="4"/>
              </w:rPr>
            </w:r>
          </w:p>
        </w:tc>
        <w:tc>
          <w:tcPr>
            <w:tcW w:w="180" w:type="dxa"/>
            <w:gridSpan w:val="4"/>
            <w:tcBorders/>
            <w:shd w:fill="auto" w:val="clear"/>
            <w:vAlign w:val="center"/>
          </w:tcPr>
          <w:p>
            <w:pPr>
              <w:pStyle w:val="TableContents"/>
              <w:spacing w:before="0" w:after="283"/>
              <w:rPr>
                <w:sz w:val="4"/>
                <w:szCs w:val="4"/>
              </w:rPr>
            </w:pPr>
            <w:r>
              <w:rPr>
                <w:sz w:val="4"/>
                <w:szCs w:val="4"/>
              </w:rPr>
            </w:r>
          </w:p>
        </w:tc>
        <w:tc>
          <w:tcPr>
            <w:tcW w:w="1810" w:type="dxa"/>
            <w:gridSpan w:val="4"/>
            <w:tcBorders/>
            <w:shd w:fill="auto" w:val="clear"/>
            <w:vAlign w:val="center"/>
          </w:tcPr>
          <w:p>
            <w:pPr>
              <w:pStyle w:val="TableContents"/>
              <w:spacing w:before="0" w:after="283"/>
              <w:rPr>
                <w:sz w:val="4"/>
                <w:szCs w:val="4"/>
              </w:rPr>
            </w:pPr>
            <w:r>
              <w:rPr>
                <w:sz w:val="4"/>
                <w:szCs w:val="4"/>
              </w:rPr>
            </w:r>
          </w:p>
        </w:tc>
        <w:tc>
          <w:tcPr>
            <w:tcW w:w="935" w:type="dxa"/>
            <w:gridSpan w:val="4"/>
            <w:tcBorders/>
            <w:shd w:fill="auto" w:val="clear"/>
            <w:vAlign w:val="center"/>
          </w:tcPr>
          <w:p>
            <w:pPr>
              <w:pStyle w:val="TableContents"/>
              <w:spacing w:before="0" w:after="283"/>
              <w:rPr>
                <w:sz w:val="4"/>
                <w:szCs w:val="4"/>
              </w:rPr>
            </w:pPr>
            <w:r>
              <w:rPr>
                <w:sz w:val="4"/>
                <w:szCs w:val="4"/>
              </w:rPr>
            </w:r>
          </w:p>
        </w:tc>
      </w:tr>
      <w:tr>
        <w:trPr/>
        <w:tc>
          <w:tcPr>
            <w:tcW w:w="5300" w:type="dxa"/>
            <w:tcBorders/>
            <w:shd w:fill="auto" w:val="clear"/>
            <w:vAlign w:val="center"/>
          </w:tcPr>
          <w:p>
            <w:pPr>
              <w:pStyle w:val="TableContents"/>
              <w:spacing w:before="0" w:after="0"/>
              <w:rPr>
                <w:rFonts w:ascii="ARIAL" w:hAnsi="ARIAL"/>
                <w:sz w:val="20"/>
              </w:rPr>
            </w:pPr>
            <w:r>
              <w:rPr>
                <w:rFonts w:ascii="ARIAL" w:hAnsi="ARIAL"/>
                <w:sz w:val="20"/>
              </w:rPr>
              <w:t>Wayne T. Smith</w:t>
            </w:r>
          </w:p>
        </w:tc>
        <w:tc>
          <w:tcPr>
            <w:tcW w:w="60" w:type="dxa"/>
            <w:tcBorders/>
            <w:shd w:fill="auto" w:val="clear"/>
            <w:vAlign w:val="center"/>
          </w:tcPr>
          <w:p>
            <w:pPr>
              <w:pStyle w:val="TableContents"/>
              <w:spacing w:before="0" w:after="283"/>
              <w:rPr/>
            </w:pPr>
            <w:r>
              <w:rPr/>
              <w:t> </w:t>
            </w:r>
          </w:p>
        </w:tc>
        <w:tc>
          <w:tcPr>
            <w:tcW w:w="30"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6,837,714</w:t>
            </w:r>
          </w:p>
        </w:tc>
        <w:tc>
          <w:tcPr>
            <w:tcW w:w="530" w:type="dxa"/>
            <w:tcBorders/>
            <w:shd w:fill="auto" w:val="clear"/>
            <w:vAlign w:val="center"/>
          </w:tcPr>
          <w:p>
            <w:pPr>
              <w:pStyle w:val="TableContents"/>
              <w:spacing w:before="0" w:after="283"/>
              <w:rPr/>
            </w:pPr>
            <w:r>
              <w:rPr/>
              <w:t> </w:t>
            </w:r>
            <w:r>
              <w:rPr/>
              <w:t>(15) </w:t>
            </w:r>
          </w:p>
        </w:tc>
        <w:tc>
          <w:tcPr>
            <w:tcW w:w="6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704" w:type="dxa"/>
            <w:tcBorders/>
            <w:shd w:fill="auto" w:val="clear"/>
            <w:vAlign w:val="center"/>
          </w:tcPr>
          <w:p>
            <w:pPr>
              <w:pStyle w:val="TableContents"/>
              <w:spacing w:before="0" w:after="283"/>
              <w:jc w:val="center"/>
              <w:rPr/>
            </w:pPr>
            <w:r>
              <w:rPr/>
              <w:t>5.0%</w:t>
            </w:r>
          </w:p>
        </w:tc>
        <w:tc>
          <w:tcPr>
            <w:tcW w:w="75" w:type="dxa"/>
            <w:tcBorders/>
            <w:shd w:fill="auto" w:val="clear"/>
            <w:vAlign w:val="center"/>
          </w:tcPr>
          <w:p>
            <w:pPr>
              <w:pStyle w:val="TableContents"/>
              <w:spacing w:before="0" w:after="283"/>
              <w:rPr/>
            </w:pPr>
            <w:r>
              <w:rPr/>
              <w:t> </w:t>
            </w:r>
          </w:p>
        </w:tc>
      </w:tr>
      <w:tr>
        <w:trPr/>
        <w:tc>
          <w:tcPr>
            <w:tcW w:w="5300" w:type="dxa"/>
            <w:tcBorders/>
            <w:shd w:fill="auto" w:val="clear"/>
            <w:vAlign w:val="center"/>
          </w:tcPr>
          <w:p>
            <w:pPr>
              <w:pStyle w:val="TableContents"/>
              <w:spacing w:before="0" w:after="283"/>
              <w:rPr>
                <w:sz w:val="4"/>
                <w:szCs w:val="4"/>
              </w:rPr>
            </w:pPr>
            <w:r>
              <w:rPr>
                <w:sz w:val="4"/>
                <w:szCs w:val="4"/>
              </w:rPr>
            </w:r>
          </w:p>
        </w:tc>
        <w:tc>
          <w:tcPr>
            <w:tcW w:w="180" w:type="dxa"/>
            <w:gridSpan w:val="4"/>
            <w:tcBorders/>
            <w:shd w:fill="auto" w:val="clear"/>
            <w:vAlign w:val="center"/>
          </w:tcPr>
          <w:p>
            <w:pPr>
              <w:pStyle w:val="TableContents"/>
              <w:spacing w:before="0" w:after="283"/>
              <w:rPr>
                <w:sz w:val="4"/>
                <w:szCs w:val="4"/>
              </w:rPr>
            </w:pPr>
            <w:r>
              <w:rPr>
                <w:sz w:val="4"/>
                <w:szCs w:val="4"/>
              </w:rPr>
            </w:r>
          </w:p>
        </w:tc>
        <w:tc>
          <w:tcPr>
            <w:tcW w:w="1810" w:type="dxa"/>
            <w:gridSpan w:val="4"/>
            <w:tcBorders/>
            <w:shd w:fill="auto" w:val="clear"/>
            <w:vAlign w:val="center"/>
          </w:tcPr>
          <w:p>
            <w:pPr>
              <w:pStyle w:val="TableContents"/>
              <w:spacing w:before="0" w:after="283"/>
              <w:rPr>
                <w:sz w:val="4"/>
                <w:szCs w:val="4"/>
              </w:rPr>
            </w:pPr>
            <w:r>
              <w:rPr>
                <w:sz w:val="4"/>
                <w:szCs w:val="4"/>
              </w:rPr>
            </w:r>
          </w:p>
        </w:tc>
        <w:tc>
          <w:tcPr>
            <w:tcW w:w="935" w:type="dxa"/>
            <w:gridSpan w:val="4"/>
            <w:tcBorders/>
            <w:shd w:fill="auto" w:val="clear"/>
            <w:vAlign w:val="center"/>
          </w:tcPr>
          <w:p>
            <w:pPr>
              <w:pStyle w:val="TableContents"/>
              <w:spacing w:before="0" w:after="283"/>
              <w:rPr>
                <w:sz w:val="4"/>
                <w:szCs w:val="4"/>
              </w:rPr>
            </w:pPr>
            <w:r>
              <w:rPr>
                <w:sz w:val="4"/>
                <w:szCs w:val="4"/>
              </w:rPr>
            </w:r>
          </w:p>
        </w:tc>
      </w:tr>
      <w:tr>
        <w:trPr/>
        <w:tc>
          <w:tcPr>
            <w:tcW w:w="5300" w:type="dxa"/>
            <w:tcBorders/>
            <w:shd w:fill="auto" w:val="clear"/>
            <w:vAlign w:val="center"/>
          </w:tcPr>
          <w:p>
            <w:pPr>
              <w:pStyle w:val="TableContents"/>
              <w:spacing w:before="0" w:after="0"/>
              <w:rPr>
                <w:rFonts w:ascii="ARIAL" w:hAnsi="ARIAL"/>
                <w:sz w:val="20"/>
              </w:rPr>
            </w:pPr>
            <w:r>
              <w:rPr>
                <w:rFonts w:ascii="ARIAL" w:hAnsi="ARIAL"/>
                <w:sz w:val="20"/>
              </w:rPr>
              <w:t>H. James Williams, Ph.D.</w:t>
            </w:r>
          </w:p>
        </w:tc>
        <w:tc>
          <w:tcPr>
            <w:tcW w:w="60" w:type="dxa"/>
            <w:tcBorders/>
            <w:shd w:fill="auto" w:val="clear"/>
            <w:vAlign w:val="center"/>
          </w:tcPr>
          <w:p>
            <w:pPr>
              <w:pStyle w:val="TableContents"/>
              <w:spacing w:before="0" w:after="283"/>
              <w:rPr/>
            </w:pPr>
            <w:r>
              <w:rPr/>
              <w:t> </w:t>
            </w:r>
          </w:p>
        </w:tc>
        <w:tc>
          <w:tcPr>
            <w:tcW w:w="30"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109,062</w:t>
            </w:r>
          </w:p>
        </w:tc>
        <w:tc>
          <w:tcPr>
            <w:tcW w:w="530" w:type="dxa"/>
            <w:tcBorders/>
            <w:shd w:fill="auto" w:val="clear"/>
            <w:vAlign w:val="center"/>
          </w:tcPr>
          <w:p>
            <w:pPr>
              <w:pStyle w:val="TableContents"/>
              <w:spacing w:before="0" w:after="283"/>
              <w:rPr/>
            </w:pPr>
            <w:r>
              <w:rPr/>
              <w:t>(16) </w:t>
            </w:r>
          </w:p>
        </w:tc>
        <w:tc>
          <w:tcPr>
            <w:tcW w:w="6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704" w:type="dxa"/>
            <w:tcBorders/>
            <w:shd w:fill="auto" w:val="clear"/>
            <w:vAlign w:val="center"/>
          </w:tcPr>
          <w:p>
            <w:pPr>
              <w:pStyle w:val="TableContents"/>
              <w:spacing w:before="0" w:after="283"/>
              <w:jc w:val="center"/>
              <w:rPr/>
            </w:pPr>
            <w:r>
              <w:rPr/>
              <w:t>  </w:t>
            </w:r>
            <w:r>
              <w:rPr/>
              <w:t>*</w:t>
            </w:r>
          </w:p>
        </w:tc>
        <w:tc>
          <w:tcPr>
            <w:tcW w:w="75" w:type="dxa"/>
            <w:tcBorders/>
            <w:shd w:fill="auto" w:val="clear"/>
            <w:vAlign w:val="center"/>
          </w:tcPr>
          <w:p>
            <w:pPr>
              <w:pStyle w:val="TableContents"/>
              <w:spacing w:before="0" w:after="283"/>
              <w:rPr/>
            </w:pPr>
            <w:r>
              <w:rPr/>
              <w:t> </w:t>
            </w:r>
          </w:p>
        </w:tc>
      </w:tr>
      <w:tr>
        <w:trPr/>
        <w:tc>
          <w:tcPr>
            <w:tcW w:w="5300" w:type="dxa"/>
            <w:tcBorders/>
            <w:shd w:fill="auto" w:val="clear"/>
            <w:vAlign w:val="center"/>
          </w:tcPr>
          <w:p>
            <w:pPr>
              <w:pStyle w:val="TableContents"/>
              <w:spacing w:before="0" w:after="283"/>
              <w:rPr>
                <w:sz w:val="4"/>
                <w:szCs w:val="4"/>
              </w:rPr>
            </w:pPr>
            <w:r>
              <w:rPr>
                <w:sz w:val="4"/>
                <w:szCs w:val="4"/>
              </w:rPr>
            </w:r>
          </w:p>
        </w:tc>
        <w:tc>
          <w:tcPr>
            <w:tcW w:w="180" w:type="dxa"/>
            <w:gridSpan w:val="4"/>
            <w:tcBorders/>
            <w:shd w:fill="auto" w:val="clear"/>
            <w:vAlign w:val="center"/>
          </w:tcPr>
          <w:p>
            <w:pPr>
              <w:pStyle w:val="TableContents"/>
              <w:spacing w:before="0" w:after="283"/>
              <w:rPr>
                <w:sz w:val="4"/>
                <w:szCs w:val="4"/>
              </w:rPr>
            </w:pPr>
            <w:r>
              <w:rPr>
                <w:sz w:val="4"/>
                <w:szCs w:val="4"/>
              </w:rPr>
            </w:r>
          </w:p>
        </w:tc>
        <w:tc>
          <w:tcPr>
            <w:tcW w:w="1810" w:type="dxa"/>
            <w:gridSpan w:val="4"/>
            <w:tcBorders/>
            <w:shd w:fill="auto" w:val="clear"/>
            <w:vAlign w:val="center"/>
          </w:tcPr>
          <w:p>
            <w:pPr>
              <w:pStyle w:val="TableContents"/>
              <w:spacing w:before="0" w:after="283"/>
              <w:rPr>
                <w:sz w:val="4"/>
                <w:szCs w:val="4"/>
              </w:rPr>
            </w:pPr>
            <w:r>
              <w:rPr>
                <w:sz w:val="4"/>
                <w:szCs w:val="4"/>
              </w:rPr>
            </w:r>
          </w:p>
        </w:tc>
        <w:tc>
          <w:tcPr>
            <w:tcW w:w="935" w:type="dxa"/>
            <w:gridSpan w:val="4"/>
            <w:tcBorders/>
            <w:shd w:fill="auto" w:val="clear"/>
            <w:vAlign w:val="center"/>
          </w:tcPr>
          <w:p>
            <w:pPr>
              <w:pStyle w:val="TableContents"/>
              <w:spacing w:before="0" w:after="283"/>
              <w:rPr>
                <w:sz w:val="4"/>
                <w:szCs w:val="4"/>
              </w:rPr>
            </w:pPr>
            <w:r>
              <w:rPr>
                <w:sz w:val="4"/>
                <w:szCs w:val="4"/>
              </w:rPr>
            </w:r>
          </w:p>
        </w:tc>
      </w:tr>
      <w:tr>
        <w:trPr/>
        <w:tc>
          <w:tcPr>
            <w:tcW w:w="5300" w:type="dxa"/>
            <w:tcBorders/>
            <w:shd w:fill="auto" w:val="clear"/>
            <w:vAlign w:val="center"/>
          </w:tcPr>
          <w:p>
            <w:pPr>
              <w:pStyle w:val="TableContents"/>
              <w:spacing w:before="0" w:after="0"/>
              <w:rPr>
                <w:rFonts w:ascii="ARIAL" w:hAnsi="ARIAL"/>
                <w:b/>
                <w:sz w:val="20"/>
              </w:rPr>
            </w:pPr>
            <w:r>
              <w:rPr>
                <w:rFonts w:ascii="ARIAL" w:hAnsi="ARIAL"/>
                <w:b/>
                <w:sz w:val="20"/>
              </w:rPr>
              <w:t>Other Named Executive Officers</w:t>
            </w:r>
          </w:p>
        </w:tc>
        <w:tc>
          <w:tcPr>
            <w:tcW w:w="60" w:type="dxa"/>
            <w:tcBorders/>
            <w:shd w:fill="auto" w:val="clear"/>
            <w:vAlign w:val="center"/>
          </w:tcPr>
          <w:p>
            <w:pPr>
              <w:pStyle w:val="TableContents"/>
              <w:spacing w:before="0" w:after="283"/>
              <w:rPr/>
            </w:pPr>
            <w:r>
              <w:rPr/>
              <w:t> </w:t>
            </w:r>
          </w:p>
        </w:tc>
        <w:tc>
          <w:tcPr>
            <w:tcW w:w="30"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sz w:val="4"/>
                <w:szCs w:val="4"/>
              </w:rPr>
            </w:pPr>
            <w:r>
              <w:rPr>
                <w:sz w:val="4"/>
                <w:szCs w:val="4"/>
              </w:rPr>
            </w:r>
          </w:p>
        </w:tc>
        <w:tc>
          <w:tcPr>
            <w:tcW w:w="704"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5300" w:type="dxa"/>
            <w:tcBorders/>
            <w:shd w:fill="auto" w:val="clear"/>
            <w:vAlign w:val="center"/>
          </w:tcPr>
          <w:p>
            <w:pPr>
              <w:pStyle w:val="TableContents"/>
              <w:spacing w:before="0" w:after="283"/>
              <w:rPr>
                <w:sz w:val="4"/>
                <w:szCs w:val="4"/>
              </w:rPr>
            </w:pPr>
            <w:r>
              <w:rPr>
                <w:sz w:val="4"/>
                <w:szCs w:val="4"/>
              </w:rPr>
            </w:r>
          </w:p>
        </w:tc>
        <w:tc>
          <w:tcPr>
            <w:tcW w:w="180" w:type="dxa"/>
            <w:gridSpan w:val="4"/>
            <w:tcBorders/>
            <w:shd w:fill="auto" w:val="clear"/>
            <w:vAlign w:val="center"/>
          </w:tcPr>
          <w:p>
            <w:pPr>
              <w:pStyle w:val="TableContents"/>
              <w:spacing w:before="0" w:after="283"/>
              <w:rPr>
                <w:sz w:val="4"/>
                <w:szCs w:val="4"/>
              </w:rPr>
            </w:pPr>
            <w:r>
              <w:rPr>
                <w:sz w:val="4"/>
                <w:szCs w:val="4"/>
              </w:rPr>
            </w:r>
          </w:p>
        </w:tc>
        <w:tc>
          <w:tcPr>
            <w:tcW w:w="1810" w:type="dxa"/>
            <w:gridSpan w:val="4"/>
            <w:tcBorders/>
            <w:shd w:fill="auto" w:val="clear"/>
            <w:vAlign w:val="center"/>
          </w:tcPr>
          <w:p>
            <w:pPr>
              <w:pStyle w:val="TableContents"/>
              <w:spacing w:before="0" w:after="283"/>
              <w:rPr>
                <w:sz w:val="4"/>
                <w:szCs w:val="4"/>
              </w:rPr>
            </w:pPr>
            <w:r>
              <w:rPr>
                <w:sz w:val="4"/>
                <w:szCs w:val="4"/>
              </w:rPr>
            </w:r>
          </w:p>
        </w:tc>
        <w:tc>
          <w:tcPr>
            <w:tcW w:w="935" w:type="dxa"/>
            <w:gridSpan w:val="4"/>
            <w:tcBorders/>
            <w:shd w:fill="auto" w:val="clear"/>
            <w:vAlign w:val="center"/>
          </w:tcPr>
          <w:p>
            <w:pPr>
              <w:pStyle w:val="TableContents"/>
              <w:spacing w:before="0" w:after="283"/>
              <w:rPr>
                <w:sz w:val="4"/>
                <w:szCs w:val="4"/>
              </w:rPr>
            </w:pPr>
            <w:r>
              <w:rPr>
                <w:sz w:val="4"/>
                <w:szCs w:val="4"/>
              </w:rPr>
            </w:r>
          </w:p>
        </w:tc>
      </w:tr>
      <w:tr>
        <w:trPr/>
        <w:tc>
          <w:tcPr>
            <w:tcW w:w="5300" w:type="dxa"/>
            <w:tcBorders/>
            <w:shd w:fill="auto" w:val="clear"/>
            <w:vAlign w:val="center"/>
          </w:tcPr>
          <w:p>
            <w:pPr>
              <w:pStyle w:val="TableContents"/>
              <w:spacing w:before="0" w:after="0"/>
              <w:rPr>
                <w:rFonts w:ascii="ARIAL" w:hAnsi="ARIAL"/>
                <w:sz w:val="20"/>
              </w:rPr>
            </w:pPr>
            <w:r>
              <w:rPr>
                <w:rFonts w:ascii="ARIAL" w:hAnsi="ARIAL"/>
                <w:sz w:val="20"/>
              </w:rPr>
              <w:t>Kevin J. Hammons</w:t>
            </w:r>
          </w:p>
        </w:tc>
        <w:tc>
          <w:tcPr>
            <w:tcW w:w="60" w:type="dxa"/>
            <w:tcBorders/>
            <w:shd w:fill="auto" w:val="clear"/>
            <w:vAlign w:val="center"/>
          </w:tcPr>
          <w:p>
            <w:pPr>
              <w:pStyle w:val="TableContents"/>
              <w:spacing w:before="0" w:after="283"/>
              <w:rPr/>
            </w:pPr>
            <w:r>
              <w:rPr/>
              <w:t> </w:t>
            </w:r>
          </w:p>
        </w:tc>
        <w:tc>
          <w:tcPr>
            <w:tcW w:w="30"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1,053,567</w:t>
            </w:r>
          </w:p>
        </w:tc>
        <w:tc>
          <w:tcPr>
            <w:tcW w:w="530" w:type="dxa"/>
            <w:tcBorders/>
            <w:shd w:fill="auto" w:val="clear"/>
            <w:vAlign w:val="center"/>
          </w:tcPr>
          <w:p>
            <w:pPr>
              <w:pStyle w:val="TableContents"/>
              <w:spacing w:before="0" w:after="283"/>
              <w:rPr/>
            </w:pPr>
            <w:r>
              <w:rPr/>
              <w:t> </w:t>
            </w:r>
            <w:r>
              <w:rPr/>
              <w:t>(17) </w:t>
            </w:r>
          </w:p>
        </w:tc>
        <w:tc>
          <w:tcPr>
            <w:tcW w:w="6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704" w:type="dxa"/>
            <w:tcBorders/>
            <w:shd w:fill="auto" w:val="clear"/>
            <w:vAlign w:val="center"/>
          </w:tcPr>
          <w:p>
            <w:pPr>
              <w:pStyle w:val="TableContents"/>
              <w:spacing w:before="0" w:after="283"/>
              <w:jc w:val="center"/>
              <w:rPr/>
            </w:pPr>
            <w:r>
              <w:rPr/>
              <w:t>  </w:t>
            </w:r>
            <w:r>
              <w:rPr/>
              <w:t>*</w:t>
            </w:r>
          </w:p>
        </w:tc>
        <w:tc>
          <w:tcPr>
            <w:tcW w:w="75" w:type="dxa"/>
            <w:tcBorders/>
            <w:shd w:fill="auto" w:val="clear"/>
            <w:vAlign w:val="center"/>
          </w:tcPr>
          <w:p>
            <w:pPr>
              <w:pStyle w:val="TableContents"/>
              <w:spacing w:before="0" w:after="283"/>
              <w:rPr/>
            </w:pPr>
            <w:r>
              <w:rPr/>
              <w:t> </w:t>
            </w:r>
          </w:p>
        </w:tc>
      </w:tr>
      <w:tr>
        <w:trPr/>
        <w:tc>
          <w:tcPr>
            <w:tcW w:w="5300" w:type="dxa"/>
            <w:tcBorders/>
            <w:shd w:fill="auto" w:val="clear"/>
            <w:vAlign w:val="center"/>
          </w:tcPr>
          <w:p>
            <w:pPr>
              <w:pStyle w:val="TableContents"/>
              <w:spacing w:before="0" w:after="283"/>
              <w:rPr>
                <w:sz w:val="4"/>
                <w:szCs w:val="4"/>
              </w:rPr>
            </w:pPr>
            <w:r>
              <w:rPr>
                <w:sz w:val="4"/>
                <w:szCs w:val="4"/>
              </w:rPr>
            </w:r>
          </w:p>
        </w:tc>
        <w:tc>
          <w:tcPr>
            <w:tcW w:w="180" w:type="dxa"/>
            <w:gridSpan w:val="4"/>
            <w:tcBorders/>
            <w:shd w:fill="auto" w:val="clear"/>
            <w:vAlign w:val="center"/>
          </w:tcPr>
          <w:p>
            <w:pPr>
              <w:pStyle w:val="TableContents"/>
              <w:spacing w:before="0" w:after="283"/>
              <w:rPr>
                <w:sz w:val="4"/>
                <w:szCs w:val="4"/>
              </w:rPr>
            </w:pPr>
            <w:r>
              <w:rPr>
                <w:sz w:val="4"/>
                <w:szCs w:val="4"/>
              </w:rPr>
            </w:r>
          </w:p>
        </w:tc>
        <w:tc>
          <w:tcPr>
            <w:tcW w:w="1810" w:type="dxa"/>
            <w:gridSpan w:val="4"/>
            <w:tcBorders/>
            <w:shd w:fill="auto" w:val="clear"/>
            <w:vAlign w:val="center"/>
          </w:tcPr>
          <w:p>
            <w:pPr>
              <w:pStyle w:val="TableContents"/>
              <w:spacing w:before="0" w:after="283"/>
              <w:rPr>
                <w:sz w:val="4"/>
                <w:szCs w:val="4"/>
              </w:rPr>
            </w:pPr>
            <w:r>
              <w:rPr>
                <w:sz w:val="4"/>
                <w:szCs w:val="4"/>
              </w:rPr>
            </w:r>
          </w:p>
        </w:tc>
        <w:tc>
          <w:tcPr>
            <w:tcW w:w="935" w:type="dxa"/>
            <w:gridSpan w:val="4"/>
            <w:tcBorders/>
            <w:shd w:fill="auto" w:val="clear"/>
            <w:vAlign w:val="center"/>
          </w:tcPr>
          <w:p>
            <w:pPr>
              <w:pStyle w:val="TableContents"/>
              <w:spacing w:before="0" w:after="283"/>
              <w:rPr>
                <w:sz w:val="4"/>
                <w:szCs w:val="4"/>
              </w:rPr>
            </w:pPr>
            <w:r>
              <w:rPr>
                <w:sz w:val="4"/>
                <w:szCs w:val="4"/>
              </w:rPr>
            </w:r>
          </w:p>
        </w:tc>
      </w:tr>
      <w:tr>
        <w:trPr/>
        <w:tc>
          <w:tcPr>
            <w:tcW w:w="5300" w:type="dxa"/>
            <w:tcBorders/>
            <w:shd w:fill="auto" w:val="clear"/>
            <w:vAlign w:val="center"/>
          </w:tcPr>
          <w:p>
            <w:pPr>
              <w:pStyle w:val="TableContents"/>
              <w:spacing w:before="0" w:after="0"/>
              <w:rPr>
                <w:rFonts w:ascii="ARIAL" w:hAnsi="ARIAL"/>
                <w:sz w:val="20"/>
              </w:rPr>
            </w:pPr>
            <w:r>
              <w:rPr>
                <w:rFonts w:ascii="ARIAL" w:hAnsi="ARIAL"/>
                <w:sz w:val="20"/>
              </w:rPr>
              <w:t>Lynn T. Simon, M.D.</w:t>
            </w:r>
          </w:p>
        </w:tc>
        <w:tc>
          <w:tcPr>
            <w:tcW w:w="60" w:type="dxa"/>
            <w:tcBorders/>
            <w:shd w:fill="auto" w:val="clear"/>
            <w:vAlign w:val="center"/>
          </w:tcPr>
          <w:p>
            <w:pPr>
              <w:pStyle w:val="TableContents"/>
              <w:spacing w:before="0" w:after="283"/>
              <w:rPr/>
            </w:pPr>
            <w:r>
              <w:rPr/>
              <w:t> </w:t>
            </w:r>
          </w:p>
        </w:tc>
        <w:tc>
          <w:tcPr>
            <w:tcW w:w="30"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742,378</w:t>
            </w:r>
          </w:p>
        </w:tc>
        <w:tc>
          <w:tcPr>
            <w:tcW w:w="530" w:type="dxa"/>
            <w:tcBorders/>
            <w:shd w:fill="auto" w:val="clear"/>
            <w:vAlign w:val="center"/>
          </w:tcPr>
          <w:p>
            <w:pPr>
              <w:pStyle w:val="TableContents"/>
              <w:spacing w:before="0" w:after="283"/>
              <w:rPr/>
            </w:pPr>
            <w:r>
              <w:rPr/>
              <w:t> </w:t>
            </w:r>
            <w:r>
              <w:rPr/>
              <w:t>(18) </w:t>
            </w:r>
          </w:p>
        </w:tc>
        <w:tc>
          <w:tcPr>
            <w:tcW w:w="6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704" w:type="dxa"/>
            <w:tcBorders/>
            <w:shd w:fill="auto" w:val="clear"/>
            <w:vAlign w:val="center"/>
          </w:tcPr>
          <w:p>
            <w:pPr>
              <w:pStyle w:val="TableContents"/>
              <w:spacing w:before="0" w:after="283"/>
              <w:jc w:val="center"/>
              <w:rPr/>
            </w:pPr>
            <w:r>
              <w:rPr/>
              <w:t>  </w:t>
            </w:r>
            <w:r>
              <w:rPr/>
              <w:t>*</w:t>
            </w:r>
          </w:p>
        </w:tc>
        <w:tc>
          <w:tcPr>
            <w:tcW w:w="75" w:type="dxa"/>
            <w:tcBorders/>
            <w:shd w:fill="auto" w:val="clear"/>
            <w:vAlign w:val="center"/>
          </w:tcPr>
          <w:p>
            <w:pPr>
              <w:pStyle w:val="TableContents"/>
              <w:spacing w:before="0" w:after="283"/>
              <w:rPr/>
            </w:pPr>
            <w:r>
              <w:rPr/>
              <w:t> </w:t>
            </w:r>
          </w:p>
        </w:tc>
      </w:tr>
      <w:tr>
        <w:trPr/>
        <w:tc>
          <w:tcPr>
            <w:tcW w:w="5300" w:type="dxa"/>
            <w:tcBorders/>
            <w:shd w:fill="auto" w:val="clear"/>
            <w:vAlign w:val="center"/>
          </w:tcPr>
          <w:p>
            <w:pPr>
              <w:pStyle w:val="TableContents"/>
              <w:spacing w:before="0" w:after="283"/>
              <w:rPr>
                <w:sz w:val="4"/>
                <w:szCs w:val="4"/>
              </w:rPr>
            </w:pPr>
            <w:r>
              <w:rPr>
                <w:sz w:val="4"/>
                <w:szCs w:val="4"/>
              </w:rPr>
            </w:r>
          </w:p>
        </w:tc>
        <w:tc>
          <w:tcPr>
            <w:tcW w:w="180" w:type="dxa"/>
            <w:gridSpan w:val="4"/>
            <w:tcBorders/>
            <w:shd w:fill="auto" w:val="clear"/>
            <w:vAlign w:val="center"/>
          </w:tcPr>
          <w:p>
            <w:pPr>
              <w:pStyle w:val="TableContents"/>
              <w:spacing w:before="0" w:after="283"/>
              <w:rPr>
                <w:sz w:val="4"/>
                <w:szCs w:val="4"/>
              </w:rPr>
            </w:pPr>
            <w:r>
              <w:rPr>
                <w:sz w:val="4"/>
                <w:szCs w:val="4"/>
              </w:rPr>
            </w:r>
          </w:p>
        </w:tc>
        <w:tc>
          <w:tcPr>
            <w:tcW w:w="1810" w:type="dxa"/>
            <w:gridSpan w:val="4"/>
            <w:tcBorders/>
            <w:shd w:fill="auto" w:val="clear"/>
            <w:vAlign w:val="center"/>
          </w:tcPr>
          <w:p>
            <w:pPr>
              <w:pStyle w:val="TableContents"/>
              <w:spacing w:before="0" w:after="283"/>
              <w:rPr>
                <w:sz w:val="4"/>
                <w:szCs w:val="4"/>
              </w:rPr>
            </w:pPr>
            <w:r>
              <w:rPr>
                <w:sz w:val="4"/>
                <w:szCs w:val="4"/>
              </w:rPr>
            </w:r>
          </w:p>
        </w:tc>
        <w:tc>
          <w:tcPr>
            <w:tcW w:w="935" w:type="dxa"/>
            <w:gridSpan w:val="4"/>
            <w:tcBorders/>
            <w:shd w:fill="auto" w:val="clear"/>
            <w:vAlign w:val="center"/>
          </w:tcPr>
          <w:p>
            <w:pPr>
              <w:pStyle w:val="TableContents"/>
              <w:spacing w:before="0" w:after="283"/>
              <w:rPr>
                <w:sz w:val="4"/>
                <w:szCs w:val="4"/>
              </w:rPr>
            </w:pPr>
            <w:r>
              <w:rPr>
                <w:sz w:val="4"/>
                <w:szCs w:val="4"/>
              </w:rPr>
            </w:r>
          </w:p>
        </w:tc>
      </w:tr>
      <w:tr>
        <w:trPr/>
        <w:tc>
          <w:tcPr>
            <w:tcW w:w="5300" w:type="dxa"/>
            <w:tcBorders/>
            <w:shd w:fill="auto" w:val="clear"/>
            <w:vAlign w:val="center"/>
          </w:tcPr>
          <w:p>
            <w:pPr>
              <w:pStyle w:val="TableContents"/>
              <w:spacing w:before="0" w:after="0"/>
              <w:rPr>
                <w:rFonts w:ascii="ARIAL" w:hAnsi="ARIAL"/>
                <w:sz w:val="20"/>
              </w:rPr>
            </w:pPr>
            <w:r>
              <w:rPr>
                <w:rFonts w:ascii="ARIAL" w:hAnsi="ARIAL"/>
                <w:sz w:val="20"/>
              </w:rPr>
              <w:t>Mark B. Medley</w:t>
            </w:r>
          </w:p>
        </w:tc>
        <w:tc>
          <w:tcPr>
            <w:tcW w:w="60" w:type="dxa"/>
            <w:tcBorders/>
            <w:shd w:fill="auto" w:val="clear"/>
            <w:vAlign w:val="center"/>
          </w:tcPr>
          <w:p>
            <w:pPr>
              <w:pStyle w:val="TableContents"/>
              <w:spacing w:before="0" w:after="283"/>
              <w:rPr/>
            </w:pPr>
            <w:r>
              <w:rPr/>
              <w:t> </w:t>
            </w:r>
          </w:p>
        </w:tc>
        <w:tc>
          <w:tcPr>
            <w:tcW w:w="30"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245,349</w:t>
            </w:r>
          </w:p>
        </w:tc>
        <w:tc>
          <w:tcPr>
            <w:tcW w:w="530" w:type="dxa"/>
            <w:tcBorders/>
            <w:shd w:fill="auto" w:val="clear"/>
            <w:vAlign w:val="center"/>
          </w:tcPr>
          <w:p>
            <w:pPr>
              <w:pStyle w:val="TableContents"/>
              <w:spacing w:before="0" w:after="283"/>
              <w:rPr/>
            </w:pPr>
            <w:r>
              <w:rPr/>
              <w:t> </w:t>
            </w:r>
            <w:r>
              <w:rPr/>
              <w:t>(19) </w:t>
            </w:r>
          </w:p>
        </w:tc>
        <w:tc>
          <w:tcPr>
            <w:tcW w:w="6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704" w:type="dxa"/>
            <w:tcBorders/>
            <w:shd w:fill="auto" w:val="clear"/>
            <w:vAlign w:val="center"/>
          </w:tcPr>
          <w:p>
            <w:pPr>
              <w:pStyle w:val="TableContents"/>
              <w:spacing w:before="0" w:after="283"/>
              <w:jc w:val="center"/>
              <w:rPr/>
            </w:pPr>
            <w:r>
              <w:rPr/>
              <w:t>  </w:t>
            </w:r>
            <w:r>
              <w:rPr/>
              <w:t>*</w:t>
            </w:r>
          </w:p>
        </w:tc>
        <w:tc>
          <w:tcPr>
            <w:tcW w:w="75" w:type="dxa"/>
            <w:tcBorders/>
            <w:shd w:fill="auto" w:val="clear"/>
            <w:vAlign w:val="center"/>
          </w:tcPr>
          <w:p>
            <w:pPr>
              <w:pStyle w:val="TableContents"/>
              <w:spacing w:before="0" w:after="283"/>
              <w:rPr/>
            </w:pPr>
            <w:r>
              <w:rPr/>
              <w:t> </w:t>
            </w:r>
          </w:p>
        </w:tc>
      </w:tr>
      <w:tr>
        <w:trPr/>
        <w:tc>
          <w:tcPr>
            <w:tcW w:w="5300" w:type="dxa"/>
            <w:tcBorders/>
            <w:shd w:fill="auto" w:val="clear"/>
            <w:vAlign w:val="center"/>
          </w:tcPr>
          <w:p>
            <w:pPr>
              <w:pStyle w:val="TableContents"/>
              <w:spacing w:before="0" w:after="283"/>
              <w:rPr>
                <w:sz w:val="4"/>
                <w:szCs w:val="4"/>
              </w:rPr>
            </w:pPr>
            <w:r>
              <w:rPr>
                <w:sz w:val="4"/>
                <w:szCs w:val="4"/>
              </w:rPr>
            </w:r>
          </w:p>
        </w:tc>
        <w:tc>
          <w:tcPr>
            <w:tcW w:w="180" w:type="dxa"/>
            <w:gridSpan w:val="4"/>
            <w:tcBorders/>
            <w:shd w:fill="auto" w:val="clear"/>
            <w:vAlign w:val="center"/>
          </w:tcPr>
          <w:p>
            <w:pPr>
              <w:pStyle w:val="TableContents"/>
              <w:spacing w:before="0" w:after="283"/>
              <w:rPr>
                <w:sz w:val="4"/>
                <w:szCs w:val="4"/>
              </w:rPr>
            </w:pPr>
            <w:r>
              <w:rPr>
                <w:sz w:val="4"/>
                <w:szCs w:val="4"/>
              </w:rPr>
            </w:r>
          </w:p>
        </w:tc>
        <w:tc>
          <w:tcPr>
            <w:tcW w:w="1810" w:type="dxa"/>
            <w:gridSpan w:val="4"/>
            <w:tcBorders/>
            <w:shd w:fill="auto" w:val="clear"/>
            <w:vAlign w:val="center"/>
          </w:tcPr>
          <w:p>
            <w:pPr>
              <w:pStyle w:val="TableContents"/>
              <w:spacing w:before="0" w:after="283"/>
              <w:rPr>
                <w:sz w:val="4"/>
                <w:szCs w:val="4"/>
              </w:rPr>
            </w:pPr>
            <w:r>
              <w:rPr>
                <w:sz w:val="4"/>
                <w:szCs w:val="4"/>
              </w:rPr>
            </w:r>
          </w:p>
        </w:tc>
        <w:tc>
          <w:tcPr>
            <w:tcW w:w="935" w:type="dxa"/>
            <w:gridSpan w:val="4"/>
            <w:tcBorders/>
            <w:shd w:fill="auto" w:val="clear"/>
            <w:vAlign w:val="center"/>
          </w:tcPr>
          <w:p>
            <w:pPr>
              <w:pStyle w:val="TableContents"/>
              <w:spacing w:before="0" w:after="283"/>
              <w:rPr>
                <w:sz w:val="4"/>
                <w:szCs w:val="4"/>
              </w:rPr>
            </w:pPr>
            <w:r>
              <w:rPr>
                <w:sz w:val="4"/>
                <w:szCs w:val="4"/>
              </w:rPr>
            </w:r>
          </w:p>
        </w:tc>
      </w:tr>
      <w:tr>
        <w:trPr/>
        <w:tc>
          <w:tcPr>
            <w:tcW w:w="5300" w:type="dxa"/>
            <w:tcBorders/>
            <w:shd w:fill="auto" w:val="clear"/>
            <w:vAlign w:val="center"/>
          </w:tcPr>
          <w:p>
            <w:pPr>
              <w:pStyle w:val="TableContents"/>
              <w:spacing w:before="0" w:after="0"/>
              <w:rPr>
                <w:rFonts w:ascii="ARIAL" w:hAnsi="ARIAL"/>
                <w:b/>
                <w:sz w:val="20"/>
              </w:rPr>
            </w:pPr>
            <w:r>
              <w:rPr>
                <w:rFonts w:ascii="ARIAL" w:hAnsi="ARIAL"/>
                <w:b/>
                <w:sz w:val="20"/>
              </w:rPr>
              <w:t>Directors and Executive Officers as a Group (20 persons)</w:t>
            </w:r>
          </w:p>
        </w:tc>
        <w:tc>
          <w:tcPr>
            <w:tcW w:w="60" w:type="dxa"/>
            <w:tcBorders/>
            <w:shd w:fill="auto" w:val="clear"/>
            <w:vAlign w:val="center"/>
          </w:tcPr>
          <w:p>
            <w:pPr>
              <w:pStyle w:val="TableContents"/>
              <w:spacing w:before="0" w:after="283"/>
              <w:rPr/>
            </w:pPr>
            <w:r>
              <w:rPr/>
              <w:t> </w:t>
            </w:r>
          </w:p>
        </w:tc>
        <w:tc>
          <w:tcPr>
            <w:tcW w:w="30"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13,590,467</w:t>
            </w:r>
          </w:p>
        </w:tc>
        <w:tc>
          <w:tcPr>
            <w:tcW w:w="530" w:type="dxa"/>
            <w:tcBorders/>
            <w:shd w:fill="auto" w:val="clear"/>
            <w:vAlign w:val="center"/>
          </w:tcPr>
          <w:p>
            <w:pPr>
              <w:pStyle w:val="TableContents"/>
              <w:spacing w:before="0" w:after="283"/>
              <w:rPr/>
            </w:pPr>
            <w:r>
              <w:rPr/>
              <w:t> </w:t>
            </w:r>
            <w:r>
              <w:rPr/>
              <w:t>(20) </w:t>
            </w:r>
          </w:p>
        </w:tc>
        <w:tc>
          <w:tcPr>
            <w:tcW w:w="6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704" w:type="dxa"/>
            <w:tcBorders/>
            <w:shd w:fill="auto" w:val="clear"/>
            <w:vAlign w:val="center"/>
          </w:tcPr>
          <w:p>
            <w:pPr>
              <w:pStyle w:val="TableContents"/>
              <w:spacing w:before="0" w:after="283"/>
              <w:jc w:val="center"/>
              <w:rPr/>
            </w:pPr>
            <w:r>
              <w:rPr/>
              <w:t>9.9%</w:t>
            </w:r>
          </w:p>
        </w:tc>
        <w:tc>
          <w:tcPr>
            <w:tcW w:w="75" w:type="dxa"/>
            <w:tcBorders/>
            <w:shd w:fill="auto" w:val="clear"/>
            <w:vAlign w:val="center"/>
          </w:tcPr>
          <w:p>
            <w:pPr>
              <w:pStyle w:val="TableContents"/>
              <w:spacing w:before="0" w:after="283"/>
              <w:rPr/>
            </w:pPr>
            <w:r>
              <w:rPr/>
              <w:t> </w:t>
            </w:r>
          </w:p>
        </w:tc>
      </w:tr>
    </w:tbl>
    <w:p>
      <w:pPr>
        <w:pStyle w:val="TextBody"/>
        <w:spacing w:before="0" w:after="0"/>
        <w:jc w:val="left"/>
        <w:rPr/>
      </w:pPr>
      <w:r>
        <w:rPr/>
        <w:t> </w:t>
      </w:r>
    </w:p>
    <w:p>
      <w:pPr>
        <w:pStyle w:val="TextBody"/>
        <w:pBdr>
          <w:bottom w:val="single" w:sz="2" w:space="1" w:color="000000"/>
        </w:pBdr>
        <w:spacing w:lineRule="atLeast" w:line="160" w:before="0" w:after="40"/>
        <w:jc w:val="left"/>
        <w:rPr/>
      </w:pPr>
      <w:r>
        <w:rPr/>
        <w:t> </w:t>
      </w:r>
    </w:p>
    <w:tbl>
      <w:tblPr>
        <w:tblW w:w="10205" w:type="dxa"/>
        <w:jc w:val="left"/>
        <w:tblInd w:w="0" w:type="dxa"/>
        <w:tblCellMar>
          <w:top w:w="0" w:type="dxa"/>
          <w:left w:w="0" w:type="dxa"/>
          <w:bottom w:w="0" w:type="dxa"/>
          <w:right w:w="0" w:type="dxa"/>
        </w:tblCellMar>
      </w:tblPr>
      <w:tblGrid>
        <w:gridCol w:w="247"/>
        <w:gridCol w:w="9958"/>
      </w:tblGrid>
      <w:tr>
        <w:trPr/>
        <w:tc>
          <w:tcPr>
            <w:tcW w:w="247" w:type="dxa"/>
            <w:tcBorders/>
            <w:shd w:fill="auto" w:val="clear"/>
            <w:vAlign w:val="center"/>
          </w:tcPr>
          <w:p>
            <w:pPr>
              <w:pStyle w:val="TableContents"/>
              <w:spacing w:before="0" w:after="283"/>
              <w:jc w:val="left"/>
              <w:rPr/>
            </w:pPr>
            <w:r>
              <w:rPr/>
              <w:t>(1)</w:t>
            </w:r>
          </w:p>
        </w:tc>
        <w:tc>
          <w:tcPr>
            <w:tcW w:w="9958" w:type="dxa"/>
            <w:tcBorders/>
            <w:shd w:fill="auto" w:val="clear"/>
            <w:vAlign w:val="center"/>
          </w:tcPr>
          <w:p>
            <w:pPr>
              <w:pStyle w:val="TableContents"/>
              <w:spacing w:before="0" w:after="0"/>
              <w:jc w:val="left"/>
              <w:rPr>
                <w:rFonts w:ascii="ARIAL" w:hAnsi="ARIAL"/>
                <w:sz w:val="20"/>
              </w:rPr>
            </w:pPr>
            <w:r>
              <w:rPr>
                <w:rFonts w:ascii="ARIAL" w:hAnsi="ARIAL"/>
                <w:sz w:val="20"/>
              </w:rPr>
              <w:t xml:space="preserve">For purposes of this table, a person or group of persons is deemed to have “beneficial ownership” of any shares of Common Stock when such person or persons have the right to acquire them within 60 days after March 13, 2023. For purposes of computing the percentage of outstanding shares of Common Stock held by each person or group of persons named above, any shares which such person or persons have the right to acquire within 60 days after </w:t>
            </w:r>
          </w:p>
        </w:tc>
      </w:tr>
    </w:tbl>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30 </w:t>
      </w:r>
      <w:r>
        <w:br w:type="page"/>
      </w:r>
    </w:p>
    <w:p>
      <w:pPr>
        <w:pStyle w:val="HorizontalLine"/>
        <w:rPr/>
      </w:pPr>
      <w:r>
        <w:rPr/>
      </w:r>
    </w:p>
    <w:tbl>
      <w:tblPr>
        <w:tblW w:w="10205" w:type="dxa"/>
        <w:jc w:val="left"/>
        <w:tblInd w:w="0" w:type="dxa"/>
        <w:tblCellMar>
          <w:top w:w="0" w:type="dxa"/>
          <w:left w:w="0" w:type="dxa"/>
          <w:bottom w:w="0" w:type="dxa"/>
          <w:right w:w="0" w:type="dxa"/>
        </w:tblCellMar>
      </w:tblPr>
      <w:tblGrid>
        <w:gridCol w:w="75"/>
        <w:gridCol w:w="10130"/>
      </w:tblGrid>
      <w:tr>
        <w:trPr/>
        <w:tc>
          <w:tcPr>
            <w:tcW w:w="75" w:type="dxa"/>
            <w:tcBorders/>
            <w:shd w:fill="auto" w:val="clear"/>
            <w:vAlign w:val="center"/>
          </w:tcPr>
          <w:p>
            <w:pPr>
              <w:pStyle w:val="TableContents"/>
              <w:spacing w:before="0" w:after="283"/>
              <w:rPr/>
            </w:pPr>
            <w:r>
              <w:rPr/>
              <w:t> </w:t>
            </w:r>
          </w:p>
        </w:tc>
        <w:tc>
          <w:tcPr>
            <w:tcW w:w="10130" w:type="dxa"/>
            <w:tcBorders/>
            <w:shd w:fill="auto" w:val="clear"/>
            <w:vAlign w:val="center"/>
          </w:tcPr>
          <w:p>
            <w:pPr>
              <w:pStyle w:val="TableContents"/>
              <w:spacing w:before="0" w:after="283"/>
              <w:jc w:val="left"/>
              <w:rPr/>
            </w:pPr>
            <w:r>
              <w:rPr/>
              <w:t xml:space="preserve">March 13, 2023 is deemed to be outstanding but is not deemed to be outstanding for the purpose of computing the percentage ownership of any other person.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50"/>
        <w:gridCol w:w="9955"/>
      </w:tblGrid>
      <w:tr>
        <w:trPr/>
        <w:tc>
          <w:tcPr>
            <w:tcW w:w="250" w:type="dxa"/>
            <w:tcBorders/>
            <w:shd w:fill="auto" w:val="clear"/>
            <w:vAlign w:val="center"/>
          </w:tcPr>
          <w:p>
            <w:pPr>
              <w:pStyle w:val="TableContents"/>
              <w:spacing w:before="0" w:after="283"/>
              <w:jc w:val="left"/>
              <w:rPr/>
            </w:pPr>
            <w:r>
              <w:rPr/>
              <w:t>(2)</w:t>
            </w:r>
          </w:p>
        </w:tc>
        <w:tc>
          <w:tcPr>
            <w:tcW w:w="9955" w:type="dxa"/>
            <w:tcBorders/>
            <w:shd w:fill="auto" w:val="clear"/>
            <w:vAlign w:val="center"/>
          </w:tcPr>
          <w:p>
            <w:pPr>
              <w:pStyle w:val="TableContents"/>
              <w:spacing w:before="0" w:after="0"/>
              <w:jc w:val="left"/>
              <w:rPr>
                <w:rFonts w:ascii="ARIAL" w:hAnsi="ARIAL"/>
                <w:sz w:val="20"/>
              </w:rPr>
            </w:pPr>
            <w:r>
              <w:rPr>
                <w:rFonts w:ascii="ARIAL" w:hAnsi="ARIAL"/>
                <w:sz w:val="20"/>
              </w:rPr>
              <w:t xml:space="preserve">Shares beneficially owned are based on Schedule 13G/A filed with the SEC on January 26, 2023, by BlackRock, Inc. (“BlackRock”). BlackRock has sole voting power with respect to 20,879,886 shares of Common Stock and sole dispositive power with respect to 21,122,948 shares of Common Stock. The address of BlackRock, Inc. is 55 East 52nd Street, New York, NY 10055.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46"/>
        <w:gridCol w:w="9959"/>
      </w:tblGrid>
      <w:tr>
        <w:trPr/>
        <w:tc>
          <w:tcPr>
            <w:tcW w:w="246" w:type="dxa"/>
            <w:tcBorders/>
            <w:shd w:fill="auto" w:val="clear"/>
            <w:vAlign w:val="center"/>
          </w:tcPr>
          <w:p>
            <w:pPr>
              <w:pStyle w:val="TableContents"/>
              <w:spacing w:before="0" w:after="283"/>
              <w:jc w:val="left"/>
              <w:rPr/>
            </w:pPr>
            <w:r>
              <w:rPr/>
              <w:t>(3)</w:t>
            </w:r>
          </w:p>
        </w:tc>
        <w:tc>
          <w:tcPr>
            <w:tcW w:w="9959" w:type="dxa"/>
            <w:tcBorders/>
            <w:shd w:fill="auto" w:val="clear"/>
            <w:vAlign w:val="center"/>
          </w:tcPr>
          <w:p>
            <w:pPr>
              <w:pStyle w:val="TableContents"/>
              <w:spacing w:before="0" w:after="0"/>
              <w:jc w:val="left"/>
              <w:rPr>
                <w:rFonts w:ascii="ARIAL" w:hAnsi="ARIAL"/>
                <w:sz w:val="20"/>
              </w:rPr>
            </w:pPr>
            <w:r>
              <w:rPr>
                <w:rFonts w:ascii="ARIAL" w:hAnsi="ARIAL"/>
                <w:sz w:val="20"/>
              </w:rPr>
              <w:t xml:space="preserve">Shares beneficially owned are based on Schedule 13G/A filed with the SEC on February 9, 2023, by The Vanguard Group, Inc. (“The Vanguard Group”). The Vanguard Group has shared voting power with respect to 82,529 shares of Common Stock; sole dispositive power with respect to 8,888,293 shares of Common Stock and shared dispositive power with respect to 183,031 shares of Common Stock. The address of The Vanguard Group is 100 Vanguard Blvd., Malvern, PA 19355.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47"/>
        <w:gridCol w:w="9958"/>
      </w:tblGrid>
      <w:tr>
        <w:trPr/>
        <w:tc>
          <w:tcPr>
            <w:tcW w:w="247" w:type="dxa"/>
            <w:tcBorders/>
            <w:shd w:fill="auto" w:val="clear"/>
            <w:vAlign w:val="center"/>
          </w:tcPr>
          <w:p>
            <w:pPr>
              <w:pStyle w:val="TableContents"/>
              <w:spacing w:before="0" w:after="283"/>
              <w:jc w:val="left"/>
              <w:rPr/>
            </w:pPr>
            <w:r>
              <w:rPr/>
              <w:t>(4)</w:t>
            </w:r>
          </w:p>
        </w:tc>
        <w:tc>
          <w:tcPr>
            <w:tcW w:w="9958" w:type="dxa"/>
            <w:tcBorders/>
            <w:shd w:fill="auto" w:val="clear"/>
            <w:vAlign w:val="center"/>
          </w:tcPr>
          <w:p>
            <w:pPr>
              <w:pStyle w:val="TableContents"/>
              <w:spacing w:before="0" w:after="0"/>
              <w:jc w:val="left"/>
              <w:rPr>
                <w:rFonts w:ascii="ARIAL" w:hAnsi="ARIAL"/>
                <w:sz w:val="20"/>
              </w:rPr>
            </w:pPr>
            <w:r>
              <w:rPr>
                <w:rFonts w:ascii="ARIAL" w:hAnsi="ARIAL"/>
                <w:sz w:val="20"/>
              </w:rPr>
              <w:t xml:space="preserve">Shares beneficially owned are based on Schedule 13G/A filed with the SEC on February 10, 2023, by Everest Partners, L.P. (“Eversept Partners”). Eversept Partners has shared voting and dispositive power with respect to 240,878 shares of Common Stock and sole voting and dispositive power with respect to 8,774,751 shares of Common Stock. The address of Eversept Partners is 444 Madison Ave., 22nd Floor, New York, NY 10022.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61"/>
        <w:gridCol w:w="9944"/>
      </w:tblGrid>
      <w:tr>
        <w:trPr/>
        <w:tc>
          <w:tcPr>
            <w:tcW w:w="261" w:type="dxa"/>
            <w:tcBorders/>
            <w:shd w:fill="auto" w:val="clear"/>
            <w:vAlign w:val="center"/>
          </w:tcPr>
          <w:p>
            <w:pPr>
              <w:pStyle w:val="TableContents"/>
              <w:spacing w:before="0" w:after="283"/>
              <w:jc w:val="left"/>
              <w:rPr/>
            </w:pPr>
            <w:r>
              <w:rPr/>
              <w:t>(5)</w:t>
            </w:r>
          </w:p>
        </w:tc>
        <w:tc>
          <w:tcPr>
            <w:tcW w:w="9944" w:type="dxa"/>
            <w:tcBorders/>
            <w:shd w:fill="auto" w:val="clear"/>
            <w:vAlign w:val="center"/>
          </w:tcPr>
          <w:p>
            <w:pPr>
              <w:pStyle w:val="TableContents"/>
              <w:spacing w:before="0" w:after="0"/>
              <w:jc w:val="left"/>
              <w:rPr>
                <w:rFonts w:ascii="ARIAL" w:hAnsi="ARIAL"/>
                <w:sz w:val="20"/>
              </w:rPr>
            </w:pPr>
            <w:r>
              <w:rPr>
                <w:rFonts w:ascii="ARIAL" w:hAnsi="ARIAL"/>
                <w:sz w:val="20"/>
              </w:rPr>
              <w:t xml:space="preserve">Includes 0 shares subject to options which are currently exercisable or exercisable within 60 days of March 13, 2023 and 0 shares subject to restricted stock awards with voting power and performance measures that have not been met as of March 13, 2023.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61"/>
        <w:gridCol w:w="9944"/>
      </w:tblGrid>
      <w:tr>
        <w:trPr/>
        <w:tc>
          <w:tcPr>
            <w:tcW w:w="261" w:type="dxa"/>
            <w:tcBorders/>
            <w:shd w:fill="auto" w:val="clear"/>
            <w:vAlign w:val="center"/>
          </w:tcPr>
          <w:p>
            <w:pPr>
              <w:pStyle w:val="TableContents"/>
              <w:spacing w:before="0" w:after="283"/>
              <w:jc w:val="left"/>
              <w:rPr/>
            </w:pPr>
            <w:r>
              <w:rPr/>
              <w:t>(6)</w:t>
            </w:r>
          </w:p>
        </w:tc>
        <w:tc>
          <w:tcPr>
            <w:tcW w:w="9944" w:type="dxa"/>
            <w:tcBorders/>
            <w:shd w:fill="auto" w:val="clear"/>
            <w:vAlign w:val="center"/>
          </w:tcPr>
          <w:p>
            <w:pPr>
              <w:pStyle w:val="TableContents"/>
              <w:spacing w:before="0" w:after="0"/>
              <w:jc w:val="left"/>
              <w:rPr>
                <w:rFonts w:ascii="ARIAL" w:hAnsi="ARIAL"/>
                <w:sz w:val="20"/>
              </w:rPr>
            </w:pPr>
            <w:r>
              <w:rPr>
                <w:rFonts w:ascii="ARIAL" w:hAnsi="ARIAL"/>
                <w:sz w:val="20"/>
              </w:rPr>
              <w:t xml:space="preserve">Includes 0 shares subject to options which are currently exercisable or exercisable within 60 days of March 13, 2023 and 0 shares subject to restricted stock awards with voting power and performance measures that have not been met as of March 13, 2023.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61"/>
        <w:gridCol w:w="9944"/>
      </w:tblGrid>
      <w:tr>
        <w:trPr/>
        <w:tc>
          <w:tcPr>
            <w:tcW w:w="261" w:type="dxa"/>
            <w:tcBorders/>
            <w:shd w:fill="auto" w:val="clear"/>
            <w:vAlign w:val="center"/>
          </w:tcPr>
          <w:p>
            <w:pPr>
              <w:pStyle w:val="TableContents"/>
              <w:spacing w:before="0" w:after="283"/>
              <w:jc w:val="left"/>
              <w:rPr/>
            </w:pPr>
            <w:r>
              <w:rPr/>
              <w:t>(7)</w:t>
            </w:r>
          </w:p>
        </w:tc>
        <w:tc>
          <w:tcPr>
            <w:tcW w:w="9944" w:type="dxa"/>
            <w:tcBorders/>
            <w:shd w:fill="auto" w:val="clear"/>
            <w:vAlign w:val="center"/>
          </w:tcPr>
          <w:p>
            <w:pPr>
              <w:pStyle w:val="TableContents"/>
              <w:spacing w:before="0" w:after="0"/>
              <w:jc w:val="left"/>
              <w:rPr>
                <w:rFonts w:ascii="ARIAL" w:hAnsi="ARIAL"/>
                <w:sz w:val="20"/>
              </w:rPr>
            </w:pPr>
            <w:r>
              <w:rPr>
                <w:rFonts w:ascii="ARIAL" w:hAnsi="ARIAL"/>
                <w:sz w:val="20"/>
              </w:rPr>
              <w:t xml:space="preserve">Includes 0 shares subject to options which are currently exercisable or exercisable within 60 days of March 13, 2023 and 0 shares subject to restricted stock awards with voting power and performance measures that have not been met as of March 13, 2023.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61"/>
        <w:gridCol w:w="9944"/>
      </w:tblGrid>
      <w:tr>
        <w:trPr/>
        <w:tc>
          <w:tcPr>
            <w:tcW w:w="261" w:type="dxa"/>
            <w:tcBorders/>
            <w:shd w:fill="auto" w:val="clear"/>
            <w:vAlign w:val="center"/>
          </w:tcPr>
          <w:p>
            <w:pPr>
              <w:pStyle w:val="TableContents"/>
              <w:spacing w:before="0" w:after="283"/>
              <w:jc w:val="left"/>
              <w:rPr/>
            </w:pPr>
            <w:r>
              <w:rPr/>
              <w:t>(8)</w:t>
            </w:r>
          </w:p>
        </w:tc>
        <w:tc>
          <w:tcPr>
            <w:tcW w:w="9944" w:type="dxa"/>
            <w:tcBorders/>
            <w:shd w:fill="auto" w:val="clear"/>
            <w:vAlign w:val="center"/>
          </w:tcPr>
          <w:p>
            <w:pPr>
              <w:pStyle w:val="TableContents"/>
              <w:spacing w:before="0" w:after="0"/>
              <w:jc w:val="left"/>
              <w:rPr>
                <w:rFonts w:ascii="ARIAL" w:hAnsi="ARIAL"/>
                <w:sz w:val="20"/>
              </w:rPr>
            </w:pPr>
            <w:r>
              <w:rPr>
                <w:rFonts w:ascii="ARIAL" w:hAnsi="ARIAL"/>
                <w:sz w:val="20"/>
              </w:rPr>
              <w:t xml:space="preserve">Includes 0 shares subject to options which are currently exercisable or exercisable within 60 days of March 13, 2023 and 0 shares subject to restricted stock awards with voting power and performance measures that have not been met as of March 13, 2023.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61"/>
        <w:gridCol w:w="9944"/>
      </w:tblGrid>
      <w:tr>
        <w:trPr/>
        <w:tc>
          <w:tcPr>
            <w:tcW w:w="261" w:type="dxa"/>
            <w:tcBorders/>
            <w:shd w:fill="auto" w:val="clear"/>
            <w:vAlign w:val="center"/>
          </w:tcPr>
          <w:p>
            <w:pPr>
              <w:pStyle w:val="TableContents"/>
              <w:spacing w:before="0" w:after="283"/>
              <w:jc w:val="left"/>
              <w:rPr/>
            </w:pPr>
            <w:r>
              <w:rPr/>
              <w:t>(9)</w:t>
            </w:r>
          </w:p>
        </w:tc>
        <w:tc>
          <w:tcPr>
            <w:tcW w:w="9944" w:type="dxa"/>
            <w:tcBorders/>
            <w:shd w:fill="auto" w:val="clear"/>
            <w:vAlign w:val="center"/>
          </w:tcPr>
          <w:p>
            <w:pPr>
              <w:pStyle w:val="TableContents"/>
              <w:spacing w:before="0" w:after="0"/>
              <w:jc w:val="left"/>
              <w:rPr>
                <w:rFonts w:ascii="ARIAL" w:hAnsi="ARIAL"/>
                <w:sz w:val="20"/>
              </w:rPr>
            </w:pPr>
            <w:r>
              <w:rPr>
                <w:rFonts w:ascii="ARIAL" w:hAnsi="ARIAL"/>
                <w:sz w:val="20"/>
              </w:rPr>
              <w:t xml:space="preserve">Includes 0 shares subject to options which are currently exercisable or exercisable within 60 days of March 13, 2023 and 0 shares subject to restricted stock awards with voting power and performance measures that have not been met as of March 13, 2023.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380"/>
        <w:gridCol w:w="9825"/>
      </w:tblGrid>
      <w:tr>
        <w:trPr/>
        <w:tc>
          <w:tcPr>
            <w:tcW w:w="380" w:type="dxa"/>
            <w:tcBorders/>
            <w:shd w:fill="auto" w:val="clear"/>
            <w:vAlign w:val="center"/>
          </w:tcPr>
          <w:p>
            <w:pPr>
              <w:pStyle w:val="TableContents"/>
              <w:spacing w:before="0" w:after="283"/>
              <w:jc w:val="left"/>
              <w:rPr/>
            </w:pPr>
            <w:r>
              <w:rPr/>
              <w:t>(10)</w:t>
            </w:r>
          </w:p>
        </w:tc>
        <w:tc>
          <w:tcPr>
            <w:tcW w:w="9825" w:type="dxa"/>
            <w:tcBorders/>
            <w:shd w:fill="auto" w:val="clear"/>
            <w:vAlign w:val="center"/>
          </w:tcPr>
          <w:p>
            <w:pPr>
              <w:pStyle w:val="TableContents"/>
              <w:spacing w:before="0" w:after="0"/>
              <w:jc w:val="left"/>
              <w:rPr>
                <w:rFonts w:ascii="ARIAL" w:hAnsi="ARIAL"/>
                <w:sz w:val="20"/>
              </w:rPr>
            </w:pPr>
            <w:r>
              <w:rPr>
                <w:rFonts w:ascii="ARIAL" w:hAnsi="ARIAL"/>
                <w:sz w:val="20"/>
              </w:rPr>
              <w:t xml:space="preserve">Includes 0 shares subject to options which are currently exercisable or exercisable within 60 days of March 13, 2023 and 0 shares subject to restricted stock awards with voting power and performance measures that have not been met as of March 13, 2023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379"/>
        <w:gridCol w:w="9826"/>
      </w:tblGrid>
      <w:tr>
        <w:trPr/>
        <w:tc>
          <w:tcPr>
            <w:tcW w:w="379" w:type="dxa"/>
            <w:tcBorders/>
            <w:shd w:fill="auto" w:val="clear"/>
            <w:vAlign w:val="center"/>
          </w:tcPr>
          <w:p>
            <w:pPr>
              <w:pStyle w:val="TableContents"/>
              <w:spacing w:before="0" w:after="283"/>
              <w:jc w:val="left"/>
              <w:rPr/>
            </w:pPr>
            <w:r>
              <w:rPr/>
              <w:t>(11)</w:t>
            </w:r>
          </w:p>
        </w:tc>
        <w:tc>
          <w:tcPr>
            <w:tcW w:w="9826" w:type="dxa"/>
            <w:tcBorders/>
            <w:shd w:fill="auto" w:val="clear"/>
            <w:vAlign w:val="center"/>
          </w:tcPr>
          <w:p>
            <w:pPr>
              <w:pStyle w:val="TableContents"/>
              <w:spacing w:before="0" w:after="0"/>
              <w:jc w:val="left"/>
              <w:rPr>
                <w:rFonts w:ascii="ARIAL" w:hAnsi="ARIAL"/>
                <w:sz w:val="20"/>
              </w:rPr>
            </w:pPr>
            <w:r>
              <w:rPr>
                <w:rFonts w:ascii="ARIAL" w:hAnsi="ARIAL"/>
                <w:sz w:val="20"/>
              </w:rPr>
              <w:t xml:space="preserve">Includes 431,250 shares subject to options which are currently exercisable or exercisable within 60 days of March 13, 2023 and 800,000 shares subject to restricted stock awards with voting power and performance measures that have not been met as of March 13, 2023.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380"/>
        <w:gridCol w:w="9825"/>
      </w:tblGrid>
      <w:tr>
        <w:trPr/>
        <w:tc>
          <w:tcPr>
            <w:tcW w:w="380" w:type="dxa"/>
            <w:tcBorders/>
            <w:shd w:fill="auto" w:val="clear"/>
            <w:vAlign w:val="center"/>
          </w:tcPr>
          <w:p>
            <w:pPr>
              <w:pStyle w:val="TableContents"/>
              <w:spacing w:before="0" w:after="283"/>
              <w:jc w:val="left"/>
              <w:rPr/>
            </w:pPr>
            <w:r>
              <w:rPr/>
              <w:t>(12)</w:t>
            </w:r>
          </w:p>
        </w:tc>
        <w:tc>
          <w:tcPr>
            <w:tcW w:w="9825" w:type="dxa"/>
            <w:tcBorders/>
            <w:shd w:fill="auto" w:val="clear"/>
            <w:vAlign w:val="center"/>
          </w:tcPr>
          <w:p>
            <w:pPr>
              <w:pStyle w:val="TableContents"/>
              <w:spacing w:before="0" w:after="0"/>
              <w:jc w:val="left"/>
              <w:rPr>
                <w:rFonts w:ascii="ARIAL" w:hAnsi="ARIAL"/>
                <w:sz w:val="20"/>
              </w:rPr>
            </w:pPr>
            <w:r>
              <w:rPr>
                <w:rFonts w:ascii="ARIAL" w:hAnsi="ARIAL"/>
                <w:sz w:val="20"/>
              </w:rPr>
              <w:t xml:space="preserve">Includes 0 shares subject to options which are currently exercisable or exercisable within 60 days of March 13, 2023 and 0 shares subject to restricted stock awards with voting power and performance measures that have not been met as of March 13, 2023.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380"/>
        <w:gridCol w:w="9825"/>
      </w:tblGrid>
      <w:tr>
        <w:trPr/>
        <w:tc>
          <w:tcPr>
            <w:tcW w:w="380" w:type="dxa"/>
            <w:tcBorders/>
            <w:shd w:fill="auto" w:val="clear"/>
            <w:vAlign w:val="center"/>
          </w:tcPr>
          <w:p>
            <w:pPr>
              <w:pStyle w:val="TableContents"/>
              <w:spacing w:before="0" w:after="283"/>
              <w:jc w:val="left"/>
              <w:rPr/>
            </w:pPr>
            <w:r>
              <w:rPr/>
              <w:t>(13)</w:t>
            </w:r>
          </w:p>
        </w:tc>
        <w:tc>
          <w:tcPr>
            <w:tcW w:w="9825" w:type="dxa"/>
            <w:tcBorders/>
            <w:shd w:fill="auto" w:val="clear"/>
            <w:vAlign w:val="center"/>
          </w:tcPr>
          <w:p>
            <w:pPr>
              <w:pStyle w:val="TableContents"/>
              <w:spacing w:before="0" w:after="0"/>
              <w:jc w:val="left"/>
              <w:rPr>
                <w:rFonts w:ascii="ARIAL" w:hAnsi="ARIAL"/>
                <w:sz w:val="20"/>
              </w:rPr>
            </w:pPr>
            <w:r>
              <w:rPr>
                <w:rFonts w:ascii="ARIAL" w:hAnsi="ARIAL"/>
                <w:sz w:val="20"/>
              </w:rPr>
              <w:t xml:space="preserve">Includes 0 shares subject to options which are currently exercisable or exercisable within 60 days of March 13, 2023 and 0 shares subject to restricted stock awards with voting power and performance measures that have not been met as of March 13, 2023 </w:t>
            </w:r>
          </w:p>
        </w:tc>
      </w:tr>
    </w:tbl>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31 </w:t>
      </w:r>
      <w:r>
        <w:br w:type="page"/>
      </w:r>
    </w:p>
    <w:p>
      <w:pPr>
        <w:pStyle w:val="HorizontalLine"/>
        <w:rPr/>
      </w:pPr>
      <w:r>
        <w:rPr/>
      </w:r>
    </w:p>
    <w:tbl>
      <w:tblPr>
        <w:tblW w:w="10205" w:type="dxa"/>
        <w:jc w:val="left"/>
        <w:tblInd w:w="0" w:type="dxa"/>
        <w:tblCellMar>
          <w:top w:w="0" w:type="dxa"/>
          <w:left w:w="0" w:type="dxa"/>
          <w:bottom w:w="0" w:type="dxa"/>
          <w:right w:w="0" w:type="dxa"/>
        </w:tblCellMar>
      </w:tblPr>
      <w:tblGrid>
        <w:gridCol w:w="380"/>
        <w:gridCol w:w="9825"/>
      </w:tblGrid>
      <w:tr>
        <w:trPr/>
        <w:tc>
          <w:tcPr>
            <w:tcW w:w="380" w:type="dxa"/>
            <w:tcBorders/>
            <w:shd w:fill="auto" w:val="clear"/>
            <w:vAlign w:val="center"/>
          </w:tcPr>
          <w:p>
            <w:pPr>
              <w:pStyle w:val="TableContents"/>
              <w:spacing w:before="0" w:after="283"/>
              <w:jc w:val="left"/>
              <w:rPr/>
            </w:pPr>
            <w:r>
              <w:rPr/>
              <w:t>(14)</w:t>
            </w:r>
          </w:p>
        </w:tc>
        <w:tc>
          <w:tcPr>
            <w:tcW w:w="9825" w:type="dxa"/>
            <w:tcBorders/>
            <w:shd w:fill="auto" w:val="clear"/>
            <w:vAlign w:val="center"/>
          </w:tcPr>
          <w:p>
            <w:pPr>
              <w:pStyle w:val="TableContents"/>
              <w:spacing w:before="0" w:after="0"/>
              <w:jc w:val="left"/>
              <w:rPr>
                <w:rFonts w:ascii="ARIAL" w:hAnsi="ARIAL"/>
                <w:sz w:val="20"/>
              </w:rPr>
            </w:pPr>
            <w:r>
              <w:rPr>
                <w:rFonts w:ascii="ARIAL" w:hAnsi="ARIAL"/>
                <w:sz w:val="20"/>
              </w:rPr>
              <w:t xml:space="preserve">Includes 0 shares subject to options which are currently exercisable or exercisable within 60 days of March 13, 2023 and 0 shares subject to restricted stock awards with voting power and performance measures that have not been met as of March 13, 2023.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366"/>
        <w:gridCol w:w="9839"/>
      </w:tblGrid>
      <w:tr>
        <w:trPr/>
        <w:tc>
          <w:tcPr>
            <w:tcW w:w="366" w:type="dxa"/>
            <w:tcBorders/>
            <w:shd w:fill="auto" w:val="clear"/>
            <w:vAlign w:val="center"/>
          </w:tcPr>
          <w:p>
            <w:pPr>
              <w:pStyle w:val="TableContents"/>
              <w:spacing w:before="0" w:after="283"/>
              <w:jc w:val="left"/>
              <w:rPr/>
            </w:pPr>
            <w:r>
              <w:rPr/>
              <w:t>(15)</w:t>
            </w:r>
          </w:p>
        </w:tc>
        <w:tc>
          <w:tcPr>
            <w:tcW w:w="9839" w:type="dxa"/>
            <w:tcBorders/>
            <w:shd w:fill="auto" w:val="clear"/>
            <w:vAlign w:val="center"/>
          </w:tcPr>
          <w:p>
            <w:pPr>
              <w:pStyle w:val="TableContents"/>
              <w:spacing w:before="0" w:after="0"/>
              <w:jc w:val="left"/>
              <w:rPr>
                <w:rFonts w:ascii="ARIAL" w:hAnsi="ARIAL"/>
                <w:sz w:val="20"/>
              </w:rPr>
            </w:pPr>
            <w:r>
              <w:rPr>
                <w:rFonts w:ascii="ARIAL" w:hAnsi="ARIAL"/>
                <w:sz w:val="20"/>
              </w:rPr>
              <w:t xml:space="preserve">Mr. Smith is a 5% stockholder as well as a director, and as such his shares are included in the calculation of the number of shares held by directors and executive officers as a group as set forth above. Includes 281,250 shares subject to options which are currently exercisable or exercisable within 60 days of March 13, 2023 and 360,000 shares subject to restricted stock awards with voting power and performance measures that have not been met as of March 13, 2023.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380"/>
        <w:gridCol w:w="9825"/>
      </w:tblGrid>
      <w:tr>
        <w:trPr/>
        <w:tc>
          <w:tcPr>
            <w:tcW w:w="380" w:type="dxa"/>
            <w:tcBorders/>
            <w:shd w:fill="auto" w:val="clear"/>
            <w:vAlign w:val="center"/>
          </w:tcPr>
          <w:p>
            <w:pPr>
              <w:pStyle w:val="TableContents"/>
              <w:spacing w:before="0" w:after="283"/>
              <w:jc w:val="left"/>
              <w:rPr/>
            </w:pPr>
            <w:r>
              <w:rPr/>
              <w:t>(16)</w:t>
            </w:r>
          </w:p>
        </w:tc>
        <w:tc>
          <w:tcPr>
            <w:tcW w:w="9825" w:type="dxa"/>
            <w:tcBorders/>
            <w:shd w:fill="auto" w:val="clear"/>
            <w:vAlign w:val="center"/>
          </w:tcPr>
          <w:p>
            <w:pPr>
              <w:pStyle w:val="TableContents"/>
              <w:spacing w:before="0" w:after="0"/>
              <w:jc w:val="left"/>
              <w:rPr>
                <w:rFonts w:ascii="ARIAL" w:hAnsi="ARIAL"/>
                <w:sz w:val="20"/>
              </w:rPr>
            </w:pPr>
            <w:r>
              <w:rPr>
                <w:rFonts w:ascii="ARIAL" w:hAnsi="ARIAL"/>
                <w:sz w:val="20"/>
              </w:rPr>
              <w:t xml:space="preserve">Includes 0 shares subject to options which are currently exercisable or exercisable within 60 days of March 13, 2023 and 0 shares subject to restricted stock awards with voting power and performance measures that have not been met as of March 13, 2023.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379"/>
        <w:gridCol w:w="9826"/>
      </w:tblGrid>
      <w:tr>
        <w:trPr/>
        <w:tc>
          <w:tcPr>
            <w:tcW w:w="379" w:type="dxa"/>
            <w:tcBorders/>
            <w:shd w:fill="auto" w:val="clear"/>
            <w:vAlign w:val="center"/>
          </w:tcPr>
          <w:p>
            <w:pPr>
              <w:pStyle w:val="TableContents"/>
              <w:spacing w:before="0" w:after="283"/>
              <w:jc w:val="left"/>
              <w:rPr/>
            </w:pPr>
            <w:r>
              <w:rPr/>
              <w:t>(17)</w:t>
            </w:r>
          </w:p>
        </w:tc>
        <w:tc>
          <w:tcPr>
            <w:tcW w:w="9826" w:type="dxa"/>
            <w:tcBorders/>
            <w:shd w:fill="auto" w:val="clear"/>
            <w:vAlign w:val="center"/>
          </w:tcPr>
          <w:p>
            <w:pPr>
              <w:pStyle w:val="TableContents"/>
              <w:spacing w:before="0" w:after="0"/>
              <w:jc w:val="left"/>
              <w:rPr>
                <w:rFonts w:ascii="ARIAL" w:hAnsi="ARIAL"/>
                <w:sz w:val="20"/>
              </w:rPr>
            </w:pPr>
            <w:r>
              <w:rPr>
                <w:rFonts w:ascii="ARIAL" w:hAnsi="ARIAL"/>
                <w:sz w:val="20"/>
              </w:rPr>
              <w:t xml:space="preserve">Includes 140,500 shares subject to options which are currently exercisable or exercisable within 60 days of March 13, 2023 and 480,000 shares subject to restricted stock awards with voting power and performance measures that have not been met as of March 13, 2023.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379"/>
        <w:gridCol w:w="9826"/>
      </w:tblGrid>
      <w:tr>
        <w:trPr/>
        <w:tc>
          <w:tcPr>
            <w:tcW w:w="379" w:type="dxa"/>
            <w:tcBorders/>
            <w:shd w:fill="auto" w:val="clear"/>
            <w:vAlign w:val="center"/>
          </w:tcPr>
          <w:p>
            <w:pPr>
              <w:pStyle w:val="TableContents"/>
              <w:spacing w:before="0" w:after="283"/>
              <w:jc w:val="left"/>
              <w:rPr/>
            </w:pPr>
            <w:r>
              <w:rPr/>
              <w:t>(18)</w:t>
            </w:r>
          </w:p>
        </w:tc>
        <w:tc>
          <w:tcPr>
            <w:tcW w:w="9826" w:type="dxa"/>
            <w:tcBorders/>
            <w:shd w:fill="auto" w:val="clear"/>
            <w:vAlign w:val="center"/>
          </w:tcPr>
          <w:p>
            <w:pPr>
              <w:pStyle w:val="TableContents"/>
              <w:spacing w:before="0" w:after="0"/>
              <w:jc w:val="left"/>
              <w:rPr>
                <w:rFonts w:ascii="ARIAL" w:hAnsi="ARIAL"/>
                <w:sz w:val="20"/>
              </w:rPr>
            </w:pPr>
            <w:r>
              <w:rPr>
                <w:rFonts w:ascii="ARIAL" w:hAnsi="ARIAL"/>
                <w:sz w:val="20"/>
              </w:rPr>
              <w:t xml:space="preserve">Includes 92,500 shares subject to options which are currently exercisable or exercisable within 60 days of March 13, 2023 and 240,000 shares subject to restricted stock awards with voting power and performance measures that have not been met as of March 13, 2023.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379"/>
        <w:gridCol w:w="9826"/>
      </w:tblGrid>
      <w:tr>
        <w:trPr/>
        <w:tc>
          <w:tcPr>
            <w:tcW w:w="379" w:type="dxa"/>
            <w:tcBorders/>
            <w:shd w:fill="auto" w:val="clear"/>
            <w:vAlign w:val="center"/>
          </w:tcPr>
          <w:p>
            <w:pPr>
              <w:pStyle w:val="TableContents"/>
              <w:spacing w:before="0" w:after="283"/>
              <w:jc w:val="left"/>
              <w:rPr/>
            </w:pPr>
            <w:r>
              <w:rPr/>
              <w:t>(19)</w:t>
            </w:r>
          </w:p>
        </w:tc>
        <w:tc>
          <w:tcPr>
            <w:tcW w:w="9826" w:type="dxa"/>
            <w:tcBorders/>
            <w:shd w:fill="auto" w:val="clear"/>
            <w:vAlign w:val="center"/>
          </w:tcPr>
          <w:p>
            <w:pPr>
              <w:pStyle w:val="TableContents"/>
              <w:spacing w:before="0" w:after="0"/>
              <w:jc w:val="left"/>
              <w:rPr>
                <w:rFonts w:ascii="ARIAL" w:hAnsi="ARIAL"/>
                <w:sz w:val="20"/>
              </w:rPr>
            </w:pPr>
            <w:r>
              <w:rPr>
                <w:rFonts w:ascii="ARIAL" w:hAnsi="ARIAL"/>
                <w:sz w:val="20"/>
              </w:rPr>
              <w:t xml:space="preserve">Includes 45,333 shares subject to options which are currently exercisable or exercisable within 60 days of March 13, 2023 and 115,000 shares subject to restricted stock awards with voting power and performance measures that have not been met as of March 13, 2023.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378"/>
        <w:gridCol w:w="9827"/>
      </w:tblGrid>
      <w:tr>
        <w:trPr/>
        <w:tc>
          <w:tcPr>
            <w:tcW w:w="378" w:type="dxa"/>
            <w:tcBorders/>
            <w:shd w:fill="auto" w:val="clear"/>
            <w:vAlign w:val="center"/>
          </w:tcPr>
          <w:p>
            <w:pPr>
              <w:pStyle w:val="TableContents"/>
              <w:spacing w:before="0" w:after="283"/>
              <w:jc w:val="left"/>
              <w:rPr/>
            </w:pPr>
            <w:r>
              <w:rPr/>
              <w:t>(20)</w:t>
            </w:r>
          </w:p>
        </w:tc>
        <w:tc>
          <w:tcPr>
            <w:tcW w:w="9827" w:type="dxa"/>
            <w:tcBorders/>
            <w:shd w:fill="auto" w:val="clear"/>
            <w:vAlign w:val="center"/>
          </w:tcPr>
          <w:p>
            <w:pPr>
              <w:pStyle w:val="TableContents"/>
              <w:spacing w:before="0" w:after="0"/>
              <w:jc w:val="left"/>
              <w:rPr>
                <w:rFonts w:ascii="ARIAL" w:hAnsi="ARIAL"/>
                <w:sz w:val="20"/>
              </w:rPr>
            </w:pPr>
            <w:r>
              <w:rPr>
                <w:rFonts w:ascii="ARIAL" w:hAnsi="ARIAL"/>
                <w:sz w:val="20"/>
              </w:rPr>
              <w:t xml:space="preserve">Includes 1,166,498 shares subject to options which are currently exercisable or exercisable within 60 days of March 13, 2023 and 2,493,000 shares subject to restricted stock awards with voting power and performance measures that have not been met as of March 13, 2023. </w:t>
            </w:r>
          </w:p>
        </w:tc>
      </w:tr>
    </w:tbl>
    <w:p>
      <w:pPr>
        <w:pStyle w:val="TextBody"/>
        <w:spacing w:before="0" w:after="0"/>
        <w:jc w:val="left"/>
        <w:rPr/>
      </w:pPr>
      <w:r>
        <w:rPr/>
        <w:t> </w:t>
      </w:r>
    </w:p>
    <w:tbl>
      <w:tblPr>
        <w:tblW w:w="1450" w:type="dxa"/>
        <w:jc w:val="left"/>
        <w:tblInd w:w="0" w:type="dxa"/>
        <w:tblCellMar>
          <w:top w:w="0" w:type="dxa"/>
          <w:left w:w="0" w:type="dxa"/>
          <w:bottom w:w="0" w:type="dxa"/>
          <w:right w:w="0" w:type="dxa"/>
        </w:tblCellMar>
      </w:tblPr>
      <w:tblGrid>
        <w:gridCol w:w="155"/>
        <w:gridCol w:w="1295"/>
      </w:tblGrid>
      <w:tr>
        <w:trPr/>
        <w:tc>
          <w:tcPr>
            <w:tcW w:w="155" w:type="dxa"/>
            <w:tcBorders/>
            <w:shd w:fill="auto" w:val="clear"/>
            <w:vAlign w:val="center"/>
          </w:tcPr>
          <w:p>
            <w:pPr>
              <w:pStyle w:val="TableContents"/>
              <w:spacing w:before="0" w:after="283"/>
              <w:jc w:val="left"/>
              <w:rPr/>
            </w:pPr>
            <w:r>
              <w:rPr/>
              <w:t>*</w:t>
            </w:r>
          </w:p>
        </w:tc>
        <w:tc>
          <w:tcPr>
            <w:tcW w:w="1295" w:type="dxa"/>
            <w:tcBorders/>
            <w:shd w:fill="auto" w:val="clear"/>
            <w:vAlign w:val="center"/>
          </w:tcPr>
          <w:p>
            <w:pPr>
              <w:pStyle w:val="TableContents"/>
              <w:spacing w:before="0" w:after="0"/>
              <w:jc w:val="left"/>
              <w:rPr>
                <w:rFonts w:ascii="ARIAL" w:hAnsi="ARIAL"/>
                <w:sz w:val="20"/>
              </w:rPr>
            </w:pPr>
            <w:r>
              <w:rPr>
                <w:rFonts w:ascii="ARIAL" w:hAnsi="ARIAL"/>
                <w:sz w:val="20"/>
              </w:rPr>
              <w:t xml:space="preserve">Less than 1% </w:t>
            </w:r>
          </w:p>
        </w:tc>
      </w:tr>
    </w:tbl>
    <w:p>
      <w:pPr>
        <w:pStyle w:val="TextBody"/>
        <w:spacing w:before="200" w:after="0"/>
        <w:jc w:val="left"/>
        <w:rPr>
          <w:rFonts w:ascii="ARIAL" w:hAnsi="ARIAL"/>
          <w:b/>
          <w:sz w:val="20"/>
          <w:u w:val="single"/>
        </w:rPr>
      </w:pPr>
      <w:bookmarkStart w:id="8" w:name="toc360141_6"/>
      <w:bookmarkEnd w:id="8"/>
      <w:r>
        <w:rPr>
          <w:rFonts w:ascii="ARIAL" w:hAnsi="ARIAL"/>
          <w:b/>
          <w:sz w:val="20"/>
          <w:u w:val="single"/>
        </w:rPr>
        <w:t xml:space="preserve">DELINQUENT SECTION 16(A) REPORTS </w:t>
      </w:r>
    </w:p>
    <w:p>
      <w:pPr>
        <w:pStyle w:val="TextBody"/>
        <w:spacing w:before="200" w:after="0"/>
        <w:jc w:val="left"/>
        <w:rPr>
          <w:rFonts w:ascii="ARIAL" w:hAnsi="ARIAL"/>
          <w:sz w:val="20"/>
        </w:rPr>
      </w:pPr>
      <w:r>
        <w:rPr>
          <w:rFonts w:ascii="ARIAL" w:hAnsi="ARIAL"/>
          <w:sz w:val="20"/>
        </w:rPr>
        <w:t xml:space="preserve">Section 16(a) of the Exchange Act requires our executive officers, directors and persons who beneficially own greater than 10% of a registered class of our equity securities to file reports of ownership and changes in ownership with the SEC. To our knowledge, based solely on our review of Section 16(a) reports filed during 2022 and on representations from all reporting persons who are our directors and executive officers that no other Section 16(a) reports were required to be filed by them during 2022, we believe that during 2022 all of our officers, directors and greater than 10% beneficial owners filed all Section 16(a) reports on a timely basis, except that an amended Form 4 was filed on November 4, 2022 on behalf of Mr. Hingtgen to reflect the sale of 1,666 shares of Common Stock associated with the cashless exercise of an option made in August 2014, which had been inadvertently omitted, as a result of an administrative error, from a prior Form 4 filing made in August 2014, reporting the exercise of such option. </w:t>
      </w:r>
    </w:p>
    <w:p>
      <w:pPr>
        <w:pStyle w:val="TextBody"/>
        <w:spacing w:before="200" w:after="0"/>
        <w:jc w:val="left"/>
        <w:rPr>
          <w:rFonts w:ascii="ARIAL" w:hAnsi="ARIAL"/>
          <w:b/>
          <w:sz w:val="20"/>
          <w:u w:val="single"/>
        </w:rPr>
      </w:pPr>
      <w:bookmarkStart w:id="9" w:name="toc360141_7"/>
      <w:bookmarkEnd w:id="9"/>
      <w:r>
        <w:rPr>
          <w:rFonts w:ascii="ARIAL" w:hAnsi="ARIAL"/>
          <w:b/>
          <w:sz w:val="20"/>
          <w:u w:val="single"/>
        </w:rPr>
        <w:t xml:space="preserve">RELATIONSHIPS AND CERTAIN TRANSACTIONS BETWEEN THE COMPANY AND ITS OFFICERS, DIRECTORS AND 5% BENEFICIAL OWNERS AND THEIR FAMILY MEMBERS </w:t>
      </w:r>
    </w:p>
    <w:p>
      <w:pPr>
        <w:pStyle w:val="TextBody"/>
        <w:spacing w:before="200" w:after="0"/>
        <w:jc w:val="left"/>
        <w:rPr>
          <w:rFonts w:ascii="ARIAL" w:hAnsi="ARIAL"/>
          <w:sz w:val="20"/>
        </w:rPr>
      </w:pPr>
      <w:r>
        <w:rPr>
          <w:rFonts w:ascii="ARIAL" w:hAnsi="ARIAL"/>
          <w:sz w:val="20"/>
        </w:rPr>
        <w:t xml:space="preserve">Except as otherwise noted below, since January 1, 2022, the Company has not been a participant in any transaction, and is not a participant in any currently proposed transaction, in which any related party had or will have a direct or indirect material interest that would require disclosure under Item 404(a) of Regulation S-K. </w:t>
      </w:r>
    </w:p>
    <w:p>
      <w:pPr>
        <w:pStyle w:val="TextBody"/>
        <w:spacing w:before="200" w:after="0"/>
        <w:jc w:val="left"/>
        <w:rPr>
          <w:rFonts w:ascii="ARIAL" w:hAnsi="ARIAL"/>
          <w:sz w:val="20"/>
        </w:rPr>
      </w:pPr>
      <w:r>
        <w:rPr>
          <w:rFonts w:ascii="ARIAL" w:hAnsi="ARIAL"/>
          <w:sz w:val="20"/>
        </w:rPr>
        <w:t xml:space="preserve">A subsidiary of the Company employs Rebecca Pitt, the spouse of Justin D. Pitt, Executive Vice President, General Counsel and Assistant Secretary of the Company. Ms. Pitt serves as a Vice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32 </w:t>
      </w:r>
      <w:r>
        <w:br w:type="page"/>
      </w:r>
    </w:p>
    <w:p>
      <w:pPr>
        <w:pStyle w:val="HorizontalLine"/>
        <w:rPr/>
      </w:pPr>
      <w:r>
        <w:rPr/>
      </w:r>
    </w:p>
    <w:p>
      <w:pPr>
        <w:pStyle w:val="TextBody"/>
        <w:spacing w:before="0" w:after="0"/>
        <w:jc w:val="left"/>
        <w:rPr>
          <w:rFonts w:ascii="ARIAL" w:hAnsi="ARIAL"/>
          <w:sz w:val="20"/>
        </w:rPr>
      </w:pPr>
      <w:r>
        <w:rPr>
          <w:rFonts w:ascii="ARIAL" w:hAnsi="ARIAL"/>
          <w:sz w:val="20"/>
        </w:rPr>
        <w:t xml:space="preserve">President of Corporate Communications, a position she held prior to her marriage to Mr. Pitt. Mr. Pitt has no input or oversight regarding Ms. Pitt’s compensation and other terms of employment, which are consistent with those of other employees of Ms. Pitt’s level of responsibility, seniority and performance. Ms. Pitt’s total compensation for 2022, including base salary, cash bonus and the grant date fair value of all equity awards did not exceed $300,000 and her target total compensation is not expected to change materially for 2023. </w:t>
      </w:r>
    </w:p>
    <w:p>
      <w:pPr>
        <w:pStyle w:val="TextBody"/>
        <w:spacing w:before="200" w:after="0"/>
        <w:jc w:val="left"/>
        <w:rPr>
          <w:rFonts w:ascii="ARIAL" w:hAnsi="ARIAL"/>
          <w:sz w:val="20"/>
        </w:rPr>
      </w:pPr>
      <w:r>
        <w:rPr>
          <w:rFonts w:ascii="ARIAL" w:hAnsi="ARIAL"/>
          <w:sz w:val="20"/>
        </w:rPr>
        <w:t xml:space="preserve">The Company applies the following policy and procedure with respect to related person transactions. Any potential related party transactions are first referred to our General Counsel to determine if they are within the scope of the Company’s written related party transactions policy. Under the Company’s policy, “related person transaction” means those transactions, arrangements or relationships involving the Company and any of its subsidiaries, on the one hand, and any “related person,” on the other hand, excluding any exempted transactions (as described below). Under this policy, a “related person” is defined to mean any person who is, or at any time since the beginning of the Company’s last fiscal year was, a director or an executive officer of the Company, any director nominee, any immediate family member of any of the foregoing persons, any person who, at the time of the occurrence or existence of the transaction at issue, is known to the Company to be a beneficial owner of 5% or more of the Company’s Common Stock (our only class of voting securities) or any immediate family member of such owner, or any entity in which any of the foregoing persons is employed or is a general partner or principal or in a similar position or in which any of the foregoing persons has a 5% or more beneficial ownership interest. The Company’s policy exempts related person transactions if it is determined by our General Counsel that the direct or indirect interest a related person had, has or will have in the transaction is not material or that such transaction is not otherwise required to be disclosed pursuant to Item 404(a) of Regulation S-K. If any such transaction is within the scope of the Company’s related party transactions policy, the transaction must be reviewed by the Audit and Compliance Committee (or, in those instances in which our General Counsel, in consultation with the Chief Executive Officer or Chief Financial Officer, determines that it is not practicable or desirable for the Company to wait until the next Committee meeting, will be reviewed by the Chair of the Audit and Compliance Committee, who has delegated authority to act between Committee meetings) to consider and determine whether, among other factors, the benefits of the relationship outweigh the potential conflicts inherent in such relationships and whether the transaction is otherwise in compliance with the Company’s Code of Conduct and other policies, including for example, the independence standards of the Governance Guidelines of the Board of Directors. Related person transactions are reviewed not less frequently than annually if they are to continue beyond the year in which the transaction is initiated. </w:t>
      </w:r>
    </w:p>
    <w:p>
      <w:pPr>
        <w:pStyle w:val="TextBody"/>
        <w:spacing w:before="200" w:after="0"/>
        <w:jc w:val="left"/>
        <w:rPr>
          <w:rFonts w:ascii="ARIAL" w:hAnsi="ARIAL"/>
          <w:sz w:val="20"/>
        </w:rPr>
      </w:pPr>
      <w:r>
        <w:rPr>
          <w:rFonts w:ascii="ARIAL" w:hAnsi="ARIAL"/>
          <w:sz w:val="20"/>
        </w:rPr>
        <w:t xml:space="preserve">The Audit and Compliance Committee approved the employment terms of Ms. Pitt, as noted above, and the Company otherwise complied with its related person transaction policy as noted above in connection with such transaction. </w:t>
      </w:r>
    </w:p>
    <w:p>
      <w:pPr>
        <w:pStyle w:val="TextBody"/>
        <w:spacing w:before="200" w:after="0"/>
        <w:jc w:val="left"/>
        <w:rPr>
          <w:rFonts w:ascii="ARIAL" w:hAnsi="ARIAL"/>
          <w:b/>
          <w:sz w:val="20"/>
          <w:u w:val="single"/>
        </w:rPr>
      </w:pPr>
      <w:bookmarkStart w:id="10" w:name="toc360141_8"/>
      <w:bookmarkEnd w:id="10"/>
      <w:r>
        <w:rPr>
          <w:rFonts w:ascii="ARIAL" w:hAnsi="ARIAL"/>
          <w:b/>
          <w:sz w:val="20"/>
          <w:u w:val="single"/>
        </w:rPr>
        <w:t xml:space="preserve">COMPENSATION COMMITTEE INTERLOCKS AND INSIDER PARTICIPATION </w:t>
      </w:r>
    </w:p>
    <w:p>
      <w:pPr>
        <w:pStyle w:val="TextBody"/>
        <w:spacing w:before="200" w:after="0"/>
        <w:jc w:val="left"/>
        <w:rPr>
          <w:rFonts w:ascii="ARIAL" w:hAnsi="ARIAL"/>
          <w:sz w:val="20"/>
        </w:rPr>
      </w:pPr>
      <w:r>
        <w:rPr>
          <w:rFonts w:ascii="ARIAL" w:hAnsi="ARIAL"/>
          <w:sz w:val="20"/>
        </w:rPr>
        <w:t xml:space="preserve">During 2022, John A. Clerico, James S. Ely III, John A. Fry and Elizabeth T. Hirsch served as members of the Compensation Committee. None of these persons has at any time been an officer or employee of the Company or any of its subsidiaries. In addition, there are no relationships among our executive officers, members of the Compensation Committee or entities whose executives serve on the Board of Directors or the Compensation Committee that require disclosure under applicable rules of the SEC.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33 </w:t>
      </w:r>
      <w:r>
        <w:br w:type="page"/>
      </w:r>
    </w:p>
    <w:p>
      <w:pPr>
        <w:pStyle w:val="HorizontalLine"/>
        <w:rPr/>
      </w:pPr>
      <w:r>
        <w:rPr/>
      </w:r>
    </w:p>
    <w:p>
      <w:pPr>
        <w:pStyle w:val="TextBody"/>
        <w:spacing w:before="0" w:after="0"/>
        <w:jc w:val="left"/>
        <w:rPr>
          <w:rFonts w:ascii="ARIAL" w:hAnsi="ARIAL"/>
          <w:b/>
          <w:sz w:val="20"/>
        </w:rPr>
      </w:pPr>
      <w:bookmarkStart w:id="11" w:name="toc360141_9"/>
      <w:bookmarkEnd w:id="11"/>
      <w:r>
        <w:rPr>
          <w:rFonts w:ascii="ARIAL" w:hAnsi="ARIAL"/>
          <w:b/>
          <w:sz w:val="20"/>
          <w:u w:val="single"/>
        </w:rPr>
        <w:t>INFORMATION ABOUT OUR EXECUTIVE OFFICERS</w:t>
      </w:r>
      <w:r>
        <w:rPr>
          <w:rFonts w:ascii="ARIAL" w:hAnsi="ARIAL"/>
          <w:b/>
          <w:sz w:val="20"/>
        </w:rPr>
        <w:t xml:space="preserve"> </w:t>
      </w:r>
    </w:p>
    <w:p>
      <w:pPr>
        <w:pStyle w:val="TextBody"/>
        <w:spacing w:before="240" w:after="0"/>
        <w:jc w:val="left"/>
        <w:rPr>
          <w:rFonts w:ascii="ARIAL" w:hAnsi="ARIAL"/>
          <w:sz w:val="20"/>
        </w:rPr>
      </w:pPr>
      <w:r>
        <w:rPr>
          <w:rFonts w:ascii="ARIAL" w:hAnsi="ARIAL"/>
          <w:sz w:val="20"/>
        </w:rPr>
        <w:t xml:space="preserve">Each of our executive officers holds an identical position with CHS/Community Health Systems, Inc., and CHSPSC, LLC, two of our wholly-owned subsidiaries: </w:t>
      </w:r>
    </w:p>
    <w:p>
      <w:pPr>
        <w:pStyle w:val="TextBody"/>
        <w:spacing w:before="0" w:after="0"/>
        <w:jc w:val="left"/>
        <w:rPr/>
      </w:pPr>
      <w:r>
        <w:rPr/>
        <w:t> </w:t>
      </w:r>
    </w:p>
    <w:tbl>
      <w:tblPr>
        <w:tblW w:w="9165" w:type="dxa"/>
        <w:jc w:val="left"/>
        <w:tblInd w:w="0" w:type="dxa"/>
        <w:tblCellMar>
          <w:top w:w="0" w:type="dxa"/>
          <w:left w:w="0" w:type="dxa"/>
          <w:bottom w:w="0" w:type="dxa"/>
          <w:right w:w="0" w:type="dxa"/>
        </w:tblCellMar>
      </w:tblPr>
      <w:tblGrid>
        <w:gridCol w:w="2165"/>
        <w:gridCol w:w="60"/>
        <w:gridCol w:w="425"/>
        <w:gridCol w:w="120"/>
        <w:gridCol w:w="6395"/>
      </w:tblGrid>
      <w:tr>
        <w:trPr/>
        <w:tc>
          <w:tcPr>
            <w:tcW w:w="216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395" w:type="dxa"/>
            <w:tcBorders/>
            <w:shd w:fill="auto" w:val="clear"/>
            <w:vAlign w:val="center"/>
          </w:tcPr>
          <w:p>
            <w:pPr>
              <w:pStyle w:val="TableContents"/>
              <w:spacing w:before="0" w:after="283"/>
              <w:rPr>
                <w:sz w:val="4"/>
                <w:szCs w:val="4"/>
              </w:rPr>
            </w:pPr>
            <w:r>
              <w:rPr>
                <w:sz w:val="4"/>
                <w:szCs w:val="4"/>
              </w:rPr>
            </w:r>
          </w:p>
        </w:tc>
      </w:tr>
      <w:tr>
        <w:trPr/>
        <w:tc>
          <w:tcPr>
            <w:tcW w:w="2165" w:type="dxa"/>
            <w:tcBorders>
              <w:bottom w:val="single" w:sz="2" w:space="0" w:color="000000"/>
            </w:tcBorders>
            <w:shd w:fill="auto" w:val="clear"/>
            <w:tcMar>
              <w:bottom w:w="28" w:type="dxa"/>
            </w:tcMar>
            <w:vAlign w:val="center"/>
          </w:tcPr>
          <w:p>
            <w:pPr>
              <w:pStyle w:val="TableContents"/>
              <w:spacing w:before="0" w:after="20"/>
              <w:rPr>
                <w:rFonts w:ascii="ARIAL" w:hAnsi="ARIAL"/>
                <w:b/>
                <w:sz w:val="20"/>
              </w:rPr>
            </w:pPr>
            <w:r>
              <w:rPr>
                <w:rFonts w:ascii="ARIAL" w:hAnsi="ARIAL"/>
                <w:b/>
                <w:sz w:val="20"/>
              </w:rPr>
              <w:t>Name</w:t>
            </w:r>
          </w:p>
        </w:tc>
        <w:tc>
          <w:tcPr>
            <w:tcW w:w="60" w:type="dxa"/>
            <w:tcBorders/>
            <w:shd w:fill="auto" w:val="clear"/>
            <w:vAlign w:val="center"/>
          </w:tcPr>
          <w:p>
            <w:pPr>
              <w:pStyle w:val="TableContents"/>
              <w:spacing w:before="0" w:after="283"/>
              <w:rPr/>
            </w:pPr>
            <w:r>
              <w:rPr/>
              <w:t> </w:t>
            </w:r>
          </w:p>
        </w:tc>
        <w:tc>
          <w:tcPr>
            <w:tcW w:w="425" w:type="dxa"/>
            <w:tcBorders>
              <w:bottom w:val="single" w:sz="2" w:space="0" w:color="000000"/>
            </w:tcBorders>
            <w:shd w:fill="auto" w:val="clear"/>
            <w:tcMar>
              <w:bottom w:w="28" w:type="dxa"/>
            </w:tcMar>
            <w:vAlign w:val="center"/>
          </w:tcPr>
          <w:p>
            <w:pPr>
              <w:pStyle w:val="TableContents"/>
              <w:spacing w:before="0" w:after="283"/>
              <w:jc w:val="center"/>
              <w:rPr>
                <w:b/>
              </w:rPr>
            </w:pPr>
            <w:r>
              <w:rPr>
                <w:b/>
              </w:rPr>
              <w:t>Age</w:t>
            </w:r>
          </w:p>
        </w:tc>
        <w:tc>
          <w:tcPr>
            <w:tcW w:w="120" w:type="dxa"/>
            <w:tcBorders/>
            <w:shd w:fill="auto" w:val="clear"/>
            <w:vAlign w:val="center"/>
          </w:tcPr>
          <w:p>
            <w:pPr>
              <w:pStyle w:val="TableContents"/>
              <w:spacing w:before="0" w:after="283"/>
              <w:rPr/>
            </w:pPr>
            <w:r>
              <w:rPr/>
              <w:t>  </w:t>
            </w:r>
          </w:p>
        </w:tc>
        <w:tc>
          <w:tcPr>
            <w:tcW w:w="6395" w:type="dxa"/>
            <w:tcBorders>
              <w:bottom w:val="single" w:sz="2" w:space="0" w:color="000000"/>
            </w:tcBorders>
            <w:shd w:fill="auto" w:val="clear"/>
            <w:tcMar>
              <w:bottom w:w="28" w:type="dxa"/>
            </w:tcMar>
            <w:vAlign w:val="center"/>
          </w:tcPr>
          <w:p>
            <w:pPr>
              <w:pStyle w:val="TableContents"/>
              <w:spacing w:before="0" w:after="20"/>
              <w:jc w:val="center"/>
              <w:rPr>
                <w:rFonts w:ascii="ARIAL" w:hAnsi="ARIAL"/>
                <w:b/>
                <w:sz w:val="20"/>
              </w:rPr>
            </w:pPr>
            <w:r>
              <w:rPr>
                <w:rFonts w:ascii="ARIAL" w:hAnsi="ARIAL"/>
                <w:b/>
                <w:sz w:val="20"/>
              </w:rPr>
              <w:t>Position</w:t>
            </w:r>
          </w:p>
        </w:tc>
      </w:tr>
      <w:tr>
        <w:trPr/>
        <w:tc>
          <w:tcPr>
            <w:tcW w:w="2165" w:type="dxa"/>
            <w:tcBorders/>
            <w:shd w:fill="CCEEFF" w:val="clear"/>
            <w:vAlign w:val="center"/>
          </w:tcPr>
          <w:p>
            <w:pPr>
              <w:pStyle w:val="TableContents"/>
              <w:spacing w:before="0" w:after="0"/>
              <w:rPr>
                <w:rFonts w:ascii="ARIAL" w:hAnsi="ARIAL"/>
                <w:sz w:val="20"/>
              </w:rPr>
            </w:pPr>
            <w:r>
              <w:rPr>
                <w:rFonts w:ascii="ARIAL" w:hAnsi="ARIAL"/>
                <w:sz w:val="20"/>
              </w:rPr>
              <w:t>Tim L. Hingtgen</w:t>
            </w:r>
          </w:p>
        </w:tc>
        <w:tc>
          <w:tcPr>
            <w:tcW w:w="60" w:type="dxa"/>
            <w:tcBorders/>
            <w:shd w:fill="CCEEFF" w:val="clear"/>
            <w:vAlign w:val="center"/>
          </w:tcPr>
          <w:p>
            <w:pPr>
              <w:pStyle w:val="TableContents"/>
              <w:spacing w:before="0" w:after="283"/>
              <w:rPr/>
            </w:pPr>
            <w:r>
              <w:rPr/>
              <w:t> </w:t>
            </w:r>
          </w:p>
        </w:tc>
        <w:tc>
          <w:tcPr>
            <w:tcW w:w="425" w:type="dxa"/>
            <w:tcBorders/>
            <w:shd w:fill="CCEEFF" w:val="clear"/>
            <w:vAlign w:val="center"/>
          </w:tcPr>
          <w:p>
            <w:pPr>
              <w:pStyle w:val="TableContents"/>
              <w:spacing w:before="0" w:after="283"/>
              <w:jc w:val="center"/>
              <w:rPr/>
            </w:pPr>
            <w:r>
              <w:rPr/>
              <w:t>55</w:t>
            </w:r>
          </w:p>
        </w:tc>
        <w:tc>
          <w:tcPr>
            <w:tcW w:w="120" w:type="dxa"/>
            <w:tcBorders/>
            <w:shd w:fill="CCEEFF" w:val="clear"/>
            <w:vAlign w:val="center"/>
          </w:tcPr>
          <w:p>
            <w:pPr>
              <w:pStyle w:val="TableContents"/>
              <w:spacing w:before="0" w:after="283"/>
              <w:rPr/>
            </w:pPr>
            <w:r>
              <w:rPr/>
              <w:t>  </w:t>
            </w:r>
          </w:p>
        </w:tc>
        <w:tc>
          <w:tcPr>
            <w:tcW w:w="6395" w:type="dxa"/>
            <w:tcBorders/>
            <w:shd w:fill="CCEEFF" w:val="clear"/>
            <w:vAlign w:val="center"/>
          </w:tcPr>
          <w:p>
            <w:pPr>
              <w:pStyle w:val="TableContents"/>
              <w:spacing w:before="0" w:after="283"/>
              <w:rPr/>
            </w:pPr>
            <w:r>
              <w:rPr/>
              <w:t>Chief Executive Officer and Director</w:t>
            </w:r>
          </w:p>
        </w:tc>
      </w:tr>
      <w:tr>
        <w:trPr/>
        <w:tc>
          <w:tcPr>
            <w:tcW w:w="2165" w:type="dxa"/>
            <w:tcBorders/>
            <w:shd w:fill="auto" w:val="clear"/>
            <w:vAlign w:val="center"/>
          </w:tcPr>
          <w:p>
            <w:pPr>
              <w:pStyle w:val="TableContents"/>
              <w:spacing w:before="0" w:after="0"/>
              <w:rPr>
                <w:rFonts w:ascii="ARIAL" w:hAnsi="ARIAL"/>
                <w:sz w:val="20"/>
              </w:rPr>
            </w:pPr>
            <w:r>
              <w:rPr>
                <w:rFonts w:ascii="ARIAL" w:hAnsi="ARIAL"/>
                <w:sz w:val="20"/>
              </w:rPr>
              <w:t>Kevin J. Hammons</w:t>
            </w:r>
          </w:p>
        </w:tc>
        <w:tc>
          <w:tcPr>
            <w:tcW w:w="60"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283"/>
              <w:jc w:val="center"/>
              <w:rPr/>
            </w:pPr>
            <w:r>
              <w:rPr/>
              <w:t>57</w:t>
            </w:r>
          </w:p>
        </w:tc>
        <w:tc>
          <w:tcPr>
            <w:tcW w:w="120" w:type="dxa"/>
            <w:tcBorders/>
            <w:shd w:fill="auto" w:val="clear"/>
            <w:vAlign w:val="center"/>
          </w:tcPr>
          <w:p>
            <w:pPr>
              <w:pStyle w:val="TableContents"/>
              <w:spacing w:before="0" w:after="283"/>
              <w:rPr/>
            </w:pPr>
            <w:r>
              <w:rPr/>
              <w:t>  </w:t>
            </w:r>
          </w:p>
        </w:tc>
        <w:tc>
          <w:tcPr>
            <w:tcW w:w="6395" w:type="dxa"/>
            <w:tcBorders/>
            <w:shd w:fill="auto" w:val="clear"/>
            <w:vAlign w:val="center"/>
          </w:tcPr>
          <w:p>
            <w:pPr>
              <w:pStyle w:val="TableContents"/>
              <w:spacing w:before="0" w:after="283"/>
              <w:rPr/>
            </w:pPr>
            <w:r>
              <w:rPr/>
              <w:t>President and Chief Financial Officer</w:t>
            </w:r>
          </w:p>
        </w:tc>
      </w:tr>
      <w:tr>
        <w:trPr/>
        <w:tc>
          <w:tcPr>
            <w:tcW w:w="2165" w:type="dxa"/>
            <w:tcBorders/>
            <w:shd w:fill="CCEEFF" w:val="clear"/>
            <w:vAlign w:val="center"/>
          </w:tcPr>
          <w:p>
            <w:pPr>
              <w:pStyle w:val="TableContents"/>
              <w:spacing w:before="0" w:after="0"/>
              <w:rPr>
                <w:rFonts w:ascii="ARIAL" w:hAnsi="ARIAL"/>
                <w:sz w:val="20"/>
              </w:rPr>
            </w:pPr>
            <w:r>
              <w:rPr>
                <w:rFonts w:ascii="ARIAL" w:hAnsi="ARIAL"/>
                <w:sz w:val="20"/>
              </w:rPr>
              <w:t>Lynn T. Simon, M.D.</w:t>
            </w:r>
          </w:p>
        </w:tc>
        <w:tc>
          <w:tcPr>
            <w:tcW w:w="60" w:type="dxa"/>
            <w:tcBorders/>
            <w:shd w:fill="CCEEFF" w:val="clear"/>
            <w:vAlign w:val="center"/>
          </w:tcPr>
          <w:p>
            <w:pPr>
              <w:pStyle w:val="TableContents"/>
              <w:spacing w:before="0" w:after="283"/>
              <w:rPr/>
            </w:pPr>
            <w:r>
              <w:rPr/>
              <w:t> </w:t>
            </w:r>
          </w:p>
        </w:tc>
        <w:tc>
          <w:tcPr>
            <w:tcW w:w="425" w:type="dxa"/>
            <w:tcBorders/>
            <w:shd w:fill="CCEEFF" w:val="clear"/>
            <w:vAlign w:val="center"/>
          </w:tcPr>
          <w:p>
            <w:pPr>
              <w:pStyle w:val="TableContents"/>
              <w:spacing w:before="0" w:after="283"/>
              <w:jc w:val="center"/>
              <w:rPr/>
            </w:pPr>
            <w:r>
              <w:rPr/>
              <w:t>63</w:t>
            </w:r>
          </w:p>
        </w:tc>
        <w:tc>
          <w:tcPr>
            <w:tcW w:w="120" w:type="dxa"/>
            <w:tcBorders/>
            <w:shd w:fill="CCEEFF" w:val="clear"/>
            <w:vAlign w:val="center"/>
          </w:tcPr>
          <w:p>
            <w:pPr>
              <w:pStyle w:val="TableContents"/>
              <w:spacing w:before="0" w:after="283"/>
              <w:rPr/>
            </w:pPr>
            <w:r>
              <w:rPr/>
              <w:t>  </w:t>
            </w:r>
          </w:p>
        </w:tc>
        <w:tc>
          <w:tcPr>
            <w:tcW w:w="6395" w:type="dxa"/>
            <w:tcBorders/>
            <w:shd w:fill="CCEEFF" w:val="clear"/>
            <w:vAlign w:val="center"/>
          </w:tcPr>
          <w:p>
            <w:pPr>
              <w:pStyle w:val="TableContents"/>
              <w:spacing w:before="0" w:after="283"/>
              <w:rPr/>
            </w:pPr>
            <w:r>
              <w:rPr/>
              <w:t>President of Clinical Operations and Chief Medical Officer</w:t>
            </w:r>
          </w:p>
        </w:tc>
      </w:tr>
      <w:tr>
        <w:trPr/>
        <w:tc>
          <w:tcPr>
            <w:tcW w:w="2165" w:type="dxa"/>
            <w:tcBorders/>
            <w:shd w:fill="auto" w:val="clear"/>
            <w:vAlign w:val="center"/>
          </w:tcPr>
          <w:p>
            <w:pPr>
              <w:pStyle w:val="TableContents"/>
              <w:spacing w:before="0" w:after="0"/>
              <w:rPr>
                <w:rFonts w:ascii="ARIAL" w:hAnsi="ARIAL"/>
                <w:sz w:val="20"/>
              </w:rPr>
            </w:pPr>
            <w:r>
              <w:rPr>
                <w:rFonts w:ascii="ARIAL" w:hAnsi="ARIAL"/>
                <w:sz w:val="20"/>
              </w:rPr>
              <w:t>Justin D. Pitt</w:t>
            </w:r>
          </w:p>
        </w:tc>
        <w:tc>
          <w:tcPr>
            <w:tcW w:w="60"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283"/>
              <w:jc w:val="center"/>
              <w:rPr/>
            </w:pPr>
            <w:r>
              <w:rPr/>
              <w:t>48</w:t>
            </w:r>
          </w:p>
        </w:tc>
        <w:tc>
          <w:tcPr>
            <w:tcW w:w="120" w:type="dxa"/>
            <w:tcBorders/>
            <w:shd w:fill="auto" w:val="clear"/>
            <w:vAlign w:val="center"/>
          </w:tcPr>
          <w:p>
            <w:pPr>
              <w:pStyle w:val="TableContents"/>
              <w:spacing w:before="0" w:after="283"/>
              <w:rPr/>
            </w:pPr>
            <w:r>
              <w:rPr/>
              <w:t>  </w:t>
            </w:r>
          </w:p>
        </w:tc>
        <w:tc>
          <w:tcPr>
            <w:tcW w:w="6395" w:type="dxa"/>
            <w:tcBorders/>
            <w:shd w:fill="auto" w:val="clear"/>
            <w:vAlign w:val="center"/>
          </w:tcPr>
          <w:p>
            <w:pPr>
              <w:pStyle w:val="TableContents"/>
              <w:spacing w:before="0" w:after="283"/>
              <w:rPr/>
            </w:pPr>
            <w:r>
              <w:rPr/>
              <w:t>Executive Vice President, General Counsel and Assistant Secretary</w:t>
            </w:r>
          </w:p>
        </w:tc>
      </w:tr>
      <w:tr>
        <w:trPr/>
        <w:tc>
          <w:tcPr>
            <w:tcW w:w="2165" w:type="dxa"/>
            <w:tcBorders/>
            <w:shd w:fill="CCEEFF" w:val="clear"/>
            <w:vAlign w:val="center"/>
          </w:tcPr>
          <w:p>
            <w:pPr>
              <w:pStyle w:val="TableContents"/>
              <w:spacing w:before="0" w:after="0"/>
              <w:rPr>
                <w:rFonts w:ascii="ARIAL" w:hAnsi="ARIAL"/>
                <w:sz w:val="20"/>
              </w:rPr>
            </w:pPr>
            <w:r>
              <w:rPr>
                <w:rFonts w:ascii="ARIAL" w:hAnsi="ARIAL"/>
                <w:sz w:val="20"/>
              </w:rPr>
              <w:t>Chad A. Campbell</w:t>
            </w:r>
          </w:p>
        </w:tc>
        <w:tc>
          <w:tcPr>
            <w:tcW w:w="60" w:type="dxa"/>
            <w:tcBorders/>
            <w:shd w:fill="CCEEFF" w:val="clear"/>
            <w:vAlign w:val="center"/>
          </w:tcPr>
          <w:p>
            <w:pPr>
              <w:pStyle w:val="TableContents"/>
              <w:spacing w:before="0" w:after="283"/>
              <w:rPr/>
            </w:pPr>
            <w:r>
              <w:rPr/>
              <w:t> </w:t>
            </w:r>
          </w:p>
        </w:tc>
        <w:tc>
          <w:tcPr>
            <w:tcW w:w="425" w:type="dxa"/>
            <w:tcBorders/>
            <w:shd w:fill="CCEEFF" w:val="clear"/>
            <w:vAlign w:val="center"/>
          </w:tcPr>
          <w:p>
            <w:pPr>
              <w:pStyle w:val="TableContents"/>
              <w:spacing w:before="0" w:after="283"/>
              <w:jc w:val="center"/>
              <w:rPr/>
            </w:pPr>
            <w:r>
              <w:rPr/>
              <w:t>53</w:t>
            </w:r>
          </w:p>
        </w:tc>
        <w:tc>
          <w:tcPr>
            <w:tcW w:w="120" w:type="dxa"/>
            <w:tcBorders/>
            <w:shd w:fill="CCEEFF" w:val="clear"/>
            <w:vAlign w:val="center"/>
          </w:tcPr>
          <w:p>
            <w:pPr>
              <w:pStyle w:val="TableContents"/>
              <w:spacing w:before="0" w:after="283"/>
              <w:rPr/>
            </w:pPr>
            <w:r>
              <w:rPr/>
              <w:t>  </w:t>
            </w:r>
          </w:p>
        </w:tc>
        <w:tc>
          <w:tcPr>
            <w:tcW w:w="6395" w:type="dxa"/>
            <w:tcBorders/>
            <w:shd w:fill="CCEEFF" w:val="clear"/>
            <w:vAlign w:val="center"/>
          </w:tcPr>
          <w:p>
            <w:pPr>
              <w:pStyle w:val="TableContents"/>
              <w:spacing w:before="0" w:after="283"/>
              <w:rPr/>
            </w:pPr>
            <w:r>
              <w:rPr/>
              <w:t>Regional President – Region Operations</w:t>
            </w:r>
          </w:p>
        </w:tc>
      </w:tr>
      <w:tr>
        <w:trPr/>
        <w:tc>
          <w:tcPr>
            <w:tcW w:w="2165" w:type="dxa"/>
            <w:tcBorders/>
            <w:shd w:fill="auto" w:val="clear"/>
            <w:vAlign w:val="center"/>
          </w:tcPr>
          <w:p>
            <w:pPr>
              <w:pStyle w:val="TableContents"/>
              <w:spacing w:before="0" w:after="0"/>
              <w:rPr>
                <w:rFonts w:ascii="ARIAL" w:hAnsi="ARIAL"/>
                <w:sz w:val="20"/>
              </w:rPr>
            </w:pPr>
            <w:r>
              <w:rPr>
                <w:rFonts w:ascii="ARIAL" w:hAnsi="ARIAL"/>
                <w:sz w:val="20"/>
              </w:rPr>
              <w:t>Austen D. (Drew) Mason</w:t>
            </w:r>
          </w:p>
        </w:tc>
        <w:tc>
          <w:tcPr>
            <w:tcW w:w="60"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283"/>
              <w:jc w:val="center"/>
              <w:rPr/>
            </w:pPr>
            <w:r>
              <w:rPr/>
              <w:t>36</w:t>
            </w:r>
          </w:p>
        </w:tc>
        <w:tc>
          <w:tcPr>
            <w:tcW w:w="120" w:type="dxa"/>
            <w:tcBorders/>
            <w:shd w:fill="auto" w:val="clear"/>
            <w:vAlign w:val="center"/>
          </w:tcPr>
          <w:p>
            <w:pPr>
              <w:pStyle w:val="TableContents"/>
              <w:spacing w:before="0" w:after="283"/>
              <w:rPr/>
            </w:pPr>
            <w:r>
              <w:rPr/>
              <w:t>  </w:t>
            </w:r>
          </w:p>
        </w:tc>
        <w:tc>
          <w:tcPr>
            <w:tcW w:w="6395" w:type="dxa"/>
            <w:tcBorders/>
            <w:shd w:fill="auto" w:val="clear"/>
            <w:vAlign w:val="center"/>
          </w:tcPr>
          <w:p>
            <w:pPr>
              <w:pStyle w:val="TableContents"/>
              <w:spacing w:before="0" w:after="283"/>
              <w:rPr/>
            </w:pPr>
            <w:r>
              <w:rPr/>
              <w:t>Regional President – Region Operations</w:t>
            </w:r>
          </w:p>
        </w:tc>
      </w:tr>
      <w:tr>
        <w:trPr/>
        <w:tc>
          <w:tcPr>
            <w:tcW w:w="2165" w:type="dxa"/>
            <w:tcBorders/>
            <w:shd w:fill="CCEEFF" w:val="clear"/>
            <w:vAlign w:val="center"/>
          </w:tcPr>
          <w:p>
            <w:pPr>
              <w:pStyle w:val="TableContents"/>
              <w:spacing w:before="0" w:after="0"/>
              <w:rPr>
                <w:rFonts w:ascii="ARIAL" w:hAnsi="ARIAL"/>
                <w:sz w:val="20"/>
              </w:rPr>
            </w:pPr>
            <w:r>
              <w:rPr>
                <w:rFonts w:ascii="ARIAL" w:hAnsi="ARIAL"/>
                <w:sz w:val="20"/>
              </w:rPr>
              <w:t>Mark B. Medley</w:t>
            </w:r>
          </w:p>
        </w:tc>
        <w:tc>
          <w:tcPr>
            <w:tcW w:w="60" w:type="dxa"/>
            <w:tcBorders/>
            <w:shd w:fill="CCEEFF" w:val="clear"/>
            <w:vAlign w:val="center"/>
          </w:tcPr>
          <w:p>
            <w:pPr>
              <w:pStyle w:val="TableContents"/>
              <w:spacing w:before="0" w:after="283"/>
              <w:rPr/>
            </w:pPr>
            <w:r>
              <w:rPr/>
              <w:t> </w:t>
            </w:r>
          </w:p>
        </w:tc>
        <w:tc>
          <w:tcPr>
            <w:tcW w:w="425" w:type="dxa"/>
            <w:tcBorders/>
            <w:shd w:fill="CCEEFF" w:val="clear"/>
            <w:vAlign w:val="center"/>
          </w:tcPr>
          <w:p>
            <w:pPr>
              <w:pStyle w:val="TableContents"/>
              <w:spacing w:before="0" w:after="283"/>
              <w:jc w:val="center"/>
              <w:rPr/>
            </w:pPr>
            <w:r>
              <w:rPr/>
              <w:t>57</w:t>
            </w:r>
          </w:p>
        </w:tc>
        <w:tc>
          <w:tcPr>
            <w:tcW w:w="120" w:type="dxa"/>
            <w:tcBorders/>
            <w:shd w:fill="CCEEFF" w:val="clear"/>
            <w:vAlign w:val="center"/>
          </w:tcPr>
          <w:p>
            <w:pPr>
              <w:pStyle w:val="TableContents"/>
              <w:spacing w:before="0" w:after="283"/>
              <w:rPr/>
            </w:pPr>
            <w:r>
              <w:rPr/>
              <w:t>  </w:t>
            </w:r>
          </w:p>
        </w:tc>
        <w:tc>
          <w:tcPr>
            <w:tcW w:w="6395" w:type="dxa"/>
            <w:tcBorders/>
            <w:shd w:fill="CCEEFF" w:val="clear"/>
            <w:vAlign w:val="center"/>
          </w:tcPr>
          <w:p>
            <w:pPr>
              <w:pStyle w:val="TableContents"/>
              <w:spacing w:before="0" w:after="283"/>
              <w:rPr/>
            </w:pPr>
            <w:r>
              <w:rPr/>
              <w:t>Regional President – Region Operations</w:t>
            </w:r>
          </w:p>
        </w:tc>
      </w:tr>
      <w:tr>
        <w:trPr/>
        <w:tc>
          <w:tcPr>
            <w:tcW w:w="2165" w:type="dxa"/>
            <w:tcBorders/>
            <w:shd w:fill="auto" w:val="clear"/>
            <w:vAlign w:val="center"/>
          </w:tcPr>
          <w:p>
            <w:pPr>
              <w:pStyle w:val="TableContents"/>
              <w:spacing w:before="0" w:after="0"/>
              <w:rPr>
                <w:rFonts w:ascii="ARIAL" w:hAnsi="ARIAL"/>
                <w:sz w:val="20"/>
              </w:rPr>
            </w:pPr>
            <w:r>
              <w:rPr>
                <w:rFonts w:ascii="ARIAL" w:hAnsi="ARIAL"/>
                <w:sz w:val="20"/>
              </w:rPr>
              <w:t>Kevin A. Stockton</w:t>
            </w:r>
          </w:p>
        </w:tc>
        <w:tc>
          <w:tcPr>
            <w:tcW w:w="60"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283"/>
              <w:jc w:val="center"/>
              <w:rPr/>
            </w:pPr>
            <w:r>
              <w:rPr/>
              <w:t>52</w:t>
            </w:r>
          </w:p>
        </w:tc>
        <w:tc>
          <w:tcPr>
            <w:tcW w:w="120" w:type="dxa"/>
            <w:tcBorders/>
            <w:shd w:fill="auto" w:val="clear"/>
            <w:vAlign w:val="center"/>
          </w:tcPr>
          <w:p>
            <w:pPr>
              <w:pStyle w:val="TableContents"/>
              <w:spacing w:before="0" w:after="283"/>
              <w:rPr/>
            </w:pPr>
            <w:r>
              <w:rPr/>
              <w:t>  </w:t>
            </w:r>
          </w:p>
        </w:tc>
        <w:tc>
          <w:tcPr>
            <w:tcW w:w="6395" w:type="dxa"/>
            <w:tcBorders/>
            <w:shd w:fill="auto" w:val="clear"/>
            <w:vAlign w:val="center"/>
          </w:tcPr>
          <w:p>
            <w:pPr>
              <w:pStyle w:val="TableContents"/>
              <w:spacing w:before="0" w:after="283"/>
              <w:rPr/>
            </w:pPr>
            <w:r>
              <w:rPr/>
              <w:t>Regional President – Region Operations</w:t>
            </w:r>
          </w:p>
        </w:tc>
      </w:tr>
      <w:tr>
        <w:trPr/>
        <w:tc>
          <w:tcPr>
            <w:tcW w:w="2165" w:type="dxa"/>
            <w:tcBorders/>
            <w:shd w:fill="CCEEFF" w:val="clear"/>
            <w:vAlign w:val="center"/>
          </w:tcPr>
          <w:p>
            <w:pPr>
              <w:pStyle w:val="TableContents"/>
              <w:spacing w:before="0" w:after="0"/>
              <w:rPr>
                <w:rFonts w:ascii="ARIAL" w:hAnsi="ARIAL"/>
                <w:sz w:val="20"/>
              </w:rPr>
            </w:pPr>
            <w:r>
              <w:rPr>
                <w:rFonts w:ascii="ARIAL" w:hAnsi="ARIAL"/>
                <w:sz w:val="20"/>
              </w:rPr>
              <w:t>Jason K. Johnson</w:t>
            </w:r>
          </w:p>
        </w:tc>
        <w:tc>
          <w:tcPr>
            <w:tcW w:w="60" w:type="dxa"/>
            <w:tcBorders/>
            <w:shd w:fill="CCEEFF" w:val="clear"/>
            <w:vAlign w:val="center"/>
          </w:tcPr>
          <w:p>
            <w:pPr>
              <w:pStyle w:val="TableContents"/>
              <w:spacing w:before="0" w:after="283"/>
              <w:rPr/>
            </w:pPr>
            <w:r>
              <w:rPr/>
              <w:t> </w:t>
            </w:r>
          </w:p>
        </w:tc>
        <w:tc>
          <w:tcPr>
            <w:tcW w:w="425" w:type="dxa"/>
            <w:tcBorders/>
            <w:shd w:fill="CCEEFF" w:val="clear"/>
            <w:vAlign w:val="center"/>
          </w:tcPr>
          <w:p>
            <w:pPr>
              <w:pStyle w:val="TableContents"/>
              <w:spacing w:before="0" w:after="283"/>
              <w:jc w:val="center"/>
              <w:rPr/>
            </w:pPr>
            <w:r>
              <w:rPr/>
              <w:t>48</w:t>
            </w:r>
          </w:p>
        </w:tc>
        <w:tc>
          <w:tcPr>
            <w:tcW w:w="120" w:type="dxa"/>
            <w:tcBorders/>
            <w:shd w:fill="CCEEFF" w:val="clear"/>
            <w:vAlign w:val="center"/>
          </w:tcPr>
          <w:p>
            <w:pPr>
              <w:pStyle w:val="TableContents"/>
              <w:spacing w:before="0" w:after="283"/>
              <w:rPr/>
            </w:pPr>
            <w:r>
              <w:rPr/>
              <w:t>  </w:t>
            </w:r>
          </w:p>
        </w:tc>
        <w:tc>
          <w:tcPr>
            <w:tcW w:w="6395" w:type="dxa"/>
            <w:tcBorders/>
            <w:shd w:fill="CCEEFF" w:val="clear"/>
            <w:vAlign w:val="center"/>
          </w:tcPr>
          <w:p>
            <w:pPr>
              <w:pStyle w:val="TableContents"/>
              <w:spacing w:before="0" w:after="283"/>
              <w:rPr/>
            </w:pPr>
            <w:r>
              <w:rPr/>
              <w:t>Senior Vice President and Chief Accounting Officer</w:t>
            </w:r>
          </w:p>
        </w:tc>
      </w:tr>
    </w:tbl>
    <w:p>
      <w:pPr>
        <w:pStyle w:val="TextBody"/>
        <w:spacing w:before="200" w:after="0"/>
        <w:jc w:val="left"/>
        <w:rPr>
          <w:rFonts w:ascii="ARIAL" w:hAnsi="ARIAL"/>
          <w:sz w:val="20"/>
        </w:rPr>
      </w:pPr>
      <w:r>
        <w:rPr>
          <w:rFonts w:ascii="ARIAL" w:hAnsi="ARIAL"/>
          <w:b/>
          <w:sz w:val="20"/>
        </w:rPr>
        <w:t>Tim L. Hingtgen</w:t>
      </w:r>
      <w:r>
        <w:rPr>
          <w:rFonts w:ascii="ARIAL" w:hAnsi="ARIAL"/>
          <w:sz w:val="20"/>
        </w:rPr>
        <w:t xml:space="preserve"> — The principal occupation and employment experience of Mr. Hingtgen during the last five years is set forth on page 27 of this Proxy Statement </w:t>
      </w:r>
    </w:p>
    <w:p>
      <w:pPr>
        <w:pStyle w:val="TextBody"/>
        <w:spacing w:before="200" w:after="0"/>
        <w:jc w:val="left"/>
        <w:rPr>
          <w:rFonts w:ascii="ARIAL" w:hAnsi="ARIAL"/>
          <w:sz w:val="20"/>
        </w:rPr>
      </w:pPr>
      <w:r>
        <w:rPr>
          <w:rFonts w:ascii="ARIAL" w:hAnsi="ARIAL"/>
          <w:b/>
          <w:sz w:val="20"/>
        </w:rPr>
        <w:t xml:space="preserve">Kevin J. Hammons </w:t>
      </w:r>
      <w:r>
        <w:rPr>
          <w:rFonts w:ascii="ARIAL" w:hAnsi="ARIAL"/>
          <w:sz w:val="20"/>
        </w:rPr>
        <w:t xml:space="preserve">serves as President and Chief Financial Officer. He joined us in 1997, and, in 2002, he was promoted to Assistant Vice President (later Vice President), Financial Reporting. In 2012, he was promoted to Vice President (later Senior Vice President) and Chief Accounting Officer. In 2017, Mr. Hammons was named Assistant Chief Financial Officer, and in 2018, he was also named Treasurer. In those roles, he was responsible for overseeing accounting and financial reporting, SEC reporting, budgeting, design and implementation of financial systems and processes, capital market transactions, corporate finance and treasury management functions, and the Company’s divestiture program. Mr. Hammons was promoted to Executive Vice President and Chief Financial Officer in 2020 and to President and Chief Financial Officer in February 2021. Prior to joining us, Mr. Hammons served in various positions in the Assurance and Advisory Services practice at Ernst &amp; Young LLP from 1988 until 1997, serving both public and privately-held companies. Mr. Hammons previously served as a member of the Board of Trustees of Malone University in Canton, Ohio. </w:t>
      </w:r>
    </w:p>
    <w:p>
      <w:pPr>
        <w:pStyle w:val="TextBody"/>
        <w:spacing w:before="200" w:after="0"/>
        <w:jc w:val="left"/>
        <w:rPr>
          <w:rFonts w:ascii="ARIAL" w:hAnsi="ARIAL"/>
          <w:sz w:val="20"/>
        </w:rPr>
      </w:pPr>
      <w:r>
        <w:rPr>
          <w:rFonts w:ascii="ARIAL" w:hAnsi="ARIAL"/>
          <w:b/>
          <w:sz w:val="20"/>
        </w:rPr>
        <w:t xml:space="preserve">Lynn T. Simon, M.D. </w:t>
      </w:r>
      <w:r>
        <w:rPr>
          <w:rFonts w:ascii="ARIAL" w:hAnsi="ARIAL"/>
          <w:sz w:val="20"/>
        </w:rPr>
        <w:t xml:space="preserve">serves as President of Clinical Operations and Chief Medical Officer. She has leadership responsibilities for all aspects of clinical operations, including quality and safety, clinical service lines, nursing, case management and post-acute services, including inpatient rehabilitation, skilled nursing and behavioral health. She also oversees medical staff relations, physician practice management, clinical informatics, telemedicine initiatives, and corporate support areas such as pharmacy and clinical documentation improvement. Upon joining us in 2010 and until she assumed her current position in January 2014, Dr. Simon served as Senior Vice President and Chief Quality Officer. She serves on the board of directors of Ascend Learning, LLC, a leading provider of educational content, software and analytics to institutions, students and employers in healthcare and other high-growth, licensure-driven professions, and also serves on its audit committee. Dr. Simon also served on the board of directors of Kindred Healthcare, Inc., a provider of post-acute care services, and on its audit committee and its quality of care and patient outcomes committee, from November 2016 until Kindred’s acquisition by a consortium led by Humana, Inc., in July 2018. Prior to joining us, Dr. Simon served as vice president of medical affairs at Jewish Hospital in Louisville, Kentucky from 2004 to 2005 and as senior vice president and chief medical officer of Jewish Hospital &amp; St. Mary’s HealthCare from 2005 to 2010, following the merger of Jewish Hospital and St. Mary’s HealthCare. She was a full-time practicing neurologist in Louisville, Kentucky from 1989 until 2005. She has a medical degree from the University of Louisville and a master’s degree in business administration from Bellarmine University in Louisville, Kentucky. Dr. Simon has been named to </w:t>
      </w:r>
      <w:r>
        <w:rPr>
          <w:rFonts w:ascii="ARIAL" w:hAnsi="ARIAL"/>
          <w:i/>
          <w:sz w:val="20"/>
        </w:rPr>
        <w:t>Modern Healthcare’s</w:t>
      </w:r>
      <w:r>
        <w:rPr>
          <w:rFonts w:ascii="ARIAL" w:hAnsi="ARIAL"/>
          <w:sz w:val="20"/>
        </w:rPr>
        <w:t xml:space="preserve"> 50 Most Influential Physician Executives and Leaders list and </w:t>
      </w:r>
      <w:r>
        <w:rPr>
          <w:rFonts w:ascii="ARIAL" w:hAnsi="ARIAL"/>
          <w:i/>
          <w:sz w:val="20"/>
        </w:rPr>
        <w:t>Modern Healthcare’s</w:t>
      </w:r>
      <w:r>
        <w:rPr>
          <w:rFonts w:ascii="ARIAL" w:hAnsi="ARIAL"/>
          <w:sz w:val="20"/>
        </w:rPr>
        <w:t xml:space="preserve"> biennial Top 25 Women in Healthcare list on multiple occasions.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34 </w:t>
      </w:r>
      <w:r>
        <w:br w:type="page"/>
      </w:r>
    </w:p>
    <w:p>
      <w:pPr>
        <w:pStyle w:val="HorizontalLine"/>
        <w:rPr/>
      </w:pPr>
      <w:r>
        <w:rPr/>
      </w:r>
    </w:p>
    <w:p>
      <w:pPr>
        <w:pStyle w:val="TextBody"/>
        <w:spacing w:before="0" w:after="0"/>
        <w:jc w:val="left"/>
        <w:rPr>
          <w:rFonts w:ascii="ARIAL" w:hAnsi="ARIAL"/>
          <w:sz w:val="20"/>
        </w:rPr>
      </w:pPr>
      <w:r>
        <w:rPr>
          <w:rFonts w:ascii="ARIAL" w:hAnsi="ARIAL"/>
          <w:b/>
          <w:sz w:val="20"/>
        </w:rPr>
        <w:t>Justin D. Pitt</w:t>
      </w:r>
      <w:r>
        <w:rPr>
          <w:rFonts w:ascii="ARIAL" w:hAnsi="ARIAL"/>
          <w:sz w:val="20"/>
        </w:rPr>
        <w:t xml:space="preserve"> serves as Executive Vice President, General Counsel and Assistant Secretary. He joined us in 2009 as Litigation Counsel after several years of private practice as a litigator and lobbyist to the Tennessee General Assembly. In 2017, he was promoted to Senior Vice President and Chief Litigation Counsel. In that role, he served as our primary counsel for litigation, managed care, reimbursement and other legal matters and also oversaw the operations of the legal and government relations departments. He was promoted to Executive Vice President, General Counsel and Assistant Secretary in March 2022. Mr. Pitt serves as a member of the American Health Lawyers Association and on the Federation of American Hospitals’ Medicaid and Managed Care Committee. He is a Fellow of the Nashville Health Care Council and a member of the Leaders Council of the Legal Services Corporation, the largest funder of civil legal aid for low income Americans in the United States. Mr. Pitt also serves on the boards of various non-profit organizations including One Willco and The Village at Glencliff, which provides medical respite and bridge housing for those experiencing homelessness. He received his law degree, Order of the Coif, from Washington University School of Law, where he was a William Webster Fellow. </w:t>
      </w:r>
    </w:p>
    <w:p>
      <w:pPr>
        <w:pStyle w:val="TextBody"/>
        <w:spacing w:before="200" w:after="0"/>
        <w:jc w:val="left"/>
        <w:rPr>
          <w:rFonts w:ascii="ARIAL" w:hAnsi="ARIAL"/>
          <w:sz w:val="20"/>
        </w:rPr>
      </w:pPr>
      <w:r>
        <w:rPr>
          <w:rFonts w:ascii="ARIAL" w:hAnsi="ARIAL"/>
          <w:b/>
          <w:sz w:val="20"/>
        </w:rPr>
        <w:t>Chad A. Campbell</w:t>
      </w:r>
      <w:r>
        <w:rPr>
          <w:rFonts w:ascii="ARIAL" w:hAnsi="ARIAL"/>
          <w:sz w:val="20"/>
        </w:rPr>
        <w:t xml:space="preserve"> serves as the Regional President – Region 4 Operations. In this role, he currently oversees the operations of our affiliated markets in Mississippi, Oklahoma, Tennessee and Texas. Mr. Campbell originally joined us in 2007 and served in hospital executive roles, including as chief executive officer, at various of our affiliated hospitals in the western United States. He was the chief executive officer at McKenzie-Willamette Medical Center, our formerly-affiliated hospital in Springfield, Oregon, when that hospital was included in our spin-off of Quorum Health Corporation in 2016. Mr. Campbell continued in that role with Quorum until 2018 when he rejoined us as a Vice President of Division Operations. He was promoted to Regional President in 2019. Mr. Campbell holds a master’s degree in health care administration from Trinity University. </w:t>
      </w:r>
    </w:p>
    <w:p>
      <w:pPr>
        <w:pStyle w:val="TextBody"/>
        <w:spacing w:before="200" w:after="0"/>
        <w:jc w:val="left"/>
        <w:rPr>
          <w:rFonts w:ascii="ARIAL" w:hAnsi="ARIAL"/>
          <w:sz w:val="20"/>
        </w:rPr>
      </w:pPr>
      <w:r>
        <w:rPr>
          <w:rFonts w:ascii="ARIAL" w:hAnsi="ARIAL"/>
          <w:b/>
          <w:sz w:val="20"/>
        </w:rPr>
        <w:t>Austen D. (Drew) Mason</w:t>
      </w:r>
      <w:r>
        <w:rPr>
          <w:rFonts w:ascii="ARIAL" w:hAnsi="ARIAL"/>
          <w:sz w:val="20"/>
        </w:rPr>
        <w:t xml:space="preserve"> serves as the Regional President – Region 1 Operations. In this role, he currently oversees the operations of our affiliated markets in Alabama, Florida and Georgia. Mr. Mason joined us in 2009 and served in various corporate operations roles. From 2012 through 2020, he served as a hospital executive at various of our affiliated hospitals in the southeast United States, including as chief executive officer of Grandview Medical Center in Birmingham, Alabama, from 2017 through 2020. Mr. Mason was promoted to Regional President in January 2021. He holds a master’s degree in business administration with a specialization in healthcare from Vanderbilt University. Mr. Mason is the nephew of Wayne T. Smith, the Chairman of the Board of Directors of the Company. </w:t>
      </w:r>
    </w:p>
    <w:p>
      <w:pPr>
        <w:pStyle w:val="TextBody"/>
        <w:spacing w:before="200" w:after="0"/>
        <w:jc w:val="left"/>
        <w:rPr>
          <w:rFonts w:ascii="ARIAL" w:hAnsi="ARIAL"/>
          <w:sz w:val="20"/>
        </w:rPr>
      </w:pPr>
      <w:r>
        <w:rPr>
          <w:rFonts w:ascii="ARIAL" w:hAnsi="ARIAL"/>
          <w:b/>
          <w:sz w:val="20"/>
        </w:rPr>
        <w:t>Mark B. Medley</w:t>
      </w:r>
      <w:r>
        <w:rPr>
          <w:rFonts w:ascii="ARIAL" w:hAnsi="ARIAL"/>
          <w:sz w:val="20"/>
        </w:rPr>
        <w:t xml:space="preserve"> serves as the Regional President – Region 3 Operations. In this role, he currently oversees the operations of our affiliated markets in Indiana, North Carolina, Pennsylvania and West Virginia. Mr. Medley joined us in this role in 2019. From 2018 to 2019, he was the chief executive officer and owner of Alee Healthcare Advisory Services. In that role, Mr. Medley provided healthcare advisory services to healthcare investors and providers. From 2016 to 2018, he was executive vice president and group president at RCCH Healthcare Partners, a privately-owned healthcare system operator in Brentwood, Tennessee. Mr. Medley also served in various senior executive roles with Capella Healthcare, Inc., a privately-owned healthcare system operator in Franklin, Tennessee, including service on Capella’s board of directors, from 2008 until Capella’s 2016 merger with RegionalCare Hospital Partners to form RCCH Healthcare Partners. Prior to that, Mr. Medley served in both corporate and hospital executive roles, including as a division chief financial officer and a hospital chief executive officer and chief financial officer, with other healthcare system operators. He holds a master’s degree in business administration with a concentration in healthcare management from Western Governors University. </w:t>
      </w:r>
    </w:p>
    <w:p>
      <w:pPr>
        <w:pStyle w:val="TextBody"/>
        <w:spacing w:before="200" w:after="0"/>
        <w:jc w:val="left"/>
        <w:rPr>
          <w:rFonts w:ascii="ARIAL" w:hAnsi="ARIAL"/>
          <w:sz w:val="20"/>
        </w:rPr>
      </w:pPr>
      <w:r>
        <w:rPr>
          <w:rFonts w:ascii="ARIAL" w:hAnsi="ARIAL"/>
          <w:b/>
          <w:sz w:val="20"/>
        </w:rPr>
        <w:t>Kevin A. Stockton</w:t>
      </w:r>
      <w:r>
        <w:rPr>
          <w:rFonts w:ascii="ARIAL" w:hAnsi="ARIAL"/>
          <w:sz w:val="20"/>
        </w:rPr>
        <w:t xml:space="preserve"> serves as the Regional President – Region 2 Operations. In this role, he currently oversees the operations of our affiliated markets in Alaska, Arizona, Arkansas, Missouri and New Mexico. Mr. Stockton joined us in 2011 as chief executive officer of Northwest Medical Center, the Company’s affiliated hospital in Tucson, Arizona. In 2015, he was promoted to market chief executive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35 </w:t>
      </w:r>
      <w:r>
        <w:br w:type="page"/>
      </w:r>
    </w:p>
    <w:p>
      <w:pPr>
        <w:pStyle w:val="HorizontalLine"/>
        <w:rPr/>
      </w:pPr>
      <w:r>
        <w:rPr/>
      </w:r>
    </w:p>
    <w:p>
      <w:pPr>
        <w:pStyle w:val="TextBody"/>
        <w:spacing w:before="0" w:after="0"/>
        <w:jc w:val="left"/>
        <w:rPr>
          <w:rFonts w:ascii="ARIAL" w:hAnsi="ARIAL"/>
          <w:sz w:val="20"/>
        </w:rPr>
      </w:pPr>
      <w:r>
        <w:rPr>
          <w:rFonts w:ascii="ARIAL" w:hAnsi="ARIAL"/>
          <w:sz w:val="20"/>
        </w:rPr>
        <w:t xml:space="preserve">officer for Arizona. He was promoted to Regional President in 2017. Prior to joining us, Mr. Stockton served in hospital executive roles, including as chief executive officer and chief operating officer, for hospitals in the western United States. Mr. Stockton holds a master’s degree in public administration from the University of Arizona. </w:t>
      </w:r>
    </w:p>
    <w:p>
      <w:pPr>
        <w:pStyle w:val="TextBody"/>
        <w:spacing w:before="200" w:after="0"/>
        <w:jc w:val="left"/>
        <w:rPr>
          <w:rFonts w:ascii="ARIAL" w:hAnsi="ARIAL"/>
          <w:sz w:val="20"/>
        </w:rPr>
      </w:pPr>
      <w:r>
        <w:rPr>
          <w:rFonts w:ascii="ARIAL" w:hAnsi="ARIAL"/>
          <w:b/>
          <w:sz w:val="20"/>
        </w:rPr>
        <w:t xml:space="preserve">Jason K. Johnson </w:t>
      </w:r>
      <w:r>
        <w:rPr>
          <w:rFonts w:ascii="ARIAL" w:hAnsi="ARIAL"/>
          <w:sz w:val="20"/>
        </w:rPr>
        <w:t xml:space="preserve">serves as Senior Vice President and Chief Accounting Officer. In this role, he is responsible for our Securities and Exchange Commission reporting matters, as well as overseeing various other accounting and financial reporting matters, including accounting policies and procedures, consolidations and accounting for acquisitions and divestitures. Mr. Johnson joined us in 2012 as Vice President, Assistant Corporate Controller, and in 2018 he was promoted to Vice President, Corporate Controller. In 2019, he was promoted to Vice President and Chief Accounting Officer, and he was promoted to Senior Vice President in 2020. Prior to joining us, Mr. Johnson held various positions in the assurance and advisory services practice at Deloitte &amp; Touche LLP. He also previously served as controller of an alternative energy marketing and distribution company. Mr. Johnson holds a master’s degree in accounting from the University of Kentucky. He is a member of the American Institute for Certified Public Accountants and Tennessee Society of Certified Public Accountants. </w:t>
      </w:r>
    </w:p>
    <w:p>
      <w:pPr>
        <w:pStyle w:val="TextBody"/>
        <w:spacing w:before="200" w:after="0"/>
        <w:jc w:val="left"/>
        <w:rPr>
          <w:rFonts w:ascii="ARIAL" w:hAnsi="ARIAL"/>
          <w:sz w:val="20"/>
        </w:rPr>
      </w:pPr>
      <w:r>
        <w:rPr>
          <w:rFonts w:ascii="ARIAL" w:hAnsi="ARIAL"/>
          <w:sz w:val="20"/>
        </w:rPr>
        <w:t xml:space="preserve">The executive officers named above were appointed by the Board to serve in such capacities until their respective successors have been duly appointed and qualified, or until their earlier death, resignation or removal from office. </w:t>
      </w:r>
    </w:p>
    <w:p>
      <w:pPr>
        <w:pStyle w:val="TextBody"/>
        <w:spacing w:before="200" w:after="0"/>
        <w:jc w:val="left"/>
        <w:rPr>
          <w:rFonts w:ascii="ARIAL" w:hAnsi="ARIAL"/>
          <w:b/>
          <w:i/>
          <w:sz w:val="20"/>
        </w:rPr>
      </w:pPr>
      <w:bookmarkStart w:id="12" w:name="toc360141_10"/>
      <w:bookmarkEnd w:id="12"/>
      <w:r>
        <w:rPr>
          <w:rFonts w:ascii="ARIAL" w:hAnsi="ARIAL"/>
          <w:b/>
          <w:i/>
          <w:sz w:val="20"/>
        </w:rPr>
        <w:t xml:space="preserve">PROPOSAL 1 — ELECTION OF DIRECTORS </w:t>
      </w:r>
    </w:p>
    <w:p>
      <w:pPr>
        <w:pStyle w:val="TextBody"/>
        <w:spacing w:before="200" w:after="0"/>
        <w:jc w:val="left"/>
        <w:rPr>
          <w:rFonts w:ascii="ARIAL" w:hAnsi="ARIAL"/>
          <w:sz w:val="20"/>
        </w:rPr>
      </w:pPr>
      <w:r>
        <w:rPr>
          <w:rFonts w:ascii="ARIAL" w:hAnsi="ARIAL"/>
          <w:sz w:val="20"/>
        </w:rPr>
        <w:t xml:space="preserve">Upon the recommendation of the Governance and Nominating Committee, the Board has nominated the twelve (12) persons listed below for election to serve as directors, each for a term of one (1) year and until his or her successor is elected and qualified. </w:t>
      </w:r>
    </w:p>
    <w:p>
      <w:pPr>
        <w:pStyle w:val="TextBody"/>
        <w:spacing w:before="200" w:after="0"/>
        <w:jc w:val="left"/>
        <w:rPr>
          <w:rFonts w:ascii="ARIAL" w:hAnsi="ARIAL"/>
          <w:sz w:val="20"/>
        </w:rPr>
      </w:pPr>
      <w:r>
        <w:rPr>
          <w:rFonts w:ascii="ARIAL" w:hAnsi="ARIAL"/>
          <w:sz w:val="20"/>
        </w:rPr>
        <w:t xml:space="preserve">The nominees for director are: </w:t>
      </w:r>
    </w:p>
    <w:p>
      <w:pPr>
        <w:pStyle w:val="TextBody"/>
        <w:spacing w:before="80" w:after="0"/>
        <w:jc w:val="left"/>
        <w:rPr>
          <w:rFonts w:ascii="ARIAL" w:hAnsi="ARIAL"/>
          <w:sz w:val="20"/>
        </w:rPr>
      </w:pPr>
      <w:r>
        <w:rPr>
          <w:rFonts w:ascii="ARIAL" w:hAnsi="ARIAL"/>
          <w:sz w:val="20"/>
        </w:rPr>
        <w:t xml:space="preserve">Susan W. Brooks </w:t>
      </w:r>
    </w:p>
    <w:p>
      <w:pPr>
        <w:pStyle w:val="TextBody"/>
        <w:spacing w:before="80" w:after="0"/>
        <w:jc w:val="left"/>
        <w:rPr>
          <w:rFonts w:ascii="ARIAL" w:hAnsi="ARIAL"/>
          <w:sz w:val="20"/>
        </w:rPr>
      </w:pPr>
      <w:r>
        <w:rPr>
          <w:rFonts w:ascii="ARIAL" w:hAnsi="ARIAL"/>
          <w:sz w:val="20"/>
        </w:rPr>
        <w:t xml:space="preserve">John A. Clerico </w:t>
      </w:r>
    </w:p>
    <w:p>
      <w:pPr>
        <w:pStyle w:val="TextBody"/>
        <w:spacing w:before="80" w:after="0"/>
        <w:jc w:val="left"/>
        <w:rPr>
          <w:rFonts w:ascii="ARIAL" w:hAnsi="ARIAL"/>
          <w:sz w:val="20"/>
        </w:rPr>
      </w:pPr>
      <w:r>
        <w:rPr>
          <w:rFonts w:ascii="ARIAL" w:hAnsi="ARIAL"/>
          <w:sz w:val="20"/>
        </w:rPr>
        <w:t xml:space="preserve">Michael Dinkins </w:t>
      </w:r>
    </w:p>
    <w:p>
      <w:pPr>
        <w:pStyle w:val="TextBody"/>
        <w:spacing w:before="80" w:after="0"/>
        <w:jc w:val="left"/>
        <w:rPr>
          <w:rFonts w:ascii="ARIAL" w:hAnsi="ARIAL"/>
          <w:sz w:val="20"/>
        </w:rPr>
      </w:pPr>
      <w:r>
        <w:rPr>
          <w:rFonts w:ascii="ARIAL" w:hAnsi="ARIAL"/>
          <w:sz w:val="20"/>
        </w:rPr>
        <w:t xml:space="preserve">James S. Ely III </w:t>
      </w:r>
    </w:p>
    <w:p>
      <w:pPr>
        <w:pStyle w:val="TextBody"/>
        <w:spacing w:before="80" w:after="0"/>
        <w:jc w:val="left"/>
        <w:rPr>
          <w:rFonts w:ascii="ARIAL" w:hAnsi="ARIAL"/>
          <w:sz w:val="20"/>
        </w:rPr>
      </w:pPr>
      <w:r>
        <w:rPr>
          <w:rFonts w:ascii="ARIAL" w:hAnsi="ARIAL"/>
          <w:sz w:val="20"/>
        </w:rPr>
        <w:t xml:space="preserve">John A. Fry </w:t>
      </w:r>
    </w:p>
    <w:p>
      <w:pPr>
        <w:pStyle w:val="TextBody"/>
        <w:spacing w:before="80" w:after="0"/>
        <w:jc w:val="left"/>
        <w:rPr>
          <w:rFonts w:ascii="ARIAL" w:hAnsi="ARIAL"/>
          <w:sz w:val="20"/>
        </w:rPr>
      </w:pPr>
      <w:r>
        <w:rPr>
          <w:rFonts w:ascii="ARIAL" w:hAnsi="ARIAL"/>
          <w:sz w:val="20"/>
        </w:rPr>
        <w:t xml:space="preserve">Joseph A. Hastings, D.M.D. </w:t>
      </w:r>
    </w:p>
    <w:p>
      <w:pPr>
        <w:pStyle w:val="TextBody"/>
        <w:spacing w:before="80" w:after="0"/>
        <w:jc w:val="left"/>
        <w:rPr>
          <w:rFonts w:ascii="ARIAL" w:hAnsi="ARIAL"/>
          <w:sz w:val="20"/>
        </w:rPr>
      </w:pPr>
      <w:r>
        <w:rPr>
          <w:rFonts w:ascii="ARIAL" w:hAnsi="ARIAL"/>
          <w:sz w:val="20"/>
        </w:rPr>
        <w:t xml:space="preserve">Tim L. Hingtgen </w:t>
      </w:r>
    </w:p>
    <w:p>
      <w:pPr>
        <w:pStyle w:val="TextBody"/>
        <w:spacing w:before="80" w:after="0"/>
        <w:jc w:val="left"/>
        <w:rPr>
          <w:rFonts w:ascii="ARIAL" w:hAnsi="ARIAL"/>
          <w:sz w:val="20"/>
        </w:rPr>
      </w:pPr>
      <w:r>
        <w:rPr>
          <w:rFonts w:ascii="ARIAL" w:hAnsi="ARIAL"/>
          <w:sz w:val="20"/>
        </w:rPr>
        <w:t xml:space="preserve">Elizabeth T. Hirsch </w:t>
      </w:r>
    </w:p>
    <w:p>
      <w:pPr>
        <w:pStyle w:val="TextBody"/>
        <w:spacing w:before="80" w:after="0"/>
        <w:jc w:val="left"/>
        <w:rPr>
          <w:rFonts w:ascii="ARIAL" w:hAnsi="ARIAL"/>
          <w:sz w:val="20"/>
        </w:rPr>
      </w:pPr>
      <w:r>
        <w:rPr>
          <w:rFonts w:ascii="ARIAL" w:hAnsi="ARIAL"/>
          <w:sz w:val="20"/>
        </w:rPr>
        <w:t xml:space="preserve">William Norris Jennings, M.D. </w:t>
      </w:r>
    </w:p>
    <w:p>
      <w:pPr>
        <w:pStyle w:val="TextBody"/>
        <w:spacing w:before="80" w:after="0"/>
        <w:jc w:val="left"/>
        <w:rPr>
          <w:rFonts w:ascii="ARIAL" w:hAnsi="ARIAL"/>
          <w:sz w:val="20"/>
        </w:rPr>
      </w:pPr>
      <w:r>
        <w:rPr>
          <w:rFonts w:ascii="ARIAL" w:hAnsi="ARIAL"/>
          <w:sz w:val="20"/>
        </w:rPr>
        <w:t xml:space="preserve">K. Ranga Krishnan, MBBS </w:t>
      </w:r>
    </w:p>
    <w:p>
      <w:pPr>
        <w:pStyle w:val="TextBody"/>
        <w:spacing w:before="80" w:after="0"/>
        <w:jc w:val="left"/>
        <w:rPr>
          <w:rFonts w:ascii="ARIAL" w:hAnsi="ARIAL"/>
          <w:sz w:val="20"/>
        </w:rPr>
      </w:pPr>
      <w:r>
        <w:rPr>
          <w:rFonts w:ascii="ARIAL" w:hAnsi="ARIAL"/>
          <w:sz w:val="20"/>
        </w:rPr>
        <w:t xml:space="preserve">Wayne T. Smith </w:t>
      </w:r>
    </w:p>
    <w:p>
      <w:pPr>
        <w:pStyle w:val="TextBody"/>
        <w:spacing w:before="80" w:after="0"/>
        <w:jc w:val="left"/>
        <w:rPr>
          <w:rFonts w:ascii="ARIAL" w:hAnsi="ARIAL"/>
          <w:sz w:val="20"/>
        </w:rPr>
      </w:pPr>
      <w:r>
        <w:rPr>
          <w:rFonts w:ascii="ARIAL" w:hAnsi="ARIAL"/>
          <w:sz w:val="20"/>
        </w:rPr>
        <w:t xml:space="preserve">H. James Williams, Ph.D. </w:t>
      </w:r>
    </w:p>
    <w:p>
      <w:pPr>
        <w:pStyle w:val="TextBody"/>
        <w:spacing w:before="200" w:after="0"/>
        <w:jc w:val="left"/>
        <w:rPr>
          <w:rFonts w:ascii="ARIAL" w:hAnsi="ARIAL"/>
          <w:sz w:val="20"/>
        </w:rPr>
      </w:pPr>
      <w:r>
        <w:rPr>
          <w:rFonts w:ascii="ARIAL" w:hAnsi="ARIAL"/>
          <w:sz w:val="20"/>
        </w:rPr>
        <w:t xml:space="preserve">Each of the nominees is an incumbent. Each of the nominees has consented to being named as a director nominee in this Proxy Statement and has agreed to serve for the one (1) year term to which he or she has been nominated, if elected. If any of the nominees are unable to serve or refuses to serve as a director, the proxies will be voted in favor of such other nominee(s), if any, as the Board may designate. The Company has no reason to believe that any director nominee will be unable or unwilling to serve if elected as a director.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36 </w:t>
      </w:r>
      <w:r>
        <w:br w:type="page"/>
      </w:r>
    </w:p>
    <w:p>
      <w:pPr>
        <w:pStyle w:val="HorizontalLine"/>
        <w:rPr/>
      </w:pPr>
      <w:r>
        <w:rPr/>
      </w:r>
    </w:p>
    <w:p>
      <w:pPr>
        <w:pStyle w:val="TextBody"/>
        <w:spacing w:before="0" w:after="0"/>
        <w:jc w:val="left"/>
        <w:rPr>
          <w:rFonts w:ascii="ARIAL" w:hAnsi="ARIAL"/>
          <w:b/>
          <w:i/>
          <w:sz w:val="20"/>
        </w:rPr>
      </w:pPr>
      <w:r>
        <w:rPr>
          <w:rFonts w:ascii="ARIAL" w:hAnsi="ARIAL"/>
          <w:b/>
          <w:i/>
          <w:sz w:val="20"/>
        </w:rPr>
        <w:t xml:space="preserve">Required Vote </w:t>
      </w:r>
    </w:p>
    <w:p>
      <w:pPr>
        <w:pStyle w:val="TextBody"/>
        <w:spacing w:before="200" w:after="0"/>
        <w:jc w:val="left"/>
        <w:rPr>
          <w:rFonts w:ascii="ARIAL" w:hAnsi="ARIAL"/>
          <w:sz w:val="20"/>
        </w:rPr>
      </w:pPr>
      <w:r>
        <w:rPr>
          <w:rFonts w:ascii="ARIAL" w:hAnsi="ARIAL"/>
          <w:sz w:val="20"/>
        </w:rPr>
        <w:t xml:space="preserve">Each director nominee will be elected if he or she receives more votes “for” his or her election than “against” his or her election. Abstentions and broker non-votes in connection with the election of directors have no effect on such election. If any director nominee does not receive more votes “for” his or her election than “against,” then pursuant to the Governance Guidelines, that nominee is required to promptly submit his or her resignation to the Board following certification of the vote. The Governance and Nominating Committee (excluding any member of such committee whose resignation is to be considered) is required to consider the resignation and recommend to the Board whether to accept or reject the resignation or whether other action should be taken. The Board is required to take action on the recommendation within 90 days following certification of the vote, and promptly thereafter to publicly disclose its decision and the reasons therefor. </w:t>
      </w:r>
    </w:p>
    <w:p>
      <w:pPr>
        <w:pStyle w:val="TextBody"/>
        <w:spacing w:before="200" w:after="0"/>
        <w:jc w:val="left"/>
        <w:rPr>
          <w:rFonts w:ascii="ARIAL" w:hAnsi="ARIAL"/>
          <w:b/>
          <w:sz w:val="20"/>
        </w:rPr>
      </w:pPr>
      <w:r>
        <w:rPr>
          <w:rFonts w:ascii="ARIAL" w:hAnsi="ARIAL"/>
          <w:b/>
          <w:sz w:val="20"/>
        </w:rPr>
        <w:t xml:space="preserve">THE BOARD OF DIRECTORS UNANIMOUSLY RECOMMENDS THAT YOU VOTE “FOR” EACH OF THE NOMINEES FOR ELECTION AS A DIRECTOR.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00" w:after="0"/>
        <w:jc w:val="left"/>
        <w:rPr>
          <w:rFonts w:ascii="ARIAL" w:hAnsi="ARIAL"/>
          <w:b/>
          <w:i/>
          <w:sz w:val="20"/>
        </w:rPr>
      </w:pPr>
      <w:bookmarkStart w:id="13" w:name="toc360141_11"/>
      <w:bookmarkEnd w:id="13"/>
      <w:r>
        <w:rPr>
          <w:rFonts w:ascii="ARIAL" w:hAnsi="ARIAL"/>
          <w:b/>
          <w:i/>
          <w:sz w:val="20"/>
        </w:rPr>
        <w:t xml:space="preserve">PROPOSAL 2 — ADVISORY VOTE ON EXECUTIVE COMPENSATION </w:t>
      </w:r>
    </w:p>
    <w:p>
      <w:pPr>
        <w:pStyle w:val="TextBody"/>
        <w:spacing w:before="200" w:after="0"/>
        <w:jc w:val="left"/>
        <w:rPr>
          <w:rFonts w:ascii="ARIAL" w:hAnsi="ARIAL"/>
          <w:sz w:val="20"/>
        </w:rPr>
      </w:pPr>
      <w:r>
        <w:rPr>
          <w:rFonts w:ascii="ARIAL" w:hAnsi="ARIAL"/>
          <w:sz w:val="20"/>
        </w:rPr>
        <w:t xml:space="preserve">Consistent with the Dodd-Frank Wall Street Reform and Consumer Protection Act, and as required by Section 14A of the Exchange Act, we are providing our stockholders with the opportunity to vote to express their views with respect to the compensation of our named executive officers. The vote is on an advisory basis and is non-binding and applies to the compensation disclosed in this Proxy Statement, which has been prepared in accordance with the compensation disclosure rules of the SEC. </w:t>
      </w:r>
    </w:p>
    <w:p>
      <w:pPr>
        <w:pStyle w:val="TextBody"/>
        <w:spacing w:before="200" w:after="0"/>
        <w:jc w:val="left"/>
        <w:rPr>
          <w:rFonts w:ascii="ARIAL" w:hAnsi="ARIAL"/>
          <w:sz w:val="20"/>
        </w:rPr>
      </w:pPr>
      <w:r>
        <w:rPr>
          <w:rFonts w:ascii="ARIAL" w:hAnsi="ARIAL"/>
          <w:sz w:val="20"/>
        </w:rPr>
        <w:t>As described in detail under the heading “</w:t>
      </w:r>
      <w:r>
        <w:rPr>
          <w:rFonts w:ascii="ARIAL" w:hAnsi="ARIAL"/>
          <w:i/>
          <w:sz w:val="20"/>
        </w:rPr>
        <w:t>Compensation Discussion and Analysis,</w:t>
      </w:r>
      <w:r>
        <w:rPr>
          <w:rFonts w:ascii="ARIAL" w:hAnsi="ARIAL"/>
          <w:sz w:val="20"/>
        </w:rPr>
        <w:t xml:space="preserve">” we seek to closely align the interests of our named executive officers with the interests of our stockholders. Our compensation programs are designed to retain and reward our named executive officers for the achievement of short-term and long-term strategic and operational goals and the achievement of increased total shareholder return. </w:t>
      </w:r>
    </w:p>
    <w:p>
      <w:pPr>
        <w:pStyle w:val="TextBody"/>
        <w:spacing w:before="200" w:after="0"/>
        <w:jc w:val="left"/>
        <w:rPr>
          <w:rFonts w:ascii="ARIAL" w:hAnsi="ARIAL"/>
          <w:sz w:val="20"/>
        </w:rPr>
      </w:pPr>
      <w:r>
        <w:rPr>
          <w:rFonts w:ascii="ARIAL" w:hAnsi="ARIAL"/>
          <w:sz w:val="20"/>
        </w:rPr>
        <w:t xml:space="preserve">The Company’s executive compensation philosophy and program have consistently and proactively sought to be responsive to governance and stockholder concerns as evidenced by our stockholder outreach efforts and our responsiveness to feedback received in connection with those efforts. Our executive compensation program is overseen by the Compensation Committee of our Board of Directors (which is wholly-comprised of independent members of the Board), and our Compensation Committee engages an independent executive compensation consultant, Mercer, to advise the Compensation Committee. </w:t>
      </w:r>
    </w:p>
    <w:p>
      <w:pPr>
        <w:pStyle w:val="TextBody"/>
        <w:spacing w:before="200" w:after="0"/>
        <w:jc w:val="left"/>
        <w:rPr>
          <w:rFonts w:ascii="ARIAL" w:hAnsi="ARIAL"/>
          <w:sz w:val="20"/>
        </w:rPr>
      </w:pPr>
      <w:r>
        <w:rPr>
          <w:rFonts w:ascii="ARIAL" w:hAnsi="ARIAL"/>
          <w:sz w:val="20"/>
        </w:rPr>
        <w:t xml:space="preserve">Our executive compensation program has been designed, reviewed and modified over time to conform to governance best practices and to respond to investor feedback regarding pay practices. For example, a significant portion of the compensation payable to our named executive officers is in the form of at-risk variable compensation; we utilize multiple performance metrics in connection with both our cash incentive compensation and performance-based restricted stock awarded to our named executive officers; and each of our executives is an at-will employee. </w:t>
      </w:r>
    </w:p>
    <w:p>
      <w:pPr>
        <w:pStyle w:val="TextBody"/>
        <w:spacing w:before="200" w:after="0"/>
        <w:jc w:val="left"/>
        <w:rPr>
          <w:rFonts w:ascii="ARIAL" w:hAnsi="ARIAL"/>
          <w:sz w:val="20"/>
        </w:rPr>
      </w:pPr>
      <w:r>
        <w:rPr>
          <w:rFonts w:ascii="ARIAL" w:hAnsi="ARIAL"/>
          <w:sz w:val="20"/>
        </w:rPr>
        <w:t xml:space="preserve">Our Compensation Committee monitors changes in our industry and our business to ensure that the compensation elements continue to meet the goals of the program and the expectations of our stockholders and makes adjustments as necessary. </w:t>
      </w:r>
    </w:p>
    <w:p>
      <w:pPr>
        <w:pStyle w:val="TextBody"/>
        <w:spacing w:before="200" w:after="0"/>
        <w:jc w:val="left"/>
        <w:rPr>
          <w:rFonts w:ascii="ARIAL" w:hAnsi="ARIAL"/>
          <w:sz w:val="20"/>
        </w:rPr>
      </w:pPr>
      <w:r>
        <w:rPr>
          <w:rFonts w:ascii="ARIAL" w:hAnsi="ARIAL"/>
          <w:sz w:val="20"/>
        </w:rPr>
        <w:t>As described in detail under the heading “</w:t>
      </w:r>
      <w:r>
        <w:rPr>
          <w:rFonts w:ascii="ARIAL" w:hAnsi="ARIAL"/>
          <w:i/>
          <w:sz w:val="20"/>
        </w:rPr>
        <w:t>Compensation Discussion and Analysis,</w:t>
      </w:r>
      <w:r>
        <w:rPr>
          <w:rFonts w:ascii="ARIAL" w:hAnsi="ARIAL"/>
          <w:sz w:val="20"/>
        </w:rPr>
        <w:t xml:space="preserve">” the macroeconomic environment was challenging in 2022, and, as a result, the Company did not achieve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37 </w:t>
      </w:r>
      <w:r>
        <w:br w:type="page"/>
      </w:r>
    </w:p>
    <w:p>
      <w:pPr>
        <w:pStyle w:val="HorizontalLine"/>
        <w:rPr/>
      </w:pPr>
      <w:r>
        <w:rPr/>
      </w:r>
    </w:p>
    <w:p>
      <w:pPr>
        <w:pStyle w:val="TextBody"/>
        <w:spacing w:before="0" w:after="0"/>
        <w:jc w:val="left"/>
        <w:rPr>
          <w:rFonts w:ascii="ARIAL" w:hAnsi="ARIAL"/>
          <w:sz w:val="20"/>
        </w:rPr>
      </w:pPr>
      <w:r>
        <w:rPr>
          <w:rFonts w:ascii="ARIAL" w:hAnsi="ARIAL"/>
          <w:sz w:val="20"/>
        </w:rPr>
        <w:t xml:space="preserve">several of its key financial goals for 2022. However, despite these challenging macroeconomic conditions, the Company continued to make progress on many of its key strategic goals, which we believe will result in a stronger organization as we progress into 2023 and beyond. Consistent with our pay-for-performance philosophy, this performance is reflected in the compensation paid to our named executive officers for 2022. </w:t>
      </w:r>
    </w:p>
    <w:p>
      <w:pPr>
        <w:pStyle w:val="TextBody"/>
        <w:spacing w:before="200" w:after="0"/>
        <w:jc w:val="left"/>
        <w:rPr>
          <w:rFonts w:ascii="ARIAL" w:hAnsi="ARIAL"/>
          <w:sz w:val="20"/>
        </w:rPr>
      </w:pPr>
      <w:r>
        <w:rPr>
          <w:rFonts w:ascii="ARIAL" w:hAnsi="ARIAL"/>
          <w:sz w:val="20"/>
        </w:rPr>
        <w:t xml:space="preserve">The vote on this resolution is advisory, which means that the vote is not binding on the Company, our Board, or the Compensation Committee of our Board. To the extent there is any significant vote against our named executive officer compensation, the Compensation Committee will consider the results of this advisory vote and will evaluate whether any additional actions are necessary to address the concerns of stockholders. </w:t>
      </w:r>
    </w:p>
    <w:p>
      <w:pPr>
        <w:pStyle w:val="TextBody"/>
        <w:spacing w:before="200" w:after="0"/>
        <w:jc w:val="left"/>
        <w:rPr>
          <w:rFonts w:ascii="ARIAL" w:hAnsi="ARIAL"/>
          <w:sz w:val="20"/>
        </w:rPr>
      </w:pPr>
      <w:r>
        <w:rPr>
          <w:rFonts w:ascii="ARIAL" w:hAnsi="ARIAL"/>
          <w:sz w:val="20"/>
        </w:rPr>
        <w:t xml:space="preserve">Accordingly, we ask our stockholders to vote on the following resolution at the Meeting: </w:t>
      </w:r>
    </w:p>
    <w:p>
      <w:pPr>
        <w:pStyle w:val="TextBody"/>
        <w:spacing w:before="200" w:after="0"/>
        <w:jc w:val="left"/>
        <w:rPr/>
      </w:pPr>
      <w:r>
        <w:rPr/>
        <w:t>“</w:t>
      </w:r>
      <w:r>
        <w:rPr>
          <w:rFonts w:ascii="ARIAL" w:hAnsi="ARIAL"/>
          <w:sz w:val="20"/>
        </w:rPr>
        <w:t xml:space="preserve">RESOLVED, that the compensation paid to the Company’s named executive officers, as disclosed pursuant to Item 402 of Regulation S-K, including the Compensation Discussion and Analysis, compensation tables, and narrative discussion, is hereby APPROVED.” </w:t>
      </w:r>
    </w:p>
    <w:p>
      <w:pPr>
        <w:pStyle w:val="TextBody"/>
        <w:spacing w:before="200" w:after="0"/>
        <w:jc w:val="left"/>
        <w:rPr>
          <w:rFonts w:ascii="ARIAL" w:hAnsi="ARIAL"/>
          <w:b/>
          <w:i/>
          <w:sz w:val="20"/>
        </w:rPr>
      </w:pPr>
      <w:r>
        <w:rPr>
          <w:rFonts w:ascii="ARIAL" w:hAnsi="ARIAL"/>
          <w:b/>
          <w:i/>
          <w:sz w:val="20"/>
        </w:rPr>
        <w:t xml:space="preserve">Required Vote </w:t>
      </w:r>
    </w:p>
    <w:p>
      <w:pPr>
        <w:pStyle w:val="TextBody"/>
        <w:spacing w:before="200" w:after="0"/>
        <w:jc w:val="left"/>
        <w:rPr>
          <w:rFonts w:ascii="ARIAL" w:hAnsi="ARIAL"/>
          <w:sz w:val="20"/>
        </w:rPr>
      </w:pPr>
      <w:r>
        <w:rPr>
          <w:rFonts w:ascii="ARIAL" w:hAnsi="ARIAL"/>
          <w:sz w:val="20"/>
        </w:rPr>
        <w:t xml:space="preserve">The affirmative vote of a majority of the shares of Common Stock entitled to vote and present in person or represented by proxy at the Meeting is required to approve this Proposal 2. Abstentions will be considered a vote against this proposal and broker non-votes will have no effect on such matter since these votes will not be considered present and entitled to vote for this purpose. </w:t>
      </w:r>
    </w:p>
    <w:p>
      <w:pPr>
        <w:pStyle w:val="TextBody"/>
        <w:spacing w:before="200" w:after="0"/>
        <w:jc w:val="left"/>
        <w:rPr>
          <w:rFonts w:ascii="ARIAL" w:hAnsi="ARIAL"/>
          <w:b/>
          <w:sz w:val="20"/>
        </w:rPr>
      </w:pPr>
      <w:r>
        <w:rPr>
          <w:rFonts w:ascii="ARIAL" w:hAnsi="ARIAL"/>
          <w:b/>
          <w:sz w:val="20"/>
        </w:rPr>
        <w:t xml:space="preserve">THE BOARD OF DIRECTORS UNANIMOUSLY RECOMMENDS A VOTE FOR THE APPROVAL, ON AN ADVISORY BASIS, OF THE COMPENSATION OF OUR NAMED EXECUTIVE OFFICERS, AS DISCLOSED IN THIS PROXY STATEMENT.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00" w:after="0"/>
        <w:jc w:val="left"/>
        <w:rPr>
          <w:rFonts w:ascii="ARIAL" w:hAnsi="ARIAL"/>
          <w:b/>
          <w:i/>
          <w:sz w:val="20"/>
        </w:rPr>
      </w:pPr>
      <w:bookmarkStart w:id="14" w:name="toc360141_12"/>
      <w:bookmarkEnd w:id="14"/>
      <w:r>
        <w:rPr>
          <w:rFonts w:ascii="ARIAL" w:hAnsi="ARIAL"/>
          <w:b/>
          <w:i/>
          <w:sz w:val="20"/>
        </w:rPr>
        <w:t xml:space="preserve">PROPOSAL 3 — ADVISORY VOTE ON THE FREQUENCY OF FUTURE ADVISORY VOTES ON EXECUTIVE COMPENSATION </w:t>
      </w:r>
    </w:p>
    <w:p>
      <w:pPr>
        <w:pStyle w:val="TextBody"/>
        <w:spacing w:before="200" w:after="0"/>
        <w:jc w:val="left"/>
        <w:rPr>
          <w:rFonts w:ascii="ARIAL" w:hAnsi="ARIAL"/>
          <w:sz w:val="20"/>
        </w:rPr>
      </w:pPr>
      <w:r>
        <w:rPr>
          <w:rFonts w:ascii="ARIAL" w:hAnsi="ARIAL"/>
          <w:sz w:val="20"/>
        </w:rPr>
        <w:t xml:space="preserve">In addition to providing stockholders with the opportunity to cast an advisory vote on executive compensation, the Company this year, as required by Section 14A of the Exchange Act, is providing stockholders with an advisory vote on whether the advisory vote on executive compensation should be held every one, two or three years. Consistent with the views of our stockholders expressed in 2011 and 2017 when we previously held an advisory vote on the frequency of future advisory votes on executive compensation, we have held an advisory vote on executive compensation every year since 2011. </w:t>
      </w:r>
    </w:p>
    <w:p>
      <w:pPr>
        <w:pStyle w:val="TextBody"/>
        <w:spacing w:before="200" w:after="0"/>
        <w:jc w:val="left"/>
        <w:rPr>
          <w:rFonts w:ascii="ARIAL" w:hAnsi="ARIAL"/>
          <w:sz w:val="20"/>
        </w:rPr>
      </w:pPr>
      <w:r>
        <w:rPr>
          <w:rFonts w:ascii="ARIAL" w:hAnsi="ARIAL"/>
          <w:sz w:val="20"/>
        </w:rPr>
        <w:t xml:space="preserve">The Board believes that a frequency of “every one year” for the advisory vote on executive compensation continues to be the optimal interval for conducting and responding to a “say on pay” vote. In formulating this recommendation, the Board believes that current best corporate governance practices favor an annual advisory vote, and that an annual advisory vote will allow our stockholders to provide us with their direct input on our compensation philosophy, policies and practices with respect to our named executive officers on a more timely and consistent basis than the biennial and triennial alternatives. In addition, the Board believes that the annual advisory vote allows the Board and Compensation Committee the opportunity to evaluate compensation decisions in light of this annual feedback from our stockholders in a manner that is consistent with our policy of seeking regular dialogue with our stockholders on corporate governance and executive compensation matters.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38 </w:t>
      </w:r>
      <w:r>
        <w:br w:type="page"/>
      </w:r>
    </w:p>
    <w:p>
      <w:pPr>
        <w:pStyle w:val="HorizontalLine"/>
        <w:rPr/>
      </w:pPr>
      <w:r>
        <w:rPr/>
      </w:r>
    </w:p>
    <w:p>
      <w:pPr>
        <w:pStyle w:val="TextBody"/>
        <w:spacing w:before="0" w:after="0"/>
        <w:jc w:val="left"/>
        <w:rPr>
          <w:rFonts w:ascii="ARIAL" w:hAnsi="ARIAL"/>
          <w:sz w:val="20"/>
        </w:rPr>
      </w:pPr>
      <w:r>
        <w:rPr>
          <w:rFonts w:ascii="ARIAL" w:hAnsi="ARIAL"/>
          <w:sz w:val="20"/>
        </w:rPr>
        <w:t xml:space="preserve">Stockholders will not be voting to approve or disapprove the Board’s recommendation. Instead, stockholders will be provided the opportunity to choose among three options (holding the vote every one, two, or three years), or abstaining from selecting any particular interval, when voting in response to the resolution set forth below: </w:t>
      </w:r>
    </w:p>
    <w:p>
      <w:pPr>
        <w:pStyle w:val="TextBody"/>
        <w:spacing w:before="200" w:after="0"/>
        <w:jc w:val="left"/>
        <w:rPr/>
      </w:pPr>
      <w:r>
        <w:rPr/>
        <w:t>“</w:t>
      </w:r>
      <w:r>
        <w:rPr>
          <w:rFonts w:ascii="ARIAL" w:hAnsi="ARIAL"/>
          <w:sz w:val="20"/>
        </w:rPr>
        <w:t xml:space="preserve">RESOLVED, that the option of every one year, two years, or three years that receives the highest number of votes cast for this resolution will be the preferred frequency with which the Company is to provide shareholders with the opportunity to vote to approve the compensation of named executive officers, as disclosed pursuant to the compensation disclosure rules of the Securities and Exchange Commission.” </w:t>
      </w:r>
    </w:p>
    <w:p>
      <w:pPr>
        <w:pStyle w:val="TextBody"/>
        <w:spacing w:before="200" w:after="0"/>
        <w:jc w:val="left"/>
        <w:rPr>
          <w:rFonts w:ascii="ARIAL" w:hAnsi="ARIAL"/>
          <w:sz w:val="20"/>
        </w:rPr>
      </w:pPr>
      <w:r>
        <w:rPr>
          <w:rFonts w:ascii="ARIAL" w:hAnsi="ARIAL"/>
          <w:sz w:val="20"/>
        </w:rPr>
        <w:t xml:space="preserve">The Company will consider stockholders to have expressed a non-binding preference for the option (every one year, every two years, or every three years) that receives the highest number of affirmative votes of shares entitled to vote and present in person or represented by proxy. </w:t>
      </w:r>
    </w:p>
    <w:p>
      <w:pPr>
        <w:pStyle w:val="TextBody"/>
        <w:spacing w:before="200" w:after="0"/>
        <w:jc w:val="left"/>
        <w:rPr>
          <w:rFonts w:ascii="ARIAL" w:hAnsi="ARIAL"/>
          <w:sz w:val="20"/>
        </w:rPr>
      </w:pPr>
      <w:r>
        <w:rPr>
          <w:rFonts w:ascii="ARIAL" w:hAnsi="ARIAL"/>
          <w:sz w:val="20"/>
        </w:rPr>
        <w:t xml:space="preserve">Although this advisory vote on the frequency of the “say on pay” vote is non-binding, the Board and the Compensation Committee will take into account the outcome of the vote when considering the frequency of future advisory votes on executive compensation. </w:t>
      </w:r>
    </w:p>
    <w:p>
      <w:pPr>
        <w:pStyle w:val="TextBody"/>
        <w:spacing w:before="200" w:after="0"/>
        <w:jc w:val="left"/>
        <w:rPr>
          <w:rFonts w:ascii="ARIAL" w:hAnsi="ARIAL"/>
          <w:b/>
          <w:sz w:val="20"/>
        </w:rPr>
      </w:pPr>
      <w:r>
        <w:rPr>
          <w:rFonts w:ascii="ARIAL" w:hAnsi="ARIAL"/>
          <w:b/>
          <w:sz w:val="20"/>
        </w:rPr>
        <w:t xml:space="preserve">THE BOARD OF DIRECTORS UNANIMOUSLY RECOMMENDS THAT YOU VOTE FOR THE OPTION OF “EVERY ONE YEAR,” ON AN ADVISORY BASIS, FOR FUTURE ADVISORY VOTES ON EXECUTIVE COMPENSATION.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39 </w:t>
      </w:r>
      <w:r>
        <w:br w:type="page"/>
      </w:r>
    </w:p>
    <w:p>
      <w:pPr>
        <w:pStyle w:val="HorizontalLine"/>
        <w:rPr/>
      </w:pPr>
      <w:r>
        <w:rPr/>
      </w:r>
    </w:p>
    <w:p>
      <w:pPr>
        <w:pStyle w:val="TextBody"/>
        <w:spacing w:before="0" w:after="0"/>
        <w:jc w:val="center"/>
        <w:rPr>
          <w:rFonts w:ascii="ARIAL" w:hAnsi="ARIAL"/>
          <w:b/>
          <w:sz w:val="20"/>
          <w:u w:val="single"/>
        </w:rPr>
      </w:pPr>
      <w:bookmarkStart w:id="15" w:name="toc360141_13"/>
      <w:bookmarkEnd w:id="15"/>
      <w:r>
        <w:rPr>
          <w:rFonts w:ascii="ARIAL" w:hAnsi="ARIAL"/>
          <w:b/>
          <w:sz w:val="20"/>
          <w:u w:val="single"/>
        </w:rPr>
        <w:t xml:space="preserve">EXECUTIVE COMPENSATION </w:t>
      </w:r>
    </w:p>
    <w:p>
      <w:pPr>
        <w:pStyle w:val="TextBody"/>
        <w:spacing w:before="240" w:after="0"/>
        <w:jc w:val="center"/>
        <w:rPr>
          <w:rFonts w:ascii="ARIAL" w:hAnsi="ARIAL"/>
          <w:b/>
          <w:sz w:val="20"/>
        </w:rPr>
      </w:pPr>
      <w:bookmarkStart w:id="16" w:name="toc360141_14"/>
      <w:bookmarkEnd w:id="16"/>
      <w:r>
        <w:rPr>
          <w:rFonts w:ascii="ARIAL" w:hAnsi="ARIAL"/>
          <w:b/>
          <w:sz w:val="20"/>
        </w:rPr>
        <w:t xml:space="preserve">Compensation Discussion and Analysis </w:t>
      </w:r>
    </w:p>
    <w:p>
      <w:pPr>
        <w:pStyle w:val="TextBody"/>
        <w:spacing w:before="240" w:after="0"/>
        <w:jc w:val="center"/>
        <w:rPr>
          <w:rFonts w:ascii="ARIAL" w:hAnsi="ARIAL"/>
          <w:b/>
          <w:sz w:val="20"/>
        </w:rPr>
      </w:pPr>
      <w:r>
        <w:rPr>
          <w:rFonts w:ascii="ARIAL" w:hAnsi="ARIAL"/>
          <w:b/>
          <w:sz w:val="20"/>
        </w:rPr>
        <w:t xml:space="preserve">Introduction </w:t>
      </w:r>
    </w:p>
    <w:p>
      <w:pPr>
        <w:pStyle w:val="TextBody"/>
        <w:spacing w:before="240" w:after="0"/>
        <w:jc w:val="left"/>
        <w:rPr>
          <w:rFonts w:ascii="ARIAL" w:hAnsi="ARIAL"/>
          <w:sz w:val="20"/>
        </w:rPr>
      </w:pPr>
      <w:r>
        <w:rPr>
          <w:rFonts w:ascii="ARIAL" w:hAnsi="ARIAL"/>
          <w:sz w:val="20"/>
        </w:rPr>
        <w:t xml:space="preserve">This Compensation Discussion and Analysis describes our executive compensation program, explains how our Compensation Committee oversees and implements this program, and reviews the 2022 compensation for the executive officers identified below, who are our “named executive officers” for purposes of this Proxy Statement in accordance with SEC rules. Throughout this Compensation Discussion and Analysis and elsewhere in this Proxy Statement, we refer to this group of individuals as the “Named Executive Officers.” </w:t>
      </w:r>
    </w:p>
    <w:p>
      <w:pPr>
        <w:pStyle w:val="TextBody"/>
        <w:spacing w:before="0" w:after="0"/>
        <w:jc w:val="left"/>
        <w:rPr/>
      </w:pPr>
      <w:r>
        <w:rPr/>
        <w:t> </w:t>
      </w:r>
    </w:p>
    <w:tbl>
      <w:tblPr>
        <w:tblW w:w="8140" w:type="dxa"/>
        <w:jc w:val="left"/>
        <w:tblInd w:w="0" w:type="dxa"/>
        <w:tblCellMar>
          <w:top w:w="0" w:type="dxa"/>
          <w:left w:w="0" w:type="dxa"/>
          <w:bottom w:w="0" w:type="dxa"/>
          <w:right w:w="0" w:type="dxa"/>
        </w:tblCellMar>
      </w:tblPr>
      <w:tblGrid>
        <w:gridCol w:w="2585"/>
        <w:gridCol w:w="120"/>
        <w:gridCol w:w="5435"/>
      </w:tblGrid>
      <w:tr>
        <w:trPr/>
        <w:tc>
          <w:tcPr>
            <w:tcW w:w="258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5435" w:type="dxa"/>
            <w:tcBorders/>
            <w:shd w:fill="auto" w:val="clear"/>
            <w:vAlign w:val="center"/>
          </w:tcPr>
          <w:p>
            <w:pPr>
              <w:pStyle w:val="TableContents"/>
              <w:spacing w:before="0" w:after="283"/>
              <w:rPr>
                <w:sz w:val="4"/>
                <w:szCs w:val="4"/>
              </w:rPr>
            </w:pPr>
            <w:r>
              <w:rPr>
                <w:sz w:val="4"/>
                <w:szCs w:val="4"/>
              </w:rPr>
            </w:r>
          </w:p>
        </w:tc>
      </w:tr>
      <w:tr>
        <w:trPr/>
        <w:tc>
          <w:tcPr>
            <w:tcW w:w="2585" w:type="dxa"/>
            <w:tcBorders>
              <w:top w:val="single" w:sz="6" w:space="0" w:color="000000"/>
              <w:left w:val="single" w:sz="6" w:space="0" w:color="000000"/>
              <w:bottom w:val="single" w:sz="6" w:space="0" w:color="000000"/>
              <w:right w:val="single" w:sz="6" w:space="0" w:color="000000"/>
            </w:tcBorders>
            <w:shd w:fill="auto" w:val="clear"/>
            <w:tcMar>
              <w:top w:w="28" w:type="dxa"/>
              <w:left w:w="160" w:type="dxa"/>
              <w:bottom w:w="28" w:type="dxa"/>
              <w:right w:w="28" w:type="dxa"/>
            </w:tcMar>
            <w:vAlign w:val="center"/>
          </w:tcPr>
          <w:p>
            <w:pPr>
              <w:pStyle w:val="TableContents"/>
              <w:spacing w:before="0" w:after="283"/>
              <w:rPr>
                <w:b/>
              </w:rPr>
            </w:pPr>
            <w:r>
              <w:rPr>
                <w:b/>
              </w:rPr>
              <w:t>Named Executive Officer</w:t>
            </w:r>
          </w:p>
        </w:tc>
        <w:tc>
          <w:tcPr>
            <w:tcW w:w="120" w:type="dxa"/>
            <w:tcBorders>
              <w:top w:val="single" w:sz="6" w:space="0" w:color="000000"/>
              <w:left w:val="single" w:sz="6" w:space="0" w:color="000000"/>
              <w:bottom w:val="single" w:sz="6" w:space="0" w:color="000000"/>
            </w:tcBorders>
            <w:shd w:fill="auto" w:val="clear"/>
            <w:tcMar>
              <w:top w:w="28" w:type="dxa"/>
              <w:left w:w="28" w:type="dxa"/>
              <w:bottom w:w="28" w:type="dxa"/>
            </w:tcMar>
            <w:vAlign w:val="center"/>
          </w:tcPr>
          <w:p>
            <w:pPr>
              <w:pStyle w:val="TableContents"/>
              <w:spacing w:before="0" w:after="283"/>
              <w:rPr/>
            </w:pPr>
            <w:r>
              <w:rPr/>
              <w:t>  </w:t>
            </w:r>
          </w:p>
        </w:tc>
        <w:tc>
          <w:tcPr>
            <w:tcW w:w="5435" w:type="dxa"/>
            <w:tcBorders>
              <w:top w:val="single" w:sz="6" w:space="0" w:color="000000"/>
              <w:bottom w:val="single" w:sz="6" w:space="0" w:color="000000"/>
              <w:right w:val="single" w:sz="6" w:space="0" w:color="000000"/>
            </w:tcBorders>
            <w:shd w:fill="auto" w:val="clear"/>
            <w:tcMar>
              <w:top w:w="28" w:type="dxa"/>
              <w:bottom w:w="28" w:type="dxa"/>
              <w:right w:w="40" w:type="dxa"/>
            </w:tcMar>
            <w:vAlign w:val="center"/>
          </w:tcPr>
          <w:p>
            <w:pPr>
              <w:pStyle w:val="TableContents"/>
              <w:spacing w:before="0" w:after="283"/>
              <w:jc w:val="center"/>
              <w:rPr>
                <w:b/>
              </w:rPr>
            </w:pPr>
            <w:r>
              <w:rPr>
                <w:b/>
              </w:rPr>
              <w:t>Position</w:t>
            </w:r>
          </w:p>
        </w:tc>
      </w:tr>
      <w:tr>
        <w:trPr/>
        <w:tc>
          <w:tcPr>
            <w:tcW w:w="2585" w:type="dxa"/>
            <w:tcBorders>
              <w:top w:val="single" w:sz="6" w:space="0" w:color="000000"/>
              <w:left w:val="single" w:sz="6" w:space="0" w:color="000000"/>
              <w:bottom w:val="single" w:sz="6" w:space="0" w:color="000000"/>
              <w:right w:val="single" w:sz="6" w:space="0" w:color="000000"/>
            </w:tcBorders>
            <w:shd w:fill="auto" w:val="clear"/>
            <w:tcMar>
              <w:top w:w="28" w:type="dxa"/>
              <w:left w:w="160" w:type="dxa"/>
              <w:bottom w:w="80" w:type="dxa"/>
              <w:right w:w="28" w:type="dxa"/>
            </w:tcMar>
            <w:vAlign w:val="center"/>
          </w:tcPr>
          <w:p>
            <w:pPr>
              <w:pStyle w:val="TableContents"/>
              <w:spacing w:before="0" w:after="0"/>
              <w:rPr>
                <w:rFonts w:ascii="ARIAL" w:hAnsi="ARIAL"/>
                <w:sz w:val="19"/>
              </w:rPr>
            </w:pPr>
            <w:r>
              <w:rPr>
                <w:rFonts w:ascii="ARIAL" w:hAnsi="ARIAL"/>
                <w:sz w:val="19"/>
              </w:rPr>
              <w:t>Tim L. Hingtgen</w:t>
            </w:r>
          </w:p>
        </w:tc>
        <w:tc>
          <w:tcPr>
            <w:tcW w:w="120" w:type="dxa"/>
            <w:tcBorders>
              <w:top w:val="single" w:sz="6" w:space="0" w:color="000000"/>
              <w:left w:val="single" w:sz="6" w:space="0" w:color="000000"/>
              <w:bottom w:val="single" w:sz="6" w:space="0" w:color="000000"/>
            </w:tcBorders>
            <w:shd w:fill="auto" w:val="clear"/>
            <w:tcMar>
              <w:top w:w="28" w:type="dxa"/>
              <w:left w:w="28" w:type="dxa"/>
              <w:bottom w:w="28" w:type="dxa"/>
            </w:tcMar>
            <w:vAlign w:val="center"/>
          </w:tcPr>
          <w:p>
            <w:pPr>
              <w:pStyle w:val="TableContents"/>
              <w:spacing w:before="0" w:after="283"/>
              <w:rPr/>
            </w:pPr>
            <w:r>
              <w:rPr/>
              <w:t>  </w:t>
            </w:r>
          </w:p>
        </w:tc>
        <w:tc>
          <w:tcPr>
            <w:tcW w:w="5435" w:type="dxa"/>
            <w:tcBorders>
              <w:top w:val="single" w:sz="6" w:space="0" w:color="000000"/>
              <w:bottom w:val="single" w:sz="6" w:space="0" w:color="000000"/>
              <w:right w:val="single" w:sz="6" w:space="0" w:color="000000"/>
            </w:tcBorders>
            <w:shd w:fill="auto" w:val="clear"/>
            <w:tcMar>
              <w:top w:w="28" w:type="dxa"/>
              <w:bottom w:w="80" w:type="dxa"/>
              <w:right w:w="40" w:type="dxa"/>
            </w:tcMar>
            <w:vAlign w:val="center"/>
          </w:tcPr>
          <w:p>
            <w:pPr>
              <w:pStyle w:val="TableContents"/>
              <w:spacing w:before="0" w:after="283"/>
              <w:rPr/>
            </w:pPr>
            <w:r>
              <w:rPr/>
              <w:t>Chief Executive Officer</w:t>
            </w:r>
          </w:p>
        </w:tc>
      </w:tr>
      <w:tr>
        <w:trPr/>
        <w:tc>
          <w:tcPr>
            <w:tcW w:w="2585" w:type="dxa"/>
            <w:tcBorders>
              <w:top w:val="single" w:sz="6" w:space="0" w:color="000000"/>
              <w:left w:val="single" w:sz="6" w:space="0" w:color="000000"/>
              <w:bottom w:val="single" w:sz="6" w:space="0" w:color="000000"/>
              <w:right w:val="single" w:sz="6" w:space="0" w:color="000000"/>
            </w:tcBorders>
            <w:shd w:fill="auto" w:val="clear"/>
            <w:tcMar>
              <w:top w:w="28" w:type="dxa"/>
              <w:left w:w="160" w:type="dxa"/>
              <w:bottom w:w="80" w:type="dxa"/>
              <w:right w:w="28" w:type="dxa"/>
            </w:tcMar>
            <w:vAlign w:val="center"/>
          </w:tcPr>
          <w:p>
            <w:pPr>
              <w:pStyle w:val="TableContents"/>
              <w:spacing w:before="0" w:after="0"/>
              <w:rPr>
                <w:rFonts w:ascii="ARIAL" w:hAnsi="ARIAL"/>
                <w:sz w:val="19"/>
              </w:rPr>
            </w:pPr>
            <w:r>
              <w:rPr>
                <w:rFonts w:ascii="ARIAL" w:hAnsi="ARIAL"/>
                <w:sz w:val="19"/>
              </w:rPr>
              <w:t>Kevin J. Hammons</w:t>
            </w:r>
          </w:p>
        </w:tc>
        <w:tc>
          <w:tcPr>
            <w:tcW w:w="120" w:type="dxa"/>
            <w:tcBorders>
              <w:top w:val="single" w:sz="6" w:space="0" w:color="000000"/>
              <w:left w:val="single" w:sz="6" w:space="0" w:color="000000"/>
              <w:bottom w:val="single" w:sz="6" w:space="0" w:color="000000"/>
            </w:tcBorders>
            <w:shd w:fill="auto" w:val="clear"/>
            <w:tcMar>
              <w:top w:w="28" w:type="dxa"/>
              <w:left w:w="28" w:type="dxa"/>
              <w:bottom w:w="28" w:type="dxa"/>
            </w:tcMar>
            <w:vAlign w:val="center"/>
          </w:tcPr>
          <w:p>
            <w:pPr>
              <w:pStyle w:val="TableContents"/>
              <w:spacing w:before="0" w:after="283"/>
              <w:rPr/>
            </w:pPr>
            <w:r>
              <w:rPr/>
              <w:t>  </w:t>
            </w:r>
          </w:p>
        </w:tc>
        <w:tc>
          <w:tcPr>
            <w:tcW w:w="5435" w:type="dxa"/>
            <w:tcBorders>
              <w:top w:val="single" w:sz="6" w:space="0" w:color="000000"/>
              <w:bottom w:val="single" w:sz="6" w:space="0" w:color="000000"/>
              <w:right w:val="single" w:sz="6" w:space="0" w:color="000000"/>
            </w:tcBorders>
            <w:shd w:fill="auto" w:val="clear"/>
            <w:tcMar>
              <w:top w:w="28" w:type="dxa"/>
              <w:bottom w:w="80" w:type="dxa"/>
              <w:right w:w="40" w:type="dxa"/>
            </w:tcMar>
            <w:vAlign w:val="center"/>
          </w:tcPr>
          <w:p>
            <w:pPr>
              <w:pStyle w:val="TableContents"/>
              <w:spacing w:before="0" w:after="283"/>
              <w:rPr/>
            </w:pPr>
            <w:r>
              <w:rPr/>
              <w:t>President &amp; Chief Financial Officer</w:t>
            </w:r>
          </w:p>
        </w:tc>
      </w:tr>
      <w:tr>
        <w:trPr/>
        <w:tc>
          <w:tcPr>
            <w:tcW w:w="2585" w:type="dxa"/>
            <w:tcBorders>
              <w:top w:val="single" w:sz="6" w:space="0" w:color="000000"/>
              <w:left w:val="single" w:sz="6" w:space="0" w:color="000000"/>
              <w:bottom w:val="single" w:sz="6" w:space="0" w:color="000000"/>
              <w:right w:val="single" w:sz="6" w:space="0" w:color="000000"/>
            </w:tcBorders>
            <w:shd w:fill="auto" w:val="clear"/>
            <w:tcMar>
              <w:top w:w="28" w:type="dxa"/>
              <w:left w:w="160" w:type="dxa"/>
              <w:bottom w:w="80" w:type="dxa"/>
              <w:right w:w="28" w:type="dxa"/>
            </w:tcMar>
            <w:vAlign w:val="center"/>
          </w:tcPr>
          <w:p>
            <w:pPr>
              <w:pStyle w:val="TableContents"/>
              <w:spacing w:before="0" w:after="0"/>
              <w:rPr>
                <w:rFonts w:ascii="ARIAL" w:hAnsi="ARIAL"/>
                <w:sz w:val="19"/>
              </w:rPr>
            </w:pPr>
            <w:r>
              <w:rPr>
                <w:rFonts w:ascii="ARIAL" w:hAnsi="ARIAL"/>
                <w:sz w:val="19"/>
              </w:rPr>
              <w:t>Wayne T. Smith (1)</w:t>
            </w:r>
          </w:p>
        </w:tc>
        <w:tc>
          <w:tcPr>
            <w:tcW w:w="120" w:type="dxa"/>
            <w:tcBorders>
              <w:top w:val="single" w:sz="6" w:space="0" w:color="000000"/>
              <w:left w:val="single" w:sz="6" w:space="0" w:color="000000"/>
              <w:bottom w:val="single" w:sz="6" w:space="0" w:color="000000"/>
            </w:tcBorders>
            <w:shd w:fill="auto" w:val="clear"/>
            <w:tcMar>
              <w:top w:w="28" w:type="dxa"/>
              <w:left w:w="28" w:type="dxa"/>
              <w:bottom w:w="28" w:type="dxa"/>
            </w:tcMar>
            <w:vAlign w:val="center"/>
          </w:tcPr>
          <w:p>
            <w:pPr>
              <w:pStyle w:val="TableContents"/>
              <w:spacing w:before="0" w:after="283"/>
              <w:rPr/>
            </w:pPr>
            <w:r>
              <w:rPr/>
              <w:t>  </w:t>
            </w:r>
          </w:p>
        </w:tc>
        <w:tc>
          <w:tcPr>
            <w:tcW w:w="5435" w:type="dxa"/>
            <w:tcBorders>
              <w:top w:val="single" w:sz="6" w:space="0" w:color="000000"/>
              <w:bottom w:val="single" w:sz="6" w:space="0" w:color="000000"/>
              <w:right w:val="single" w:sz="6" w:space="0" w:color="000000"/>
            </w:tcBorders>
            <w:shd w:fill="auto" w:val="clear"/>
            <w:tcMar>
              <w:top w:w="28" w:type="dxa"/>
              <w:bottom w:w="80" w:type="dxa"/>
              <w:right w:w="40" w:type="dxa"/>
            </w:tcMar>
            <w:vAlign w:val="center"/>
          </w:tcPr>
          <w:p>
            <w:pPr>
              <w:pStyle w:val="TableContents"/>
              <w:spacing w:before="0" w:after="283"/>
              <w:rPr/>
            </w:pPr>
            <w:r>
              <w:rPr/>
              <w:t>Executive Chairman of the Board of Directors</w:t>
            </w:r>
          </w:p>
        </w:tc>
      </w:tr>
      <w:tr>
        <w:trPr/>
        <w:tc>
          <w:tcPr>
            <w:tcW w:w="2585" w:type="dxa"/>
            <w:tcBorders>
              <w:top w:val="single" w:sz="6" w:space="0" w:color="000000"/>
              <w:left w:val="single" w:sz="6" w:space="0" w:color="000000"/>
              <w:bottom w:val="single" w:sz="6" w:space="0" w:color="000000"/>
              <w:right w:val="single" w:sz="6" w:space="0" w:color="000000"/>
            </w:tcBorders>
            <w:shd w:fill="auto" w:val="clear"/>
            <w:tcMar>
              <w:top w:w="28" w:type="dxa"/>
              <w:left w:w="160" w:type="dxa"/>
              <w:bottom w:w="80" w:type="dxa"/>
              <w:right w:w="28" w:type="dxa"/>
            </w:tcMar>
            <w:vAlign w:val="center"/>
          </w:tcPr>
          <w:p>
            <w:pPr>
              <w:pStyle w:val="TableContents"/>
              <w:spacing w:before="0" w:after="0"/>
              <w:rPr>
                <w:rFonts w:ascii="ARIAL" w:hAnsi="ARIAL"/>
                <w:sz w:val="19"/>
              </w:rPr>
            </w:pPr>
            <w:r>
              <w:rPr>
                <w:rFonts w:ascii="ARIAL" w:hAnsi="ARIAL"/>
                <w:sz w:val="19"/>
              </w:rPr>
              <w:t>Lynn T. Simon, M.D.</w:t>
            </w:r>
          </w:p>
        </w:tc>
        <w:tc>
          <w:tcPr>
            <w:tcW w:w="120" w:type="dxa"/>
            <w:tcBorders>
              <w:top w:val="single" w:sz="6" w:space="0" w:color="000000"/>
              <w:left w:val="single" w:sz="6" w:space="0" w:color="000000"/>
              <w:bottom w:val="single" w:sz="6" w:space="0" w:color="000000"/>
            </w:tcBorders>
            <w:shd w:fill="auto" w:val="clear"/>
            <w:tcMar>
              <w:top w:w="28" w:type="dxa"/>
              <w:left w:w="28" w:type="dxa"/>
              <w:bottom w:w="28" w:type="dxa"/>
            </w:tcMar>
            <w:vAlign w:val="center"/>
          </w:tcPr>
          <w:p>
            <w:pPr>
              <w:pStyle w:val="TableContents"/>
              <w:spacing w:before="0" w:after="283"/>
              <w:rPr/>
            </w:pPr>
            <w:r>
              <w:rPr/>
              <w:t>  </w:t>
            </w:r>
          </w:p>
        </w:tc>
        <w:tc>
          <w:tcPr>
            <w:tcW w:w="5435" w:type="dxa"/>
            <w:tcBorders>
              <w:top w:val="single" w:sz="6" w:space="0" w:color="000000"/>
              <w:bottom w:val="single" w:sz="6" w:space="0" w:color="000000"/>
              <w:right w:val="single" w:sz="6" w:space="0" w:color="000000"/>
            </w:tcBorders>
            <w:shd w:fill="auto" w:val="clear"/>
            <w:tcMar>
              <w:top w:w="28" w:type="dxa"/>
              <w:bottom w:w="80" w:type="dxa"/>
              <w:right w:w="40" w:type="dxa"/>
            </w:tcMar>
            <w:vAlign w:val="center"/>
          </w:tcPr>
          <w:p>
            <w:pPr>
              <w:pStyle w:val="TableContents"/>
              <w:spacing w:before="0" w:after="283"/>
              <w:rPr/>
            </w:pPr>
            <w:r>
              <w:rPr/>
              <w:t>President of Clinical Operations &amp; Chief Medical Officer</w:t>
            </w:r>
          </w:p>
        </w:tc>
      </w:tr>
      <w:tr>
        <w:trPr/>
        <w:tc>
          <w:tcPr>
            <w:tcW w:w="2585" w:type="dxa"/>
            <w:tcBorders>
              <w:top w:val="single" w:sz="6" w:space="0" w:color="000000"/>
              <w:left w:val="single" w:sz="6" w:space="0" w:color="000000"/>
              <w:bottom w:val="single" w:sz="6" w:space="0" w:color="000000"/>
              <w:right w:val="single" w:sz="6" w:space="0" w:color="000000"/>
            </w:tcBorders>
            <w:shd w:fill="auto" w:val="clear"/>
            <w:tcMar>
              <w:top w:w="28" w:type="dxa"/>
              <w:left w:w="160" w:type="dxa"/>
              <w:bottom w:w="80" w:type="dxa"/>
              <w:right w:w="28" w:type="dxa"/>
            </w:tcMar>
            <w:vAlign w:val="center"/>
          </w:tcPr>
          <w:p>
            <w:pPr>
              <w:pStyle w:val="TableContents"/>
              <w:spacing w:before="0" w:after="0"/>
              <w:rPr>
                <w:rFonts w:ascii="ARIAL" w:hAnsi="ARIAL"/>
                <w:sz w:val="19"/>
              </w:rPr>
            </w:pPr>
            <w:r>
              <w:rPr>
                <w:rFonts w:ascii="ARIAL" w:hAnsi="ARIAL"/>
                <w:sz w:val="19"/>
              </w:rPr>
              <w:t>Mark B. Medley</w:t>
            </w:r>
          </w:p>
        </w:tc>
        <w:tc>
          <w:tcPr>
            <w:tcW w:w="120" w:type="dxa"/>
            <w:tcBorders>
              <w:top w:val="single" w:sz="6" w:space="0" w:color="000000"/>
              <w:left w:val="single" w:sz="6" w:space="0" w:color="000000"/>
              <w:bottom w:val="single" w:sz="6" w:space="0" w:color="000000"/>
            </w:tcBorders>
            <w:shd w:fill="auto" w:val="clear"/>
            <w:tcMar>
              <w:top w:w="28" w:type="dxa"/>
              <w:left w:w="28" w:type="dxa"/>
              <w:bottom w:w="28" w:type="dxa"/>
            </w:tcMar>
            <w:vAlign w:val="center"/>
          </w:tcPr>
          <w:p>
            <w:pPr>
              <w:pStyle w:val="TableContents"/>
              <w:spacing w:before="0" w:after="283"/>
              <w:rPr/>
            </w:pPr>
            <w:r>
              <w:rPr/>
              <w:t>  </w:t>
            </w:r>
          </w:p>
        </w:tc>
        <w:tc>
          <w:tcPr>
            <w:tcW w:w="5435" w:type="dxa"/>
            <w:tcBorders>
              <w:top w:val="single" w:sz="6" w:space="0" w:color="000000"/>
              <w:bottom w:val="single" w:sz="6" w:space="0" w:color="000000"/>
              <w:right w:val="single" w:sz="6" w:space="0" w:color="000000"/>
            </w:tcBorders>
            <w:shd w:fill="auto" w:val="clear"/>
            <w:tcMar>
              <w:top w:w="28" w:type="dxa"/>
              <w:bottom w:w="80" w:type="dxa"/>
              <w:right w:w="40" w:type="dxa"/>
            </w:tcMar>
            <w:vAlign w:val="center"/>
          </w:tcPr>
          <w:p>
            <w:pPr>
              <w:pStyle w:val="TableContents"/>
              <w:spacing w:before="0" w:after="283"/>
              <w:rPr/>
            </w:pPr>
            <w:r>
              <w:rPr/>
              <w:t>Regional President</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325"/>
        <w:gridCol w:w="9880"/>
      </w:tblGrid>
      <w:tr>
        <w:trPr/>
        <w:tc>
          <w:tcPr>
            <w:tcW w:w="325" w:type="dxa"/>
            <w:tcBorders/>
            <w:shd w:fill="auto" w:val="clear"/>
            <w:vAlign w:val="center"/>
          </w:tcPr>
          <w:p>
            <w:pPr>
              <w:pStyle w:val="TableContents"/>
              <w:spacing w:before="0" w:after="283"/>
              <w:jc w:val="left"/>
              <w:rPr/>
            </w:pPr>
            <w:r>
              <w:rPr/>
              <w:t>(1) </w:t>
            </w:r>
          </w:p>
        </w:tc>
        <w:tc>
          <w:tcPr>
            <w:tcW w:w="9880" w:type="dxa"/>
            <w:tcBorders/>
            <w:shd w:fill="auto" w:val="clear"/>
            <w:vAlign w:val="center"/>
          </w:tcPr>
          <w:p>
            <w:pPr>
              <w:pStyle w:val="TableContents"/>
              <w:spacing w:before="0" w:after="0"/>
              <w:jc w:val="left"/>
              <w:rPr>
                <w:rFonts w:ascii="ARIAL" w:hAnsi="ARIAL"/>
                <w:sz w:val="16"/>
              </w:rPr>
            </w:pPr>
            <w:r>
              <w:rPr>
                <w:rFonts w:ascii="ARIAL" w:hAnsi="ARIAL"/>
                <w:sz w:val="16"/>
              </w:rPr>
              <w:t xml:space="preserve">Mr. Smith served as Executive Chairman of the Board of Directors until his retirement as an officer effective January 1, 2023, following which time he has served as Chairman of the Board. </w:t>
            </w:r>
          </w:p>
        </w:tc>
      </w:tr>
    </w:tbl>
    <w:p>
      <w:pPr>
        <w:pStyle w:val="TextBody"/>
        <w:spacing w:before="240" w:after="0"/>
        <w:jc w:val="left"/>
        <w:rPr>
          <w:rFonts w:ascii="ARIAL" w:hAnsi="ARIAL"/>
          <w:sz w:val="20"/>
        </w:rPr>
      </w:pPr>
      <w:r>
        <w:rPr>
          <w:rFonts w:ascii="ARIAL" w:hAnsi="ARIAL"/>
          <w:sz w:val="20"/>
        </w:rPr>
        <w:t xml:space="preserve">As a leading operator of general acute care hospitals and outpatient facilities within the healthcare industry, one of the nation’s largest and most dynamic industries, the Company must ensure that it attracts and retains the leadership and managerial talent needed to sustain its position in this rapidly changing industry. To remain competitive in the Company’s financial, capital and business markets, the Company views improving earnings and profitability as well as achieving growth as paramount objectives of the Company’s strategy. We believe these strategic objectives are fundamental points of alignment between stockholder value and the compensation of executive management. </w:t>
      </w:r>
    </w:p>
    <w:p>
      <w:pPr>
        <w:pStyle w:val="TextBody"/>
        <w:spacing w:before="240" w:after="0"/>
        <w:jc w:val="left"/>
        <w:rPr>
          <w:rFonts w:ascii="ARIAL" w:hAnsi="ARIAL"/>
          <w:sz w:val="20"/>
        </w:rPr>
      </w:pPr>
      <w:r>
        <w:rPr>
          <w:rFonts w:ascii="ARIAL" w:hAnsi="ARIAL"/>
          <w:sz w:val="20"/>
        </w:rPr>
        <w:t xml:space="preserve">The macroeconomic environment was challenging in 2022, and, as a result, the Company did not achieve several of its key financial goals for 2022. However, despite these challenging macroeconomic conditions, the Company continued to make progress on many of its strategic goals, which we believe will result in a stronger organization as we progress into 2023 and beyond. This progress included continuing to expand access points, successfully managing non-labor expenses despite inflationary pressures, strong provider recruitment results, continuing to develop and implement programs to support and monitor patient safety and quality of care, and advancing the Company’s diversity, equity and inclusion objectives. To further improve operating efficiency, the Company continued the execution of its margin improvement program, which contributed to additional cost savings during the year. </w:t>
      </w:r>
    </w:p>
    <w:p>
      <w:pPr>
        <w:pStyle w:val="TextBody"/>
        <w:spacing w:before="240" w:after="0"/>
        <w:jc w:val="left"/>
        <w:rPr>
          <w:rFonts w:ascii="ARIAL" w:hAnsi="ARIAL"/>
          <w:sz w:val="20"/>
        </w:rPr>
      </w:pPr>
      <w:r>
        <w:rPr>
          <w:rFonts w:ascii="ARIAL" w:hAnsi="ARIAL"/>
          <w:sz w:val="20"/>
        </w:rPr>
        <w:t xml:space="preserve">Complementing our growth and margin improvement initiatives have been additional improvements in our capital structure. In February 2022, the Company refinanced a portion of its senior secured debt, both extending the maturity and lowering the interest rate of the refinanced debt. Also, during 2022, the Company repurchased and retired $645 million of its outstanding notes at a discount through a combination of open market and privately negotiated repurchases which will reduce the Company’s annual cash interest. </w:t>
      </w:r>
    </w:p>
    <w:p>
      <w:pPr>
        <w:pStyle w:val="TextBody"/>
        <w:spacing w:before="240" w:after="0"/>
        <w:jc w:val="left"/>
        <w:rPr>
          <w:rFonts w:ascii="ARIAL" w:hAnsi="ARIAL"/>
          <w:sz w:val="20"/>
        </w:rPr>
      </w:pPr>
      <w:r>
        <w:rPr>
          <w:rFonts w:ascii="ARIAL" w:hAnsi="ARIAL"/>
          <w:sz w:val="20"/>
        </w:rPr>
        <w:t xml:space="preserve">We believe that the execution of our initiatives has strengthened the Company across multiple fronts. Due to these initiatives, we believe the Company is positioned to further improve performance and long-term stockholder value in the future.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40 </w:t>
      </w:r>
      <w:r>
        <w:br w:type="page"/>
      </w:r>
    </w:p>
    <w:p>
      <w:pPr>
        <w:pStyle w:val="HorizontalLine"/>
        <w:rPr/>
      </w:pPr>
      <w:r>
        <w:rPr/>
      </w:r>
    </w:p>
    <w:p>
      <w:pPr>
        <w:pStyle w:val="TextBody"/>
        <w:spacing w:before="0" w:after="0"/>
        <w:jc w:val="left"/>
        <w:rPr>
          <w:rFonts w:ascii="ARIAL" w:hAnsi="ARIAL"/>
          <w:sz w:val="20"/>
        </w:rPr>
      </w:pPr>
      <w:r>
        <w:rPr>
          <w:rFonts w:ascii="ARIAL" w:hAnsi="ARIAL"/>
          <w:sz w:val="20"/>
        </w:rPr>
        <w:t>Please see, “</w:t>
      </w:r>
      <w:r>
        <w:rPr>
          <w:rFonts w:ascii="ARIAL" w:hAnsi="ARIAL"/>
          <w:i/>
          <w:sz w:val="20"/>
        </w:rPr>
        <w:t>Management’s Discussion and Analysis of Financial Condition and Results</w:t>
      </w:r>
      <w:r>
        <w:rPr>
          <w:rFonts w:ascii="ARIAL" w:hAnsi="ARIAL"/>
          <w:sz w:val="20"/>
        </w:rPr>
        <w:t xml:space="preserve"> </w:t>
      </w:r>
      <w:r>
        <w:rPr>
          <w:rFonts w:ascii="ARIAL" w:hAnsi="ARIAL"/>
          <w:i/>
          <w:sz w:val="20"/>
        </w:rPr>
        <w:t xml:space="preserve">of Operations” </w:t>
      </w:r>
      <w:r>
        <w:rPr>
          <w:rFonts w:ascii="ARIAL" w:hAnsi="ARIAL"/>
          <w:sz w:val="20"/>
        </w:rPr>
        <w:t xml:space="preserve">in the Company’s 2022 Annual Report on Form 10-K filed with the SEC on February 17, 2023, for more details about the Company’s performance during 2022 and in prior years. </w:t>
      </w:r>
    </w:p>
    <w:p>
      <w:pPr>
        <w:pStyle w:val="TextBody"/>
        <w:spacing w:before="240" w:after="0"/>
        <w:jc w:val="left"/>
        <w:rPr>
          <w:rFonts w:ascii="ARIAL" w:hAnsi="ARIAL"/>
          <w:sz w:val="20"/>
        </w:rPr>
      </w:pPr>
      <w:r>
        <w:rPr>
          <w:rFonts w:ascii="ARIAL" w:hAnsi="ARIAL"/>
          <w:sz w:val="20"/>
        </w:rPr>
        <w:t>Consistent with the Company’s pay-for-performance philosophy, taking the challenging macroeconomic environment in 2022 into account, our Chief Executive Officer received 26% of his target cash incentive award for 2022 (as compared to 130% of his target cash incentive award during 2021, when the Company achieved or exceeded many of our primary financial targets).</w:t>
      </w:r>
    </w:p>
    <w:p>
      <w:pPr>
        <w:pStyle w:val="TextBody"/>
        <w:spacing w:before="240" w:after="0"/>
        <w:jc w:val="left"/>
        <w:rPr>
          <w:rFonts w:ascii="ARIAL" w:hAnsi="ARIAL"/>
          <w:sz w:val="20"/>
        </w:rPr>
      </w:pPr>
      <w:r>
        <w:rPr>
          <w:rFonts w:ascii="ARIAL" w:hAnsi="ARIAL"/>
          <w:sz w:val="20"/>
        </w:rPr>
        <w:t xml:space="preserve">Our LTI mix further aligns our executive compensation program with stockholder interests by virtue of the fact that 75% of the target LTI awards (based on the number of shares subject to such awards) granted to each of our named executive officers in 2022 was in the form of performance-based restricted stock or non-qualified stock options, which will result in value to the named executive officers only to the extent the Company achieves its long-term performance goals and/or our stock price increases in the future. The Compensation Committee generally utilizes a share-denominated approach to LTI grants. In other words, barring any promotions, changes in responsibilities, and/or changes in LTI market values within our peer group, the Committee generally does not modify the number of shares subject to options, time-based restricted stock or performance-based restricted stock grants to take into account changes in our share price that have occurred over the prior year. The Compensation Committee believes that this approach results in directly aligning our executives’ long-term incentive compensation with the interests of our stockholders. When the stock price declines, the value of an executive’s LTI award (and thus target total compensation) declines. When the stock price improves, the value of an executive’s LTI award (and thus target total compensation) increases. Between the LTI grant date in March 2021 and the LTI grant date in March 2022, our stock price improved from $8.81 to $10.18. Despite the improvement in our stock price, which resulted in an increase in the aggregate grant date fair value of the equity awards made in March 2022 compared to March 2021, the grant date fair value of the Chief Executive Officer’s target LTI awards remained below the 25th percentile of our peer group in 2022 (as described below).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41 </w:t>
      </w:r>
      <w:r>
        <w:br w:type="page"/>
      </w:r>
    </w:p>
    <w:p>
      <w:pPr>
        <w:pStyle w:val="HorizontalLine"/>
        <w:rPr/>
      </w:pPr>
      <w:r>
        <w:rPr/>
      </w:r>
    </w:p>
    <w:p>
      <w:pPr>
        <w:pStyle w:val="TextBody"/>
        <w:spacing w:before="0" w:after="0"/>
        <w:jc w:val="left"/>
        <w:rPr>
          <w:rFonts w:ascii="ARIAL" w:hAnsi="ARIAL"/>
          <w:b/>
          <w:sz w:val="20"/>
        </w:rPr>
      </w:pPr>
      <w:r>
        <w:rPr>
          <w:rFonts w:ascii="ARIAL" w:hAnsi="ARIAL"/>
          <w:b/>
          <w:sz w:val="20"/>
        </w:rPr>
        <w:t xml:space="preserve">Executive Summary </w:t>
      </w:r>
    </w:p>
    <w:p>
      <w:pPr>
        <w:pStyle w:val="TextBody"/>
        <w:spacing w:before="200" w:after="0"/>
        <w:jc w:val="left"/>
        <w:rPr>
          <w:rFonts w:ascii="ARIAL" w:hAnsi="ARIAL"/>
          <w:b/>
          <w:i/>
          <w:sz w:val="20"/>
        </w:rPr>
      </w:pPr>
      <w:r>
        <w:rPr>
          <w:rFonts w:ascii="ARIAL" w:hAnsi="ARIAL"/>
          <w:b/>
          <w:i/>
          <w:sz w:val="20"/>
        </w:rPr>
        <w:t xml:space="preserve">Compensation Program Objectives and Best Practices </w:t>
      </w:r>
    </w:p>
    <w:p>
      <w:pPr>
        <w:pStyle w:val="TextBody"/>
        <w:spacing w:before="200" w:after="0"/>
        <w:jc w:val="left"/>
        <w:rPr>
          <w:rFonts w:ascii="ARIAL" w:hAnsi="ARIAL"/>
          <w:sz w:val="20"/>
        </w:rPr>
      </w:pPr>
      <w:r>
        <w:rPr>
          <w:rFonts w:ascii="ARIAL" w:hAnsi="ARIAL"/>
          <w:sz w:val="20"/>
        </w:rPr>
        <w:t xml:space="preserve">The primary objectives of the Company’s executive compensation program are to: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40"/>
        <w:gridCol w:w="9990"/>
      </w:tblGrid>
      <w:tr>
        <w:trPr/>
        <w:tc>
          <w:tcPr>
            <w:tcW w:w="75"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w:t>
            </w:r>
          </w:p>
        </w:tc>
        <w:tc>
          <w:tcPr>
            <w:tcW w:w="9990" w:type="dxa"/>
            <w:tcBorders/>
            <w:shd w:fill="auto" w:val="clear"/>
            <w:vAlign w:val="center"/>
          </w:tcPr>
          <w:p>
            <w:pPr>
              <w:pStyle w:val="TableContents"/>
              <w:spacing w:before="0" w:after="0"/>
              <w:jc w:val="left"/>
              <w:rPr>
                <w:rFonts w:ascii="ARIAL" w:hAnsi="ARIAL"/>
                <w:sz w:val="20"/>
              </w:rPr>
            </w:pPr>
            <w:r>
              <w:rPr>
                <w:rFonts w:ascii="ARIAL" w:hAnsi="ARIAL"/>
                <w:sz w:val="20"/>
              </w:rPr>
              <w:t xml:space="preserve">Provide market competitive pay levels, compensation programs and incentive plan designs, all of which are underpinned by our strong pay-for-performance philosophy;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40"/>
        <w:gridCol w:w="9990"/>
      </w:tblGrid>
      <w:tr>
        <w:trPr/>
        <w:tc>
          <w:tcPr>
            <w:tcW w:w="75"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w:t>
            </w:r>
          </w:p>
        </w:tc>
        <w:tc>
          <w:tcPr>
            <w:tcW w:w="9990" w:type="dxa"/>
            <w:tcBorders/>
            <w:shd w:fill="auto" w:val="clear"/>
            <w:vAlign w:val="center"/>
          </w:tcPr>
          <w:p>
            <w:pPr>
              <w:pStyle w:val="TableContents"/>
              <w:spacing w:before="0" w:after="0"/>
              <w:jc w:val="left"/>
              <w:rPr>
                <w:rFonts w:ascii="ARIAL" w:hAnsi="ARIAL"/>
                <w:sz w:val="20"/>
              </w:rPr>
            </w:pPr>
            <w:r>
              <w:rPr>
                <w:rFonts w:ascii="ARIAL" w:hAnsi="ARIAL"/>
                <w:sz w:val="20"/>
              </w:rPr>
              <w:t xml:space="preserve">Attract and retain seasoned professionals with demonstrated abilities to capitalize on growth and margin improvement opportunities in both existing and new markets (both geographic and business line);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40"/>
        <w:gridCol w:w="9990"/>
      </w:tblGrid>
      <w:tr>
        <w:trPr/>
        <w:tc>
          <w:tcPr>
            <w:tcW w:w="75"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w:t>
            </w:r>
          </w:p>
        </w:tc>
        <w:tc>
          <w:tcPr>
            <w:tcW w:w="9990" w:type="dxa"/>
            <w:tcBorders/>
            <w:shd w:fill="auto" w:val="clear"/>
            <w:vAlign w:val="center"/>
          </w:tcPr>
          <w:p>
            <w:pPr>
              <w:pStyle w:val="TableContents"/>
              <w:spacing w:before="0" w:after="0"/>
              <w:jc w:val="left"/>
              <w:rPr>
                <w:rFonts w:ascii="ARIAL" w:hAnsi="ARIAL"/>
                <w:sz w:val="20"/>
              </w:rPr>
            </w:pPr>
            <w:r>
              <w:rPr>
                <w:rFonts w:ascii="ARIAL" w:hAnsi="ARIAL"/>
                <w:sz w:val="20"/>
              </w:rPr>
              <w:t xml:space="preserve">Incorporate short-term and long-term components that align the interests of executive management with stockholders while also appropriately incentivizing our executives to drive Company performance and maximize value; and </w:t>
            </w:r>
          </w:p>
        </w:tc>
      </w:tr>
    </w:tbl>
    <w:p>
      <w:pPr>
        <w:pStyle w:val="TextBody"/>
        <w:spacing w:before="0" w:after="0"/>
        <w:jc w:val="left"/>
        <w:rPr/>
      </w:pPr>
      <w:r>
        <w:rPr/>
        <w:t> </w:t>
      </w:r>
    </w:p>
    <w:tbl>
      <w:tblPr>
        <w:tblW w:w="5425" w:type="dxa"/>
        <w:jc w:val="left"/>
        <w:tblInd w:w="0" w:type="dxa"/>
        <w:tblCellMar>
          <w:top w:w="0" w:type="dxa"/>
          <w:left w:w="0" w:type="dxa"/>
          <w:bottom w:w="0" w:type="dxa"/>
          <w:right w:w="0" w:type="dxa"/>
        </w:tblCellMar>
      </w:tblPr>
      <w:tblGrid>
        <w:gridCol w:w="75"/>
        <w:gridCol w:w="140"/>
        <w:gridCol w:w="5210"/>
      </w:tblGrid>
      <w:tr>
        <w:trPr/>
        <w:tc>
          <w:tcPr>
            <w:tcW w:w="75"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w:t>
            </w:r>
          </w:p>
        </w:tc>
        <w:tc>
          <w:tcPr>
            <w:tcW w:w="5210" w:type="dxa"/>
            <w:tcBorders/>
            <w:shd w:fill="auto" w:val="clear"/>
            <w:vAlign w:val="center"/>
          </w:tcPr>
          <w:p>
            <w:pPr>
              <w:pStyle w:val="TableContents"/>
              <w:spacing w:before="0" w:after="0"/>
              <w:jc w:val="left"/>
              <w:rPr>
                <w:rFonts w:ascii="ARIAL" w:hAnsi="ARIAL"/>
                <w:sz w:val="20"/>
              </w:rPr>
            </w:pPr>
            <w:r>
              <w:rPr>
                <w:rFonts w:ascii="ARIAL" w:hAnsi="ARIAL"/>
                <w:sz w:val="20"/>
              </w:rPr>
              <w:t xml:space="preserve">Promote an environment of ethical and compliant behavior. </w:t>
            </w:r>
          </w:p>
        </w:tc>
      </w:tr>
    </w:tbl>
    <w:p>
      <w:pPr>
        <w:pStyle w:val="TextBody"/>
        <w:spacing w:before="200" w:after="0"/>
        <w:jc w:val="left"/>
        <w:rPr>
          <w:rFonts w:ascii="ARIAL" w:hAnsi="ARIAL"/>
          <w:sz w:val="20"/>
        </w:rPr>
      </w:pPr>
      <w:r>
        <w:rPr>
          <w:rFonts w:ascii="ARIAL" w:hAnsi="ARIAL"/>
          <w:sz w:val="20"/>
        </w:rPr>
        <w:t xml:space="preserve">Our executive compensation program has been designed, reviewed and modified over time to conform to governance best practices and to respond to investor feedback regarding pay practices. For example, the Company has implemented the following policies: </w:t>
      </w:r>
    </w:p>
    <w:p>
      <w:pPr>
        <w:pStyle w:val="TextBody"/>
        <w:spacing w:before="0" w:after="0"/>
        <w:jc w:val="left"/>
        <w:rPr/>
      </w:pPr>
      <w:r>
        <w:rPr/>
        <w:t> </w:t>
      </w:r>
    </w:p>
    <w:tbl>
      <w:tblPr>
        <w:tblW w:w="10205" w:type="dxa"/>
        <w:jc w:val="left"/>
        <w:tblInd w:w="0" w:type="dxa"/>
        <w:shd w:fill="D8D8D8" w:val="clear"/>
        <w:tblCellMar>
          <w:top w:w="0" w:type="dxa"/>
          <w:left w:w="0" w:type="dxa"/>
          <w:bottom w:w="0" w:type="dxa"/>
          <w:right w:w="0" w:type="dxa"/>
        </w:tblCellMar>
      </w:tblPr>
      <w:tblGrid>
        <w:gridCol w:w="5782"/>
        <w:gridCol w:w="120"/>
        <w:gridCol w:w="4303"/>
      </w:tblGrid>
      <w:tr>
        <w:trPr/>
        <w:tc>
          <w:tcPr>
            <w:tcW w:w="5782" w:type="dxa"/>
            <w:tcBorders/>
            <w:shd w:fill="D8D8D8" w:val="clear"/>
            <w:vAlign w:val="center"/>
          </w:tcPr>
          <w:p>
            <w:pPr>
              <w:pStyle w:val="TableContents"/>
              <w:spacing w:before="0" w:after="283"/>
              <w:rPr>
                <w:sz w:val="4"/>
                <w:szCs w:val="4"/>
              </w:rPr>
            </w:pPr>
            <w:r>
              <w:rPr>
                <w:sz w:val="4"/>
                <w:szCs w:val="4"/>
              </w:rPr>
            </w:r>
          </w:p>
        </w:tc>
        <w:tc>
          <w:tcPr>
            <w:tcW w:w="120" w:type="dxa"/>
            <w:tcBorders/>
            <w:shd w:fill="D8D8D8" w:val="clear"/>
            <w:vAlign w:val="center"/>
          </w:tcPr>
          <w:p>
            <w:pPr>
              <w:pStyle w:val="TableContents"/>
              <w:spacing w:before="0" w:after="283"/>
              <w:rPr>
                <w:sz w:val="4"/>
                <w:szCs w:val="4"/>
              </w:rPr>
            </w:pPr>
            <w:r>
              <w:rPr>
                <w:sz w:val="4"/>
                <w:szCs w:val="4"/>
              </w:rPr>
            </w:r>
          </w:p>
        </w:tc>
        <w:tc>
          <w:tcPr>
            <w:tcW w:w="4303" w:type="dxa"/>
            <w:tcBorders/>
            <w:shd w:fill="D8D8D8" w:val="clear"/>
            <w:vAlign w:val="center"/>
          </w:tcPr>
          <w:p>
            <w:pPr>
              <w:pStyle w:val="TableContents"/>
              <w:spacing w:before="0" w:after="283"/>
              <w:rPr>
                <w:sz w:val="4"/>
                <w:szCs w:val="4"/>
              </w:rPr>
            </w:pPr>
            <w:r>
              <w:rPr>
                <w:sz w:val="4"/>
                <w:szCs w:val="4"/>
              </w:rPr>
            </w:r>
          </w:p>
        </w:tc>
      </w:tr>
      <w:tr>
        <w:trPr/>
        <w:tc>
          <w:tcPr>
            <w:tcW w:w="5782" w:type="dxa"/>
            <w:tcBorders>
              <w:top w:val="single" w:sz="6" w:space="0" w:color="000000"/>
              <w:bottom w:val="single" w:sz="6" w:space="0" w:color="000000"/>
            </w:tcBorders>
            <w:shd w:fill="D8D8D8" w:val="clear"/>
            <w:tcMar>
              <w:top w:w="28" w:type="dxa"/>
              <w:bottom w:w="28" w:type="dxa"/>
            </w:tcMar>
            <w:vAlign w:val="center"/>
          </w:tcPr>
          <w:p>
            <w:pPr>
              <w:pStyle w:val="TableContents"/>
              <w:spacing w:before="0" w:after="283"/>
              <w:rPr/>
            </w:pPr>
            <w:r>
              <w:rPr/>
              <w:t>    </w:t>
            </w:r>
            <w:r>
              <w:rPr>
                <w:b/>
              </w:rPr>
              <w:t>What We Do</w:t>
            </w:r>
          </w:p>
        </w:tc>
        <w:tc>
          <w:tcPr>
            <w:tcW w:w="120" w:type="dxa"/>
            <w:tcBorders>
              <w:top w:val="single" w:sz="6" w:space="0" w:color="000000"/>
              <w:bottom w:val="single" w:sz="6" w:space="0" w:color="000000"/>
            </w:tcBorders>
            <w:shd w:fill="D8D8D8" w:val="clear"/>
            <w:tcMar>
              <w:top w:w="28" w:type="dxa"/>
              <w:bottom w:w="28" w:type="dxa"/>
            </w:tcMar>
            <w:vAlign w:val="center"/>
          </w:tcPr>
          <w:p>
            <w:pPr>
              <w:pStyle w:val="TableContents"/>
              <w:spacing w:before="0" w:after="283"/>
              <w:rPr/>
            </w:pPr>
            <w:r>
              <w:rPr/>
              <w:t>  </w:t>
            </w:r>
          </w:p>
        </w:tc>
        <w:tc>
          <w:tcPr>
            <w:tcW w:w="4303" w:type="dxa"/>
            <w:tcBorders>
              <w:top w:val="single" w:sz="6" w:space="0" w:color="000000"/>
              <w:bottom w:val="single" w:sz="6" w:space="0" w:color="000000"/>
            </w:tcBorders>
            <w:shd w:fill="D8D8D8" w:val="clear"/>
            <w:tcMar>
              <w:top w:w="28" w:type="dxa"/>
              <w:bottom w:w="28" w:type="dxa"/>
            </w:tcMar>
            <w:vAlign w:val="center"/>
          </w:tcPr>
          <w:p>
            <w:pPr>
              <w:pStyle w:val="TableContents"/>
              <w:spacing w:before="0" w:after="283"/>
              <w:rPr>
                <w:b/>
              </w:rPr>
            </w:pPr>
            <w:r>
              <w:rPr>
                <w:b/>
              </w:rPr>
              <w:t>What We Don’t Do</w:t>
            </w:r>
          </w:p>
        </w:tc>
      </w:tr>
      <w:tr>
        <w:trPr/>
        <w:tc>
          <w:tcPr>
            <w:tcW w:w="5782" w:type="dxa"/>
            <w:tcBorders/>
            <w:shd w:fill="D8D8D8" w:val="clear"/>
            <w:vAlign w:val="center"/>
          </w:tcPr>
          <w:p>
            <w:pPr>
              <w:pStyle w:val="TableContents"/>
              <w:spacing w:before="0" w:after="0"/>
              <w:rPr/>
            </w:pPr>
            <w:r>
              <w:rPr/>
              <w:drawing>
                <wp:inline distT="0" distB="0" distL="0" distR="0">
                  <wp:extent cx="14605" cy="1460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14605" cy="14605"/>
                          </a:xfrm>
                          <a:prstGeom prst="rect">
                            <a:avLst/>
                          </a:prstGeom>
                        </pic:spPr>
                      </pic:pic>
                    </a:graphicData>
                  </a:graphic>
                </wp:inline>
              </w:drawing>
            </w:r>
            <w:r>
              <w:rPr/>
              <w:t xml:space="preserve">   </w:t>
            </w:r>
            <w:r>
              <w:rPr>
                <w:rFonts w:ascii="arial" w:hAnsi="arial"/>
                <w:b/>
                <w:sz w:val="19"/>
              </w:rPr>
              <w:t>Pay for Performance – A significant portion of the compensation for our NEOs is in the form of at-risk variable compensation.</w:t>
            </w:r>
          </w:p>
        </w:tc>
        <w:tc>
          <w:tcPr>
            <w:tcW w:w="120" w:type="dxa"/>
            <w:tcBorders/>
            <w:shd w:fill="D8D8D8" w:val="clear"/>
            <w:vAlign w:val="center"/>
          </w:tcPr>
          <w:p>
            <w:pPr>
              <w:pStyle w:val="TableContents"/>
              <w:spacing w:before="0" w:after="283"/>
              <w:rPr/>
            </w:pPr>
            <w:r>
              <w:rPr/>
              <w:t>  </w:t>
            </w:r>
          </w:p>
        </w:tc>
        <w:tc>
          <w:tcPr>
            <w:tcW w:w="4303" w:type="dxa"/>
            <w:tcBorders/>
            <w:shd w:fill="D8D8D8" w:val="clear"/>
            <w:vAlign w:val="center"/>
          </w:tcPr>
          <w:p>
            <w:pPr>
              <w:pStyle w:val="TableContents"/>
              <w:spacing w:before="0" w:after="0"/>
              <w:rPr/>
            </w:pPr>
            <w:r>
              <w:rPr/>
              <w:drawing>
                <wp:inline distT="0" distB="0" distL="0" distR="0">
                  <wp:extent cx="14605" cy="1460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14605" cy="14605"/>
                          </a:xfrm>
                          <a:prstGeom prst="rect">
                            <a:avLst/>
                          </a:prstGeom>
                        </pic:spPr>
                      </pic:pic>
                    </a:graphicData>
                  </a:graphic>
                </wp:inline>
              </w:drawing>
            </w:r>
            <w:r>
              <w:rPr/>
              <w:t xml:space="preserve">   </w:t>
            </w:r>
            <w:r>
              <w:rPr>
                <w:rFonts w:ascii="arial" w:hAnsi="arial"/>
                <w:sz w:val="19"/>
              </w:rPr>
              <w:t>Excessive Perquisites – Perquisites represent a limited portion of our NEOs’ compensation.</w:t>
            </w:r>
          </w:p>
        </w:tc>
      </w:tr>
      <w:tr>
        <w:trPr/>
        <w:tc>
          <w:tcPr>
            <w:tcW w:w="5782" w:type="dxa"/>
            <w:tcBorders/>
            <w:shd w:fill="D8D8D8" w:val="clear"/>
            <w:vAlign w:val="center"/>
          </w:tcPr>
          <w:p>
            <w:pPr>
              <w:pStyle w:val="TableContents"/>
              <w:spacing w:before="0" w:after="283"/>
              <w:rPr>
                <w:sz w:val="4"/>
                <w:szCs w:val="4"/>
              </w:rPr>
            </w:pPr>
            <w:r>
              <w:rPr>
                <w:sz w:val="4"/>
                <w:szCs w:val="4"/>
              </w:rPr>
            </w:r>
          </w:p>
        </w:tc>
        <w:tc>
          <w:tcPr>
            <w:tcW w:w="4423" w:type="dxa"/>
            <w:gridSpan w:val="2"/>
            <w:tcBorders/>
            <w:shd w:fill="D8D8D8" w:val="clear"/>
            <w:vAlign w:val="center"/>
          </w:tcPr>
          <w:p>
            <w:pPr>
              <w:pStyle w:val="TableContents"/>
              <w:spacing w:before="0" w:after="283"/>
              <w:rPr>
                <w:sz w:val="4"/>
                <w:szCs w:val="4"/>
              </w:rPr>
            </w:pPr>
            <w:r>
              <w:rPr>
                <w:sz w:val="4"/>
                <w:szCs w:val="4"/>
              </w:rPr>
            </w:r>
          </w:p>
        </w:tc>
      </w:tr>
      <w:tr>
        <w:trPr/>
        <w:tc>
          <w:tcPr>
            <w:tcW w:w="5782" w:type="dxa"/>
            <w:tcBorders/>
            <w:shd w:fill="D8D8D8" w:val="clear"/>
            <w:vAlign w:val="center"/>
          </w:tcPr>
          <w:p>
            <w:pPr>
              <w:pStyle w:val="TableContents"/>
              <w:spacing w:before="0" w:after="0"/>
              <w:rPr/>
            </w:pPr>
            <w:r>
              <w:rPr/>
              <w:drawing>
                <wp:inline distT="0" distB="0" distL="0" distR="0">
                  <wp:extent cx="14605" cy="1460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14605" cy="14605"/>
                          </a:xfrm>
                          <a:prstGeom prst="rect">
                            <a:avLst/>
                          </a:prstGeom>
                        </pic:spPr>
                      </pic:pic>
                    </a:graphicData>
                  </a:graphic>
                </wp:inline>
              </w:drawing>
            </w:r>
            <w:r>
              <w:rPr/>
              <w:t xml:space="preserve">   </w:t>
            </w:r>
            <w:r>
              <w:rPr>
                <w:rFonts w:ascii="arial" w:hAnsi="arial"/>
                <w:b/>
                <w:sz w:val="19"/>
              </w:rPr>
              <w:t>Multiple Performance Metrics – Cash incentive compensation and our performance-based restricted stock awards are based on multiple measures to support the Company’s long-term strategy in a balanced manner.</w:t>
            </w:r>
          </w:p>
        </w:tc>
        <w:tc>
          <w:tcPr>
            <w:tcW w:w="120" w:type="dxa"/>
            <w:tcBorders/>
            <w:shd w:fill="D8D8D8" w:val="clear"/>
            <w:vAlign w:val="center"/>
          </w:tcPr>
          <w:p>
            <w:pPr>
              <w:pStyle w:val="TableContents"/>
              <w:spacing w:before="0" w:after="283"/>
              <w:rPr/>
            </w:pPr>
            <w:r>
              <w:rPr/>
              <w:t>  </w:t>
            </w:r>
          </w:p>
        </w:tc>
        <w:tc>
          <w:tcPr>
            <w:tcW w:w="4303" w:type="dxa"/>
            <w:tcBorders/>
            <w:shd w:fill="D8D8D8" w:val="clear"/>
            <w:vAlign w:val="center"/>
          </w:tcPr>
          <w:p>
            <w:pPr>
              <w:pStyle w:val="TableContents"/>
              <w:spacing w:before="0" w:after="0"/>
              <w:rPr/>
            </w:pPr>
            <w:r>
              <w:rPr/>
              <w:drawing>
                <wp:inline distT="0" distB="0" distL="0" distR="0">
                  <wp:extent cx="14605" cy="1460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14605" cy="14605"/>
                          </a:xfrm>
                          <a:prstGeom prst="rect">
                            <a:avLst/>
                          </a:prstGeom>
                        </pic:spPr>
                      </pic:pic>
                    </a:graphicData>
                  </a:graphic>
                </wp:inline>
              </w:drawing>
            </w:r>
            <w:r>
              <w:rPr/>
              <w:t xml:space="preserve">   </w:t>
            </w:r>
            <w:r>
              <w:rPr>
                <w:rFonts w:ascii="arial" w:hAnsi="arial"/>
                <w:sz w:val="19"/>
              </w:rPr>
              <w:t>Employment Agreements – We do not have employment agreements with our NEOs, and all of our NEOs are employed on an at-will basis.</w:t>
            </w:r>
          </w:p>
        </w:tc>
      </w:tr>
      <w:tr>
        <w:trPr/>
        <w:tc>
          <w:tcPr>
            <w:tcW w:w="5782" w:type="dxa"/>
            <w:tcBorders/>
            <w:shd w:fill="D8D8D8" w:val="clear"/>
            <w:vAlign w:val="center"/>
          </w:tcPr>
          <w:p>
            <w:pPr>
              <w:pStyle w:val="TableContents"/>
              <w:spacing w:before="0" w:after="283"/>
              <w:rPr>
                <w:sz w:val="4"/>
                <w:szCs w:val="4"/>
              </w:rPr>
            </w:pPr>
            <w:r>
              <w:rPr>
                <w:sz w:val="4"/>
                <w:szCs w:val="4"/>
              </w:rPr>
            </w:r>
          </w:p>
        </w:tc>
        <w:tc>
          <w:tcPr>
            <w:tcW w:w="4423" w:type="dxa"/>
            <w:gridSpan w:val="2"/>
            <w:tcBorders/>
            <w:shd w:fill="D8D8D8" w:val="clear"/>
            <w:vAlign w:val="center"/>
          </w:tcPr>
          <w:p>
            <w:pPr>
              <w:pStyle w:val="TableContents"/>
              <w:spacing w:before="0" w:after="283"/>
              <w:rPr>
                <w:sz w:val="4"/>
                <w:szCs w:val="4"/>
              </w:rPr>
            </w:pPr>
            <w:r>
              <w:rPr>
                <w:sz w:val="4"/>
                <w:szCs w:val="4"/>
              </w:rPr>
            </w:r>
          </w:p>
        </w:tc>
      </w:tr>
      <w:tr>
        <w:trPr/>
        <w:tc>
          <w:tcPr>
            <w:tcW w:w="5782" w:type="dxa"/>
            <w:tcBorders/>
            <w:shd w:fill="D8D8D8" w:val="clear"/>
            <w:vAlign w:val="center"/>
          </w:tcPr>
          <w:p>
            <w:pPr>
              <w:pStyle w:val="TableContents"/>
              <w:spacing w:before="0" w:after="0"/>
              <w:rPr/>
            </w:pPr>
            <w:r>
              <w:rPr/>
              <w:drawing>
                <wp:inline distT="0" distB="0" distL="0" distR="0">
                  <wp:extent cx="14605" cy="1460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14605" cy="14605"/>
                          </a:xfrm>
                          <a:prstGeom prst="rect">
                            <a:avLst/>
                          </a:prstGeom>
                        </pic:spPr>
                      </pic:pic>
                    </a:graphicData>
                  </a:graphic>
                </wp:inline>
              </w:drawing>
            </w:r>
            <w:r>
              <w:rPr/>
              <w:t xml:space="preserve">   </w:t>
            </w:r>
            <w:r>
              <w:rPr>
                <w:rFonts w:ascii="arial" w:hAnsi="arial"/>
                <w:b/>
                <w:sz w:val="19"/>
              </w:rPr>
              <w:t>Long-Term Performance Focus – Half of the annual long-term equity awards for our NEOs are tied to three-year financial goals (for 2022 awards, Total Shareholder Return Percentile Rank (CEO, CFO and then-Executive Chairman only); Consolidated Adjusted EBITDA Growth; and Same-Store Net Revenue Growth).</w:t>
            </w:r>
          </w:p>
        </w:tc>
        <w:tc>
          <w:tcPr>
            <w:tcW w:w="120" w:type="dxa"/>
            <w:tcBorders/>
            <w:shd w:fill="D8D8D8" w:val="clear"/>
            <w:vAlign w:val="center"/>
          </w:tcPr>
          <w:p>
            <w:pPr>
              <w:pStyle w:val="TableContents"/>
              <w:spacing w:before="0" w:after="283"/>
              <w:rPr/>
            </w:pPr>
            <w:r>
              <w:rPr/>
              <w:t>  </w:t>
            </w:r>
          </w:p>
        </w:tc>
        <w:tc>
          <w:tcPr>
            <w:tcW w:w="4303" w:type="dxa"/>
            <w:tcBorders/>
            <w:shd w:fill="D8D8D8" w:val="clear"/>
            <w:vAlign w:val="center"/>
          </w:tcPr>
          <w:p>
            <w:pPr>
              <w:pStyle w:val="TableContents"/>
              <w:spacing w:before="0" w:after="0"/>
              <w:rPr/>
            </w:pPr>
            <w:r>
              <w:rPr/>
              <w:drawing>
                <wp:inline distT="0" distB="0" distL="0" distR="0">
                  <wp:extent cx="14605" cy="1460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14605" cy="14605"/>
                          </a:xfrm>
                          <a:prstGeom prst="rect">
                            <a:avLst/>
                          </a:prstGeom>
                        </pic:spPr>
                      </pic:pic>
                    </a:graphicData>
                  </a:graphic>
                </wp:inline>
              </w:drawing>
            </w:r>
            <w:r>
              <w:rPr/>
              <w:t xml:space="preserve">   </w:t>
            </w:r>
            <w:r>
              <w:rPr>
                <w:rFonts w:ascii="arial" w:hAnsi="arial"/>
                <w:sz w:val="19"/>
              </w:rPr>
              <w:t>Guaranteed Annual Salary Increases or Bonuses – For our NEOs, annual salary increases are based on market competitiveness and other considerations, while annual cash incentives are tied to corporate and individual performance.</w:t>
            </w:r>
          </w:p>
        </w:tc>
      </w:tr>
      <w:tr>
        <w:trPr/>
        <w:tc>
          <w:tcPr>
            <w:tcW w:w="5782" w:type="dxa"/>
            <w:tcBorders/>
            <w:shd w:fill="D8D8D8" w:val="clear"/>
            <w:vAlign w:val="center"/>
          </w:tcPr>
          <w:p>
            <w:pPr>
              <w:pStyle w:val="TableContents"/>
              <w:spacing w:before="0" w:after="283"/>
              <w:rPr>
                <w:sz w:val="4"/>
                <w:szCs w:val="4"/>
              </w:rPr>
            </w:pPr>
            <w:r>
              <w:rPr>
                <w:sz w:val="4"/>
                <w:szCs w:val="4"/>
              </w:rPr>
            </w:r>
          </w:p>
        </w:tc>
        <w:tc>
          <w:tcPr>
            <w:tcW w:w="4423" w:type="dxa"/>
            <w:gridSpan w:val="2"/>
            <w:tcBorders/>
            <w:shd w:fill="D8D8D8" w:val="clear"/>
            <w:vAlign w:val="center"/>
          </w:tcPr>
          <w:p>
            <w:pPr>
              <w:pStyle w:val="TableContents"/>
              <w:spacing w:before="0" w:after="283"/>
              <w:rPr>
                <w:sz w:val="4"/>
                <w:szCs w:val="4"/>
              </w:rPr>
            </w:pPr>
            <w:r>
              <w:rPr>
                <w:sz w:val="4"/>
                <w:szCs w:val="4"/>
              </w:rPr>
            </w:r>
          </w:p>
        </w:tc>
      </w:tr>
      <w:tr>
        <w:trPr/>
        <w:tc>
          <w:tcPr>
            <w:tcW w:w="5782" w:type="dxa"/>
            <w:tcBorders/>
            <w:shd w:fill="D8D8D8" w:val="clear"/>
            <w:vAlign w:val="center"/>
          </w:tcPr>
          <w:p>
            <w:pPr>
              <w:pStyle w:val="TableContents"/>
              <w:spacing w:before="0" w:after="0"/>
              <w:rPr/>
            </w:pPr>
            <w:r>
              <w:rPr/>
              <w:drawing>
                <wp:inline distT="0" distB="0" distL="0" distR="0">
                  <wp:extent cx="14605" cy="1460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14605" cy="14605"/>
                          </a:xfrm>
                          <a:prstGeom prst="rect">
                            <a:avLst/>
                          </a:prstGeom>
                        </pic:spPr>
                      </pic:pic>
                    </a:graphicData>
                  </a:graphic>
                </wp:inline>
              </w:drawing>
            </w:r>
            <w:r>
              <w:rPr/>
              <w:t xml:space="preserve">   </w:t>
            </w:r>
            <w:r>
              <w:rPr>
                <w:rFonts w:ascii="arial" w:hAnsi="arial"/>
                <w:b/>
                <w:sz w:val="19"/>
              </w:rPr>
              <w:t>Equity Ownership Guidelines – All NEOs are subject to our equity ownership requirements.</w:t>
            </w:r>
          </w:p>
        </w:tc>
        <w:tc>
          <w:tcPr>
            <w:tcW w:w="120" w:type="dxa"/>
            <w:tcBorders/>
            <w:shd w:fill="D8D8D8" w:val="clear"/>
            <w:vAlign w:val="center"/>
          </w:tcPr>
          <w:p>
            <w:pPr>
              <w:pStyle w:val="TableContents"/>
              <w:spacing w:before="0" w:after="283"/>
              <w:rPr/>
            </w:pPr>
            <w:r>
              <w:rPr/>
              <w:t>  </w:t>
            </w:r>
          </w:p>
        </w:tc>
        <w:tc>
          <w:tcPr>
            <w:tcW w:w="4303" w:type="dxa"/>
            <w:tcBorders/>
            <w:shd w:fill="D8D8D8" w:val="clear"/>
            <w:vAlign w:val="center"/>
          </w:tcPr>
          <w:p>
            <w:pPr>
              <w:pStyle w:val="TableContents"/>
              <w:spacing w:before="0" w:after="0"/>
              <w:rPr/>
            </w:pPr>
            <w:r>
              <w:rPr/>
              <w:drawing>
                <wp:inline distT="0" distB="0" distL="0" distR="0">
                  <wp:extent cx="14605" cy="1460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14605" cy="14605"/>
                          </a:xfrm>
                          <a:prstGeom prst="rect">
                            <a:avLst/>
                          </a:prstGeom>
                        </pic:spPr>
                      </pic:pic>
                    </a:graphicData>
                  </a:graphic>
                </wp:inline>
              </w:drawing>
            </w:r>
            <w:r>
              <w:rPr/>
              <w:t xml:space="preserve">   </w:t>
            </w:r>
            <w:r>
              <w:rPr>
                <w:rFonts w:ascii="arial" w:hAnsi="arial"/>
                <w:sz w:val="19"/>
              </w:rPr>
              <w:t>Excise Tax Gross-ups are not offered for any executive officers covered under the Company’s Change-in-Control Severance Agreements.</w:t>
            </w:r>
          </w:p>
        </w:tc>
      </w:tr>
      <w:tr>
        <w:trPr/>
        <w:tc>
          <w:tcPr>
            <w:tcW w:w="5782" w:type="dxa"/>
            <w:tcBorders/>
            <w:shd w:fill="D8D8D8" w:val="clear"/>
            <w:vAlign w:val="center"/>
          </w:tcPr>
          <w:p>
            <w:pPr>
              <w:pStyle w:val="TableContents"/>
              <w:spacing w:before="0" w:after="283"/>
              <w:rPr>
                <w:sz w:val="4"/>
                <w:szCs w:val="4"/>
              </w:rPr>
            </w:pPr>
            <w:r>
              <w:rPr>
                <w:sz w:val="4"/>
                <w:szCs w:val="4"/>
              </w:rPr>
            </w:r>
          </w:p>
        </w:tc>
        <w:tc>
          <w:tcPr>
            <w:tcW w:w="4423" w:type="dxa"/>
            <w:gridSpan w:val="2"/>
            <w:tcBorders/>
            <w:shd w:fill="D8D8D8" w:val="clear"/>
            <w:vAlign w:val="center"/>
          </w:tcPr>
          <w:p>
            <w:pPr>
              <w:pStyle w:val="TableContents"/>
              <w:spacing w:before="0" w:after="283"/>
              <w:rPr>
                <w:sz w:val="4"/>
                <w:szCs w:val="4"/>
              </w:rPr>
            </w:pPr>
            <w:r>
              <w:rPr>
                <w:sz w:val="4"/>
                <w:szCs w:val="4"/>
              </w:rPr>
            </w:r>
          </w:p>
        </w:tc>
      </w:tr>
      <w:tr>
        <w:trPr/>
        <w:tc>
          <w:tcPr>
            <w:tcW w:w="5782" w:type="dxa"/>
            <w:tcBorders/>
            <w:shd w:fill="D8D8D8" w:val="clear"/>
            <w:vAlign w:val="center"/>
          </w:tcPr>
          <w:p>
            <w:pPr>
              <w:pStyle w:val="TableContents"/>
              <w:spacing w:before="0" w:after="0"/>
              <w:rPr/>
            </w:pPr>
            <w:r>
              <w:rPr/>
              <w:drawing>
                <wp:inline distT="0" distB="0" distL="0" distR="0">
                  <wp:extent cx="14605" cy="1460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14605" cy="14605"/>
                          </a:xfrm>
                          <a:prstGeom prst="rect">
                            <a:avLst/>
                          </a:prstGeom>
                        </pic:spPr>
                      </pic:pic>
                    </a:graphicData>
                  </a:graphic>
                </wp:inline>
              </w:drawing>
            </w:r>
            <w:r>
              <w:rPr/>
              <w:t xml:space="preserve">   “</w:t>
            </w:r>
            <w:r>
              <w:rPr>
                <w:rFonts w:ascii="arial" w:hAnsi="arial"/>
                <w:b/>
                <w:sz w:val="19"/>
              </w:rPr>
              <w:t>Clawback” Provisions – Our policy provides for the adjustment or recovery of compensation in certain circumstances.</w:t>
            </w:r>
          </w:p>
        </w:tc>
        <w:tc>
          <w:tcPr>
            <w:tcW w:w="120" w:type="dxa"/>
            <w:tcBorders/>
            <w:shd w:fill="D8D8D8" w:val="clear"/>
            <w:vAlign w:val="center"/>
          </w:tcPr>
          <w:p>
            <w:pPr>
              <w:pStyle w:val="TableContents"/>
              <w:spacing w:before="0" w:after="283"/>
              <w:rPr/>
            </w:pPr>
            <w:r>
              <w:rPr/>
              <w:t>  </w:t>
            </w:r>
          </w:p>
        </w:tc>
        <w:tc>
          <w:tcPr>
            <w:tcW w:w="4303" w:type="dxa"/>
            <w:tcBorders/>
            <w:shd w:fill="D8D8D8" w:val="clear"/>
            <w:vAlign w:val="center"/>
          </w:tcPr>
          <w:p>
            <w:pPr>
              <w:pStyle w:val="TableContents"/>
              <w:spacing w:before="0" w:after="0"/>
              <w:rPr/>
            </w:pPr>
            <w:r>
              <w:rPr/>
              <w:drawing>
                <wp:inline distT="0" distB="0" distL="0" distR="0">
                  <wp:extent cx="14605" cy="1460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47"/>
                          <a:stretch>
                            <a:fillRect/>
                          </a:stretch>
                        </pic:blipFill>
                        <pic:spPr bwMode="auto">
                          <a:xfrm>
                            <a:off x="0" y="0"/>
                            <a:ext cx="14605" cy="14605"/>
                          </a:xfrm>
                          <a:prstGeom prst="rect">
                            <a:avLst/>
                          </a:prstGeom>
                        </pic:spPr>
                      </pic:pic>
                    </a:graphicData>
                  </a:graphic>
                </wp:inline>
              </w:drawing>
            </w:r>
            <w:r>
              <w:rPr/>
              <w:t xml:space="preserve">   “</w:t>
            </w:r>
            <w:r>
              <w:rPr>
                <w:rFonts w:ascii="arial" w:hAnsi="arial"/>
                <w:sz w:val="19"/>
              </w:rPr>
              <w:t>Single-trigger” change-in-control cash severance payments – Company’s Plan documents prohibit “single-trigger” change-in-control cash severance payments.</w:t>
            </w:r>
          </w:p>
        </w:tc>
      </w:tr>
      <w:tr>
        <w:trPr/>
        <w:tc>
          <w:tcPr>
            <w:tcW w:w="5782" w:type="dxa"/>
            <w:tcBorders/>
            <w:shd w:fill="D8D8D8" w:val="clear"/>
            <w:vAlign w:val="center"/>
          </w:tcPr>
          <w:p>
            <w:pPr>
              <w:pStyle w:val="TableContents"/>
              <w:spacing w:before="0" w:after="283"/>
              <w:rPr>
                <w:sz w:val="4"/>
                <w:szCs w:val="4"/>
              </w:rPr>
            </w:pPr>
            <w:r>
              <w:rPr>
                <w:sz w:val="4"/>
                <w:szCs w:val="4"/>
              </w:rPr>
            </w:r>
          </w:p>
        </w:tc>
        <w:tc>
          <w:tcPr>
            <w:tcW w:w="4423" w:type="dxa"/>
            <w:gridSpan w:val="2"/>
            <w:tcBorders/>
            <w:shd w:fill="D8D8D8" w:val="clear"/>
            <w:vAlign w:val="center"/>
          </w:tcPr>
          <w:p>
            <w:pPr>
              <w:pStyle w:val="TableContents"/>
              <w:spacing w:before="0" w:after="283"/>
              <w:rPr>
                <w:sz w:val="4"/>
                <w:szCs w:val="4"/>
              </w:rPr>
            </w:pPr>
            <w:r>
              <w:rPr>
                <w:sz w:val="4"/>
                <w:szCs w:val="4"/>
              </w:rPr>
            </w:r>
          </w:p>
        </w:tc>
      </w:tr>
      <w:tr>
        <w:trPr/>
        <w:tc>
          <w:tcPr>
            <w:tcW w:w="5782" w:type="dxa"/>
            <w:tcBorders/>
            <w:shd w:fill="D8D8D8" w:val="clear"/>
            <w:vAlign w:val="center"/>
          </w:tcPr>
          <w:p>
            <w:pPr>
              <w:pStyle w:val="TableContents"/>
              <w:spacing w:before="0" w:after="0"/>
              <w:rPr/>
            </w:pPr>
            <w:r>
              <w:rPr/>
              <w:drawing>
                <wp:inline distT="0" distB="0" distL="0" distR="0">
                  <wp:extent cx="14605" cy="1460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48"/>
                          <a:stretch>
                            <a:fillRect/>
                          </a:stretch>
                        </pic:blipFill>
                        <pic:spPr bwMode="auto">
                          <a:xfrm>
                            <a:off x="0" y="0"/>
                            <a:ext cx="14605" cy="14605"/>
                          </a:xfrm>
                          <a:prstGeom prst="rect">
                            <a:avLst/>
                          </a:prstGeom>
                        </pic:spPr>
                      </pic:pic>
                    </a:graphicData>
                  </a:graphic>
                </wp:inline>
              </w:drawing>
            </w:r>
            <w:r>
              <w:rPr/>
              <w:t xml:space="preserve">   </w:t>
            </w:r>
            <w:r>
              <w:rPr>
                <w:rFonts w:ascii="arial" w:hAnsi="arial"/>
                <w:b/>
                <w:sz w:val="19"/>
              </w:rPr>
              <w:t>Award Caps – All of our annual cash incentive compensation plans and our performance-based restricted stock awards have caps on plan formulas.</w:t>
            </w:r>
          </w:p>
        </w:tc>
        <w:tc>
          <w:tcPr>
            <w:tcW w:w="120" w:type="dxa"/>
            <w:tcBorders/>
            <w:shd w:fill="D8D8D8" w:val="clear"/>
            <w:vAlign w:val="center"/>
          </w:tcPr>
          <w:p>
            <w:pPr>
              <w:pStyle w:val="TableContents"/>
              <w:spacing w:before="0" w:after="283"/>
              <w:rPr/>
            </w:pPr>
            <w:r>
              <w:rPr/>
              <w:t>  </w:t>
            </w:r>
          </w:p>
        </w:tc>
        <w:tc>
          <w:tcPr>
            <w:tcW w:w="4303" w:type="dxa"/>
            <w:tcBorders/>
            <w:shd w:fill="D8D8D8" w:val="clear"/>
            <w:vAlign w:val="center"/>
          </w:tcPr>
          <w:p>
            <w:pPr>
              <w:pStyle w:val="TableContents"/>
              <w:spacing w:before="0" w:after="0"/>
              <w:rPr/>
            </w:pPr>
            <w:r>
              <w:rPr/>
              <w:drawing>
                <wp:inline distT="0" distB="0" distL="0" distR="0">
                  <wp:extent cx="14605" cy="1460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49"/>
                          <a:stretch>
                            <a:fillRect/>
                          </a:stretch>
                        </pic:blipFill>
                        <pic:spPr bwMode="auto">
                          <a:xfrm>
                            <a:off x="0" y="0"/>
                            <a:ext cx="14605" cy="14605"/>
                          </a:xfrm>
                          <a:prstGeom prst="rect">
                            <a:avLst/>
                          </a:prstGeom>
                        </pic:spPr>
                      </pic:pic>
                    </a:graphicData>
                  </a:graphic>
                </wp:inline>
              </w:drawing>
            </w:r>
            <w:r>
              <w:rPr/>
              <w:t xml:space="preserve">   </w:t>
            </w:r>
            <w:r>
              <w:rPr>
                <w:rFonts w:ascii="arial" w:hAnsi="arial"/>
                <w:sz w:val="19"/>
              </w:rPr>
              <w:t>Pledging or Hedging – Company policy prohibits directors, executives, and certain other employees from pledging or hedging their stock in the Company.</w:t>
            </w:r>
          </w:p>
        </w:tc>
      </w:tr>
      <w:tr>
        <w:trPr/>
        <w:tc>
          <w:tcPr>
            <w:tcW w:w="5782" w:type="dxa"/>
            <w:tcBorders/>
            <w:shd w:fill="D8D8D8" w:val="clear"/>
            <w:vAlign w:val="center"/>
          </w:tcPr>
          <w:p>
            <w:pPr>
              <w:pStyle w:val="TableContents"/>
              <w:spacing w:before="0" w:after="283"/>
              <w:rPr>
                <w:sz w:val="4"/>
                <w:szCs w:val="4"/>
              </w:rPr>
            </w:pPr>
            <w:r>
              <w:rPr>
                <w:sz w:val="4"/>
                <w:szCs w:val="4"/>
              </w:rPr>
            </w:r>
          </w:p>
        </w:tc>
        <w:tc>
          <w:tcPr>
            <w:tcW w:w="4423" w:type="dxa"/>
            <w:gridSpan w:val="2"/>
            <w:tcBorders/>
            <w:shd w:fill="D8D8D8" w:val="clear"/>
            <w:vAlign w:val="center"/>
          </w:tcPr>
          <w:p>
            <w:pPr>
              <w:pStyle w:val="TableContents"/>
              <w:spacing w:before="0" w:after="283"/>
              <w:rPr>
                <w:sz w:val="4"/>
                <w:szCs w:val="4"/>
              </w:rPr>
            </w:pPr>
            <w:r>
              <w:rPr>
                <w:sz w:val="4"/>
                <w:szCs w:val="4"/>
              </w:rPr>
            </w:r>
          </w:p>
        </w:tc>
      </w:tr>
      <w:tr>
        <w:trPr/>
        <w:tc>
          <w:tcPr>
            <w:tcW w:w="5782" w:type="dxa"/>
            <w:tcBorders/>
            <w:shd w:fill="D8D8D8" w:val="clear"/>
            <w:vAlign w:val="center"/>
          </w:tcPr>
          <w:p>
            <w:pPr>
              <w:pStyle w:val="TableContents"/>
              <w:spacing w:before="0" w:after="0"/>
              <w:rPr/>
            </w:pPr>
            <w:r>
              <w:rPr/>
              <w:drawing>
                <wp:inline distT="0" distB="0" distL="0" distR="0">
                  <wp:extent cx="14605" cy="1460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embed="rId50"/>
                          <a:stretch>
                            <a:fillRect/>
                          </a:stretch>
                        </pic:blipFill>
                        <pic:spPr bwMode="auto">
                          <a:xfrm>
                            <a:off x="0" y="0"/>
                            <a:ext cx="14605" cy="14605"/>
                          </a:xfrm>
                          <a:prstGeom prst="rect">
                            <a:avLst/>
                          </a:prstGeom>
                        </pic:spPr>
                      </pic:pic>
                    </a:graphicData>
                  </a:graphic>
                </wp:inline>
              </w:drawing>
            </w:r>
            <w:r>
              <w:rPr/>
              <w:t xml:space="preserve">   </w:t>
            </w:r>
            <w:r>
              <w:rPr>
                <w:rFonts w:ascii="arial" w:hAnsi="arial"/>
                <w:b/>
                <w:sz w:val="19"/>
              </w:rPr>
              <w:t>Risk Assessment – The Compensation Committee regularly assesses the risk levels of the Company’s executive compensation program.</w:t>
            </w:r>
          </w:p>
        </w:tc>
        <w:tc>
          <w:tcPr>
            <w:tcW w:w="120" w:type="dxa"/>
            <w:tcBorders/>
            <w:shd w:fill="D8D8D8" w:val="clear"/>
            <w:vAlign w:val="center"/>
          </w:tcPr>
          <w:p>
            <w:pPr>
              <w:pStyle w:val="TableContents"/>
              <w:spacing w:before="0" w:after="283"/>
              <w:rPr/>
            </w:pPr>
            <w:r>
              <w:rPr/>
              <w:t>  </w:t>
            </w:r>
          </w:p>
        </w:tc>
        <w:tc>
          <w:tcPr>
            <w:tcW w:w="4303" w:type="dxa"/>
            <w:tcBorders/>
            <w:shd w:fill="D8D8D8" w:val="clear"/>
            <w:vAlign w:val="center"/>
          </w:tcPr>
          <w:p>
            <w:pPr>
              <w:pStyle w:val="TableContents"/>
              <w:spacing w:before="0" w:after="0"/>
              <w:rPr/>
            </w:pPr>
            <w:r>
              <w:rPr/>
              <w:drawing>
                <wp:inline distT="0" distB="0" distL="0" distR="0">
                  <wp:extent cx="14605" cy="1460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embed="rId51"/>
                          <a:stretch>
                            <a:fillRect/>
                          </a:stretch>
                        </pic:blipFill>
                        <pic:spPr bwMode="auto">
                          <a:xfrm>
                            <a:off x="0" y="0"/>
                            <a:ext cx="14605" cy="14605"/>
                          </a:xfrm>
                          <a:prstGeom prst="rect">
                            <a:avLst/>
                          </a:prstGeom>
                        </pic:spPr>
                      </pic:pic>
                    </a:graphicData>
                  </a:graphic>
                </wp:inline>
              </w:drawing>
            </w:r>
            <w:r>
              <w:rPr/>
              <w:t xml:space="preserve">   </w:t>
            </w:r>
            <w:r>
              <w:rPr>
                <w:rFonts w:ascii="arial" w:hAnsi="arial"/>
                <w:sz w:val="19"/>
              </w:rPr>
              <w:t>Repricing of underwater stock options – Company’s Plan documents prohibit any repricing.</w:t>
            </w:r>
          </w:p>
        </w:tc>
      </w:tr>
      <w:tr>
        <w:trPr/>
        <w:tc>
          <w:tcPr>
            <w:tcW w:w="5782" w:type="dxa"/>
            <w:tcBorders/>
            <w:shd w:fill="D8D8D8" w:val="clear"/>
            <w:vAlign w:val="center"/>
          </w:tcPr>
          <w:p>
            <w:pPr>
              <w:pStyle w:val="TableContents"/>
              <w:spacing w:before="0" w:after="283"/>
              <w:rPr>
                <w:sz w:val="4"/>
                <w:szCs w:val="4"/>
              </w:rPr>
            </w:pPr>
            <w:r>
              <w:rPr>
                <w:sz w:val="4"/>
                <w:szCs w:val="4"/>
              </w:rPr>
            </w:r>
          </w:p>
        </w:tc>
        <w:tc>
          <w:tcPr>
            <w:tcW w:w="4423" w:type="dxa"/>
            <w:gridSpan w:val="2"/>
            <w:tcBorders/>
            <w:shd w:fill="D8D8D8" w:val="clear"/>
            <w:vAlign w:val="center"/>
          </w:tcPr>
          <w:p>
            <w:pPr>
              <w:pStyle w:val="TableContents"/>
              <w:spacing w:before="0" w:after="283"/>
              <w:rPr>
                <w:sz w:val="4"/>
                <w:szCs w:val="4"/>
              </w:rPr>
            </w:pPr>
            <w:r>
              <w:rPr>
                <w:sz w:val="4"/>
                <w:szCs w:val="4"/>
              </w:rPr>
            </w:r>
          </w:p>
        </w:tc>
      </w:tr>
      <w:tr>
        <w:trPr/>
        <w:tc>
          <w:tcPr>
            <w:tcW w:w="5782" w:type="dxa"/>
            <w:tcBorders/>
            <w:shd w:fill="D8D8D8" w:val="clear"/>
            <w:vAlign w:val="center"/>
          </w:tcPr>
          <w:p>
            <w:pPr>
              <w:pStyle w:val="TableContents"/>
              <w:spacing w:before="0" w:after="0"/>
              <w:rPr/>
            </w:pPr>
            <w:r>
              <w:rPr/>
              <w:drawing>
                <wp:inline distT="0" distB="0" distL="0" distR="0">
                  <wp:extent cx="14605" cy="1460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embed="rId52"/>
                          <a:stretch>
                            <a:fillRect/>
                          </a:stretch>
                        </pic:blipFill>
                        <pic:spPr bwMode="auto">
                          <a:xfrm>
                            <a:off x="0" y="0"/>
                            <a:ext cx="14605" cy="14605"/>
                          </a:xfrm>
                          <a:prstGeom prst="rect">
                            <a:avLst/>
                          </a:prstGeom>
                        </pic:spPr>
                      </pic:pic>
                    </a:graphicData>
                  </a:graphic>
                </wp:inline>
              </w:drawing>
            </w:r>
            <w:r>
              <w:rPr/>
              <w:t xml:space="preserve">   </w:t>
            </w:r>
            <w:r>
              <w:rPr>
                <w:rFonts w:ascii="arial" w:hAnsi="arial"/>
                <w:b/>
                <w:sz w:val="19"/>
              </w:rPr>
              <w:t>Use a representative and relevant peer group.</w:t>
            </w:r>
          </w:p>
        </w:tc>
        <w:tc>
          <w:tcPr>
            <w:tcW w:w="120" w:type="dxa"/>
            <w:tcBorders/>
            <w:shd w:fill="D8D8D8" w:val="clear"/>
            <w:vAlign w:val="center"/>
          </w:tcPr>
          <w:p>
            <w:pPr>
              <w:pStyle w:val="TableContents"/>
              <w:spacing w:before="0" w:after="283"/>
              <w:rPr/>
            </w:pPr>
            <w:r>
              <w:rPr/>
              <w:t>  </w:t>
            </w:r>
          </w:p>
        </w:tc>
        <w:tc>
          <w:tcPr>
            <w:tcW w:w="4303" w:type="dxa"/>
            <w:tcBorders/>
            <w:shd w:fill="D8D8D8" w:val="clear"/>
            <w:vAlign w:val="center"/>
          </w:tcPr>
          <w:p>
            <w:pPr>
              <w:pStyle w:val="TableContents"/>
              <w:spacing w:before="0" w:after="283"/>
              <w:rPr>
                <w:sz w:val="4"/>
                <w:szCs w:val="4"/>
              </w:rPr>
            </w:pPr>
            <w:r>
              <w:rPr>
                <w:sz w:val="4"/>
                <w:szCs w:val="4"/>
              </w:rPr>
            </w:r>
          </w:p>
        </w:tc>
      </w:tr>
      <w:tr>
        <w:trPr/>
        <w:tc>
          <w:tcPr>
            <w:tcW w:w="5782" w:type="dxa"/>
            <w:tcBorders/>
            <w:shd w:fill="D8D8D8" w:val="clear"/>
            <w:vAlign w:val="center"/>
          </w:tcPr>
          <w:p>
            <w:pPr>
              <w:pStyle w:val="TableContents"/>
              <w:spacing w:before="0" w:after="283"/>
              <w:rPr>
                <w:sz w:val="4"/>
                <w:szCs w:val="4"/>
              </w:rPr>
            </w:pPr>
            <w:r>
              <w:rPr>
                <w:sz w:val="4"/>
                <w:szCs w:val="4"/>
              </w:rPr>
            </w:r>
          </w:p>
        </w:tc>
        <w:tc>
          <w:tcPr>
            <w:tcW w:w="4423" w:type="dxa"/>
            <w:gridSpan w:val="2"/>
            <w:tcBorders/>
            <w:shd w:fill="D8D8D8" w:val="clear"/>
            <w:vAlign w:val="center"/>
          </w:tcPr>
          <w:p>
            <w:pPr>
              <w:pStyle w:val="TableContents"/>
              <w:spacing w:before="0" w:after="283"/>
              <w:rPr>
                <w:sz w:val="4"/>
                <w:szCs w:val="4"/>
              </w:rPr>
            </w:pPr>
            <w:r>
              <w:rPr>
                <w:sz w:val="4"/>
                <w:szCs w:val="4"/>
              </w:rPr>
            </w:r>
          </w:p>
        </w:tc>
      </w:tr>
      <w:tr>
        <w:trPr/>
        <w:tc>
          <w:tcPr>
            <w:tcW w:w="5782" w:type="dxa"/>
            <w:tcBorders>
              <w:bottom w:val="single" w:sz="6" w:space="0" w:color="000000"/>
            </w:tcBorders>
            <w:shd w:fill="D8D8D8" w:val="clear"/>
            <w:tcMar>
              <w:bottom w:w="28" w:type="dxa"/>
            </w:tcMar>
            <w:vAlign w:val="center"/>
          </w:tcPr>
          <w:p>
            <w:pPr>
              <w:pStyle w:val="TableContents"/>
              <w:spacing w:before="0" w:after="0"/>
              <w:rPr/>
            </w:pPr>
            <w:r>
              <w:rPr/>
              <w:drawing>
                <wp:inline distT="0" distB="0" distL="0" distR="0">
                  <wp:extent cx="14605" cy="1460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embed="rId53"/>
                          <a:stretch>
                            <a:fillRect/>
                          </a:stretch>
                        </pic:blipFill>
                        <pic:spPr bwMode="auto">
                          <a:xfrm>
                            <a:off x="0" y="0"/>
                            <a:ext cx="14605" cy="14605"/>
                          </a:xfrm>
                          <a:prstGeom prst="rect">
                            <a:avLst/>
                          </a:prstGeom>
                        </pic:spPr>
                      </pic:pic>
                    </a:graphicData>
                  </a:graphic>
                </wp:inline>
              </w:drawing>
            </w:r>
            <w:r>
              <w:rPr/>
              <w:t xml:space="preserve">   </w:t>
            </w:r>
            <w:r>
              <w:rPr>
                <w:rFonts w:ascii="arial" w:hAnsi="arial"/>
                <w:b/>
                <w:sz w:val="19"/>
              </w:rPr>
              <w:t>Use an independent compensation consultant.</w:t>
            </w:r>
          </w:p>
        </w:tc>
        <w:tc>
          <w:tcPr>
            <w:tcW w:w="120" w:type="dxa"/>
            <w:tcBorders>
              <w:bottom w:val="single" w:sz="6" w:space="0" w:color="000000"/>
            </w:tcBorders>
            <w:shd w:fill="D8D8D8" w:val="clear"/>
            <w:tcMar>
              <w:bottom w:w="28" w:type="dxa"/>
            </w:tcMar>
            <w:vAlign w:val="center"/>
          </w:tcPr>
          <w:p>
            <w:pPr>
              <w:pStyle w:val="TableContents"/>
              <w:spacing w:before="0" w:after="283"/>
              <w:rPr/>
            </w:pPr>
            <w:r>
              <w:rPr/>
              <w:t>  </w:t>
            </w:r>
          </w:p>
        </w:tc>
        <w:tc>
          <w:tcPr>
            <w:tcW w:w="4303" w:type="dxa"/>
            <w:tcBorders>
              <w:bottom w:val="single" w:sz="6" w:space="0" w:color="000000"/>
            </w:tcBorders>
            <w:shd w:fill="D8D8D8" w:val="clear"/>
            <w:tcMar>
              <w:bottom w:w="28" w:type="dxa"/>
            </w:tcMar>
            <w:vAlign w:val="center"/>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42 </w:t>
      </w:r>
      <w:r>
        <w:br w:type="page"/>
      </w:r>
    </w:p>
    <w:p>
      <w:pPr>
        <w:pStyle w:val="HorizontalLine"/>
        <w:rPr/>
      </w:pPr>
      <w:r>
        <w:rPr/>
      </w:r>
    </w:p>
    <w:p>
      <w:pPr>
        <w:pStyle w:val="TextBody"/>
        <w:spacing w:before="0" w:after="0"/>
        <w:jc w:val="left"/>
        <w:rPr>
          <w:rFonts w:ascii="ARIAL" w:hAnsi="ARIAL"/>
          <w:sz w:val="20"/>
        </w:rPr>
      </w:pPr>
      <w:r>
        <w:rPr>
          <w:rFonts w:ascii="ARIAL" w:hAnsi="ARIAL"/>
          <w:sz w:val="20"/>
        </w:rPr>
        <w:t xml:space="preserve">A more detailed discussion of these policies and actions can be found on the following pages. </w:t>
      </w:r>
    </w:p>
    <w:p>
      <w:pPr>
        <w:pStyle w:val="TextBody"/>
        <w:spacing w:before="240" w:after="0"/>
        <w:jc w:val="left"/>
        <w:rPr>
          <w:rFonts w:ascii="ARIAL" w:hAnsi="ARIAL"/>
          <w:sz w:val="20"/>
        </w:rPr>
      </w:pPr>
      <w:r>
        <w:rPr>
          <w:rFonts w:ascii="ARIAL" w:hAnsi="ARIAL"/>
          <w:sz w:val="20"/>
        </w:rPr>
        <w:t xml:space="preserve">Over the years, we have continued to enhance and modify aspects of our executive compensation program, as appropriate, taking into account stockholder expectations and feedback in order to ensure that our executive compensation program continues to be structured in an optimal manner. </w:t>
      </w:r>
    </w:p>
    <w:p>
      <w:pPr>
        <w:pStyle w:val="TextBody"/>
        <w:spacing w:before="240" w:after="0"/>
        <w:jc w:val="left"/>
        <w:rPr>
          <w:rFonts w:ascii="ARIAL" w:hAnsi="ARIAL"/>
          <w:b/>
          <w:i/>
          <w:sz w:val="20"/>
        </w:rPr>
      </w:pPr>
      <w:r>
        <w:rPr>
          <w:rFonts w:ascii="ARIAL" w:hAnsi="ARIAL"/>
          <w:b/>
          <w:i/>
          <w:sz w:val="20"/>
        </w:rPr>
        <w:t xml:space="preserve">Key 2022 Compensation Designs/Outcomes </w:t>
      </w:r>
    </w:p>
    <w:p>
      <w:pPr>
        <w:pStyle w:val="TextBody"/>
        <w:spacing w:before="240" w:after="0"/>
        <w:jc w:val="left"/>
        <w:rPr>
          <w:rFonts w:ascii="ARIAL" w:hAnsi="ARIAL"/>
          <w:sz w:val="20"/>
        </w:rPr>
      </w:pPr>
      <w:r>
        <w:rPr>
          <w:rFonts w:ascii="ARIAL" w:hAnsi="ARIAL"/>
          <w:sz w:val="20"/>
        </w:rPr>
        <w:t xml:space="preserve">Taking into account our commitment to link pay and performance, the following compensation-related decisions were made for 2022: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40"/>
        <w:gridCol w:w="9990"/>
      </w:tblGrid>
      <w:tr>
        <w:trPr/>
        <w:tc>
          <w:tcPr>
            <w:tcW w:w="75"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w:t>
            </w:r>
          </w:p>
        </w:tc>
        <w:tc>
          <w:tcPr>
            <w:tcW w:w="9990" w:type="dxa"/>
            <w:tcBorders/>
            <w:shd w:fill="auto" w:val="clear"/>
            <w:vAlign w:val="center"/>
          </w:tcPr>
          <w:p>
            <w:pPr>
              <w:pStyle w:val="TableContents"/>
              <w:spacing w:before="0" w:after="0"/>
              <w:jc w:val="left"/>
              <w:rPr>
                <w:rFonts w:ascii="ARIAL" w:hAnsi="ARIAL"/>
                <w:sz w:val="20"/>
              </w:rPr>
            </w:pPr>
            <w:r>
              <w:rPr>
                <w:rFonts w:ascii="ARIAL" w:hAnsi="ARIAL"/>
                <w:b/>
                <w:i/>
                <w:sz w:val="20"/>
              </w:rPr>
              <w:t>CEO</w:t>
            </w:r>
            <w:r>
              <w:rPr>
                <w:rFonts w:ascii="ARIAL" w:hAnsi="ARIAL"/>
                <w:sz w:val="20"/>
              </w:rPr>
              <w:t xml:space="preserve"> </w:t>
            </w:r>
            <w:r>
              <w:rPr>
                <w:rFonts w:ascii="ARIAL" w:hAnsi="ARIAL"/>
                <w:b/>
                <w:i/>
                <w:sz w:val="20"/>
              </w:rPr>
              <w:t xml:space="preserve">compensation: </w:t>
            </w:r>
            <w:r>
              <w:rPr>
                <w:rFonts w:ascii="ARIAL" w:hAnsi="ARIAL"/>
                <w:sz w:val="20"/>
              </w:rPr>
              <w:t xml:space="preserve">Changes to our CEO’s compensation terms for 2022 were minimal. His base salary for 2022 was increased to $1,250,000 from $1,200,000 in 2021. His target annual cash incentive compensation continued to be 225% of his base salary. Consistent with our share-denominated approach, his 2022 LTI award consisted of the same number of shares performance-based restricted stock, time-based restricted stock and stock options as he was awarded in 2021. Between the LTI grant date in March 2021 and the LTI grant date in March 2022, our stock price improved from $8.81 to $10.18, which resulted in an increase in the aggregate grant date fair value of the equity awards made in March 2022 compared to March 2021. Despite the improvement in our stock price, the grant date fair value of the Company’s target LTI awards to our CEO was below the 25th percentile of our peer group in 2022. The resulting target total compensation payable to our CEO during 2022 continued to be below the 25th percentile of our peer group.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40"/>
        <w:gridCol w:w="9990"/>
      </w:tblGrid>
      <w:tr>
        <w:trPr/>
        <w:tc>
          <w:tcPr>
            <w:tcW w:w="75"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w:t>
            </w:r>
          </w:p>
        </w:tc>
        <w:tc>
          <w:tcPr>
            <w:tcW w:w="9990" w:type="dxa"/>
            <w:tcBorders/>
            <w:shd w:fill="auto" w:val="clear"/>
            <w:vAlign w:val="center"/>
          </w:tcPr>
          <w:p>
            <w:pPr>
              <w:pStyle w:val="TableContents"/>
              <w:spacing w:before="0" w:after="0"/>
              <w:jc w:val="left"/>
              <w:rPr>
                <w:rFonts w:ascii="ARIAL" w:hAnsi="ARIAL"/>
                <w:sz w:val="20"/>
              </w:rPr>
            </w:pPr>
            <w:r>
              <w:rPr>
                <w:rFonts w:ascii="ARIAL" w:hAnsi="ARIAL"/>
                <w:b/>
                <w:i/>
                <w:sz w:val="20"/>
              </w:rPr>
              <w:t>Annual cash incentive compensation:</w:t>
            </w:r>
            <w:r>
              <w:rPr>
                <w:rFonts w:ascii="ARIAL" w:hAnsi="ARIAL"/>
                <w:sz w:val="20"/>
              </w:rPr>
              <w:t xml:space="preserve"> Annual cash incentive compensation awarded to our CEO for 2022 was 26% of target compared to 130% of target for 2021, consistent with our pay-for-performance philosophy and reflecting that the Company did not achieve several of its key financial goals during 2022.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40"/>
        <w:gridCol w:w="9990"/>
      </w:tblGrid>
      <w:tr>
        <w:trPr/>
        <w:tc>
          <w:tcPr>
            <w:tcW w:w="75"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w:t>
            </w:r>
          </w:p>
        </w:tc>
        <w:tc>
          <w:tcPr>
            <w:tcW w:w="9990" w:type="dxa"/>
            <w:tcBorders/>
            <w:shd w:fill="auto" w:val="clear"/>
            <w:vAlign w:val="center"/>
          </w:tcPr>
          <w:p>
            <w:pPr>
              <w:pStyle w:val="TableContents"/>
              <w:spacing w:before="0" w:after="0"/>
              <w:jc w:val="left"/>
              <w:rPr>
                <w:rFonts w:ascii="ARIAL" w:hAnsi="ARIAL"/>
                <w:sz w:val="20"/>
              </w:rPr>
            </w:pPr>
            <w:r>
              <w:rPr>
                <w:rFonts w:ascii="ARIAL" w:hAnsi="ARIAL"/>
                <w:b/>
                <w:i/>
                <w:sz w:val="20"/>
              </w:rPr>
              <w:t>2020-2022 performance-based restricted stock awards:</w:t>
            </w:r>
            <w:r>
              <w:rPr>
                <w:rFonts w:ascii="ARIAL" w:hAnsi="ARIAL"/>
                <w:sz w:val="20"/>
              </w:rPr>
              <w:t xml:space="preserve"> Based on the Company’s cumulative financial performance for the three years ended December 31, 2022, the Company achieved less than 80% of the target for the Cumulative Consolidated Adjusted EBITDA Growth three-year performance objective (i.e., below threshold) and over 120% of the target for the Cumulative Same-Store Net Revenue Growth (i.e., above maximum) three-year performance objective underlying the 2020-2022 performance-based restricted stock awards granted in March 2020. In addition, the Company’s three-year TSR Percentile Rank over this period was at the 50th percentile (this additional performance objective was applicable only for awards made to the then-serving CEO and CFO). As further discussed below, this resulted in the 2020-2022 performance-based restricted stock awards to each of the named executive officers being earned at 100% of the target number of shares originally granted to each award recipient in March 2020.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40"/>
        <w:gridCol w:w="9990"/>
      </w:tblGrid>
      <w:tr>
        <w:trPr/>
        <w:tc>
          <w:tcPr>
            <w:tcW w:w="75"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w:t>
            </w:r>
          </w:p>
        </w:tc>
        <w:tc>
          <w:tcPr>
            <w:tcW w:w="9990" w:type="dxa"/>
            <w:tcBorders/>
            <w:shd w:fill="auto" w:val="clear"/>
            <w:vAlign w:val="center"/>
          </w:tcPr>
          <w:p>
            <w:pPr>
              <w:pStyle w:val="TableContents"/>
              <w:spacing w:before="0" w:after="0"/>
              <w:jc w:val="left"/>
              <w:rPr>
                <w:rFonts w:ascii="ARIAL" w:hAnsi="ARIAL"/>
                <w:sz w:val="20"/>
              </w:rPr>
            </w:pPr>
            <w:r>
              <w:rPr>
                <w:rFonts w:ascii="ARIAL" w:hAnsi="ARIAL"/>
                <w:b/>
                <w:i/>
                <w:sz w:val="20"/>
              </w:rPr>
              <w:t>2022 LTI Awards:</w:t>
            </w:r>
            <w:r>
              <w:rPr>
                <w:rFonts w:ascii="ARIAL" w:hAnsi="ARIAL"/>
                <w:sz w:val="20"/>
              </w:rPr>
              <w:t xml:space="preserve"> To incentivize our named executive officers to achieve Company goals and increase stockholder value over time, 75% of the target shares subject to the 2022 LTI award granted to each of our named executive officers was in the form of performance-based restricted stock or non-qualified stock options. The Committee did not modify the number of shares subject to options, time-based restricted stock or performance-based restricted stock grants to NEOs in 2022 as compared to 2021 (other than for Mr. Medley to reflect his increased level of responsibility within the Company). </w:t>
            </w:r>
          </w:p>
        </w:tc>
      </w:tr>
    </w:tbl>
    <w:p>
      <w:pPr>
        <w:pStyle w:val="TextBody"/>
        <w:spacing w:before="240" w:after="0"/>
        <w:jc w:val="left"/>
        <w:rPr>
          <w:rFonts w:ascii="ARIAL" w:hAnsi="ARIAL"/>
          <w:sz w:val="20"/>
        </w:rPr>
      </w:pPr>
      <w:r>
        <w:rPr>
          <w:rFonts w:ascii="ARIAL" w:hAnsi="ARIAL"/>
          <w:sz w:val="20"/>
        </w:rPr>
        <w:t xml:space="preserve">The majority of our NEO compensation is performance-based and is issued in the form of both annual and long-term incentives. Individuals in a position to influence the growth of stockholder value have larger portions of their total compensation delivered in the form of equity-based long-term incentives. The target mix of the elements of the compensation program for the CEO and other NEOs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43 </w:t>
      </w:r>
      <w:r>
        <w:br w:type="page"/>
      </w:r>
    </w:p>
    <w:p>
      <w:pPr>
        <w:pStyle w:val="HorizontalLine"/>
        <w:rPr/>
      </w:pPr>
      <w:r>
        <w:rPr/>
      </w:r>
    </w:p>
    <w:p>
      <w:pPr>
        <w:pStyle w:val="TextBody"/>
        <w:spacing w:before="0" w:after="0"/>
        <w:jc w:val="left"/>
        <w:rPr>
          <w:rFonts w:ascii="ARIAL" w:hAnsi="ARIAL"/>
          <w:sz w:val="20"/>
        </w:rPr>
      </w:pPr>
      <w:r>
        <w:rPr>
          <w:rFonts w:ascii="ARIAL" w:hAnsi="ARIAL"/>
          <w:sz w:val="20"/>
        </w:rPr>
        <w:t xml:space="preserve">is shown in the following charts which outline the size, in percentage terms, of each element of target compensation (based on the base salary amount, target short-term cash incentive opportunity and grant date fair value of equity grants made in 2022). </w:t>
      </w:r>
    </w:p>
    <w:p>
      <w:pPr>
        <w:pStyle w:val="TextBody"/>
        <w:spacing w:before="0" w:after="0"/>
        <w:jc w:val="left"/>
        <w:rPr/>
      </w:pPr>
      <w:r>
        <w:rPr/>
        <w:t> </w:t>
      </w:r>
    </w:p>
    <w:tbl>
      <w:tblPr>
        <w:tblW w:w="860" w:type="dxa"/>
        <w:jc w:val="left"/>
        <w:tblInd w:w="0" w:type="dxa"/>
        <w:tblCellMar>
          <w:top w:w="0" w:type="dxa"/>
          <w:left w:w="0" w:type="dxa"/>
          <w:bottom w:w="0" w:type="dxa"/>
          <w:right w:w="0" w:type="dxa"/>
        </w:tblCellMar>
      </w:tblPr>
      <w:tblGrid>
        <w:gridCol w:w="400"/>
        <w:gridCol w:w="60"/>
        <w:gridCol w:w="400"/>
      </w:tblGrid>
      <w:tr>
        <w:trPr/>
        <w:tc>
          <w:tcPr>
            <w:tcW w:w="4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00" w:type="dxa"/>
            <w:tcBorders/>
            <w:shd w:fill="auto" w:val="clear"/>
            <w:vAlign w:val="center"/>
          </w:tcPr>
          <w:p>
            <w:pPr>
              <w:pStyle w:val="TableContents"/>
              <w:spacing w:before="0" w:after="283"/>
              <w:rPr>
                <w:sz w:val="4"/>
                <w:szCs w:val="4"/>
              </w:rPr>
            </w:pPr>
            <w:r>
              <w:rPr>
                <w:sz w:val="4"/>
                <w:szCs w:val="4"/>
              </w:rPr>
            </w:r>
          </w:p>
        </w:tc>
      </w:tr>
      <w:tr>
        <w:trPr/>
        <w:tc>
          <w:tcPr>
            <w:tcW w:w="400" w:type="dxa"/>
            <w:tcBorders/>
            <w:shd w:fill="auto" w:val="clear"/>
            <w:vAlign w:val="center"/>
          </w:tcPr>
          <w:p>
            <w:pPr>
              <w:pStyle w:val="TableContents"/>
              <w:spacing w:before="0" w:after="283"/>
              <w:jc w:val="center"/>
              <w:rPr/>
            </w:pPr>
            <w:r>
              <w:rPr/>
              <w:drawing>
                <wp:inline distT="0" distB="0" distL="0" distR="0">
                  <wp:extent cx="206375" cy="266700"/>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embed="rId54"/>
                          <a:stretch>
                            <a:fillRect/>
                          </a:stretch>
                        </pic:blipFill>
                        <pic:spPr bwMode="auto">
                          <a:xfrm>
                            <a:off x="0" y="0"/>
                            <a:ext cx="206375" cy="26670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400" w:type="dxa"/>
            <w:tcBorders/>
            <w:shd w:fill="auto" w:val="clear"/>
            <w:vAlign w:val="center"/>
          </w:tcPr>
          <w:p>
            <w:pPr>
              <w:pStyle w:val="TableContents"/>
              <w:spacing w:before="0" w:after="283"/>
              <w:jc w:val="center"/>
              <w:rPr/>
            </w:pPr>
            <w:r>
              <w:rPr/>
              <w:drawing>
                <wp:inline distT="0" distB="0" distL="0" distR="0">
                  <wp:extent cx="206375" cy="265430"/>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embed="rId55"/>
                          <a:stretch>
                            <a:fillRect/>
                          </a:stretch>
                        </pic:blipFill>
                        <pic:spPr bwMode="auto">
                          <a:xfrm>
                            <a:off x="0" y="0"/>
                            <a:ext cx="206375" cy="265430"/>
                          </a:xfrm>
                          <a:prstGeom prst="rect">
                            <a:avLst/>
                          </a:prstGeom>
                        </pic:spPr>
                      </pic:pic>
                    </a:graphicData>
                  </a:graphic>
                </wp:inline>
              </w:drawing>
            </w:r>
            <w:r>
              <w:rPr/>
              <w:t xml:space="preserve"> </w:t>
            </w:r>
          </w:p>
        </w:tc>
      </w:tr>
    </w:tbl>
    <w:p>
      <w:pPr>
        <w:pStyle w:val="TextBody"/>
        <w:spacing w:before="240" w:after="0"/>
        <w:jc w:val="left"/>
        <w:rPr>
          <w:rFonts w:ascii="ARIAL" w:hAnsi="ARIAL"/>
          <w:b/>
          <w:sz w:val="20"/>
        </w:rPr>
      </w:pPr>
      <w:r>
        <w:rPr>
          <w:rFonts w:ascii="ARIAL" w:hAnsi="ARIAL"/>
          <w:b/>
          <w:sz w:val="20"/>
        </w:rPr>
        <w:t xml:space="preserve">Stockholder Outreach and Responsiveness to Feedback </w:t>
      </w:r>
    </w:p>
    <w:p>
      <w:pPr>
        <w:pStyle w:val="TextBody"/>
        <w:spacing w:before="240" w:after="0"/>
        <w:jc w:val="left"/>
        <w:rPr>
          <w:rFonts w:ascii="ARIAL" w:hAnsi="ARIAL"/>
          <w:b/>
          <w:i/>
          <w:sz w:val="20"/>
        </w:rPr>
      </w:pPr>
      <w:r>
        <w:rPr>
          <w:rFonts w:ascii="ARIAL" w:hAnsi="ARIAL"/>
          <w:b/>
          <w:i/>
          <w:sz w:val="20"/>
        </w:rPr>
        <w:t xml:space="preserve">2022 Say on Pay Results and 2022 Stockholder Outreach Efforts </w:t>
      </w:r>
    </w:p>
    <w:p>
      <w:pPr>
        <w:pStyle w:val="TextBody"/>
        <w:spacing w:before="240" w:after="0"/>
        <w:jc w:val="left"/>
        <w:rPr>
          <w:rFonts w:ascii="ARIAL" w:hAnsi="ARIAL"/>
          <w:sz w:val="20"/>
        </w:rPr>
      </w:pPr>
      <w:r>
        <w:rPr>
          <w:rFonts w:ascii="ARIAL" w:hAnsi="ARIAL"/>
          <w:sz w:val="20"/>
        </w:rPr>
        <w:t xml:space="preserve">At our annual meeting of stockholders in May 2022, approximately 98% of the votes cast by our stockholders, excluding broker non-votes, were voted in favor of the Company’s advisory Say-on-Pay proposal with respect to the compensation of our named executive officers as described in our 2022 Proxy Statement. As our Compensation Committee has continued to review our compensation practices, it is mindful of the level of support received from our stockholders with respect to this Say-on-Pay proposal. </w:t>
      </w:r>
    </w:p>
    <w:p>
      <w:pPr>
        <w:pStyle w:val="TextBody"/>
        <w:spacing w:before="240" w:after="0"/>
        <w:jc w:val="left"/>
        <w:rPr>
          <w:rFonts w:ascii="ARIAL" w:hAnsi="ARIAL"/>
          <w:sz w:val="20"/>
        </w:rPr>
      </w:pPr>
      <w:r>
        <w:rPr>
          <w:rFonts w:ascii="ARIAL" w:hAnsi="ARIAL"/>
          <w:sz w:val="20"/>
        </w:rPr>
        <w:t xml:space="preserve">We conduct year-round proactive stockholder interaction and are committed to a continuing dialogue between stockholders and the Company to fully understand and consider stockholder perspectives on executive compensation and other topics that are important to our stockholders. In addition to our SEC filings, press releases, Community Impact Report, Environmental Sustainability Report, and Company website – we also communicate with stakeholders through earnings calls and investor conferences. In addition, during 2022, we met or consulted with stockholders that held over 50% of our shares outstanding at that time to discuss topics that are important to our stockholders, including soliciting feedback on corporate governance matters and our executive compensation program. Moreover, our Board Chair, Lead Director, the members of our independent Compensation Committee and our other non-management directors are available to speak directly with our stockholders if requested. Our Compensation Committee considers the feedback and suggestions we receive in light of both market best practices and what we believe to be necessary to execute a best-in-class compensation program that successfully addresses our senior executive talent attraction and retention needs. </w:t>
      </w:r>
    </w:p>
    <w:p>
      <w:pPr>
        <w:pStyle w:val="TextBody"/>
        <w:spacing w:before="240" w:after="0"/>
        <w:jc w:val="left"/>
        <w:rPr>
          <w:rFonts w:ascii="ARIAL" w:hAnsi="ARIAL"/>
          <w:b/>
          <w:i/>
          <w:sz w:val="20"/>
        </w:rPr>
      </w:pPr>
      <w:r>
        <w:rPr>
          <w:rFonts w:ascii="ARIAL" w:hAnsi="ARIAL"/>
          <w:b/>
          <w:i/>
          <w:sz w:val="20"/>
        </w:rPr>
        <w:t xml:space="preserve">2022 Program Changes </w:t>
      </w:r>
    </w:p>
    <w:p>
      <w:pPr>
        <w:pStyle w:val="TextBody"/>
        <w:spacing w:before="240" w:after="0"/>
        <w:jc w:val="left"/>
        <w:rPr>
          <w:rFonts w:ascii="ARIAL" w:hAnsi="ARIAL"/>
          <w:sz w:val="20"/>
        </w:rPr>
      </w:pPr>
      <w:r>
        <w:rPr>
          <w:rFonts w:ascii="ARIAL" w:hAnsi="ARIAL"/>
          <w:sz w:val="20"/>
        </w:rPr>
        <w:t xml:space="preserve">Our Compensation Committee and management, in consultation with Mercer, continued to evaluate our executive compensation program during 2022 in light of stockholder feedback,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44 </w:t>
      </w:r>
      <w:r>
        <w:br w:type="page"/>
      </w:r>
    </w:p>
    <w:p>
      <w:pPr>
        <w:pStyle w:val="HorizontalLine"/>
        <w:rPr/>
      </w:pPr>
      <w:r>
        <w:rPr/>
      </w:r>
    </w:p>
    <w:p>
      <w:pPr>
        <w:pStyle w:val="TextBody"/>
        <w:spacing w:before="0" w:after="0"/>
        <w:jc w:val="left"/>
        <w:rPr>
          <w:rFonts w:ascii="ARIAL" w:hAnsi="ARIAL"/>
          <w:sz w:val="20"/>
        </w:rPr>
      </w:pPr>
      <w:r>
        <w:rPr>
          <w:rFonts w:ascii="ARIAL" w:hAnsi="ARIAL"/>
          <w:sz w:val="20"/>
        </w:rPr>
        <w:t xml:space="preserve">governance best practices, regulatory requirements, economic and industry factors, current trends in public company pay practices, and competitive considerations. In addition, we intend to make changes, as applicable, that both ensure the alignment between the interests of our stockholders and our executives and reflect industry-leading executive compensation programs. </w:t>
      </w:r>
    </w:p>
    <w:p>
      <w:pPr>
        <w:pStyle w:val="TextBody"/>
        <w:spacing w:before="240" w:after="0"/>
        <w:jc w:val="left"/>
        <w:rPr>
          <w:rFonts w:ascii="ARIAL" w:hAnsi="ARIAL"/>
          <w:sz w:val="20"/>
        </w:rPr>
      </w:pPr>
      <w:r>
        <w:rPr>
          <w:rFonts w:ascii="ARIAL" w:hAnsi="ARIAL"/>
          <w:sz w:val="20"/>
        </w:rPr>
        <w:t xml:space="preserve">After considering those objectives, our Compensation Committee made the following change to our executive compensation programs for 2022 in comparison to 2021: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40"/>
        <w:gridCol w:w="9990"/>
      </w:tblGrid>
      <w:tr>
        <w:trPr/>
        <w:tc>
          <w:tcPr>
            <w:tcW w:w="75"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w:t>
            </w:r>
          </w:p>
        </w:tc>
        <w:tc>
          <w:tcPr>
            <w:tcW w:w="9990" w:type="dxa"/>
            <w:tcBorders/>
            <w:shd w:fill="auto" w:val="clear"/>
            <w:vAlign w:val="center"/>
          </w:tcPr>
          <w:p>
            <w:pPr>
              <w:pStyle w:val="TableContents"/>
              <w:spacing w:before="0" w:after="0"/>
              <w:jc w:val="left"/>
              <w:rPr>
                <w:rFonts w:ascii="ARIAL" w:hAnsi="ARIAL"/>
                <w:sz w:val="20"/>
              </w:rPr>
            </w:pPr>
            <w:r>
              <w:rPr>
                <w:rFonts w:ascii="ARIAL" w:hAnsi="ARIAL"/>
                <w:b/>
                <w:i/>
                <w:sz w:val="20"/>
              </w:rPr>
              <w:t xml:space="preserve">Added ESG metrics to non-financial performance metrics for annual cash incentive plan: </w:t>
            </w:r>
            <w:r>
              <w:rPr>
                <w:rFonts w:ascii="ARIAL" w:hAnsi="ARIAL"/>
                <w:sz w:val="20"/>
              </w:rPr>
              <w:t xml:space="preserve">The Compensation Committee added ESG metrics as a component of the non-financial performance strategic and operational improvement goals in the annual cash incentive plan for our named executive officers for 2022. The ESG metrics included continued advancement of the Company’s diversity, equity, and inclusion objectives and other environmental, social and governance objectives, such as those set forth in its Community Impact Report and Environmental Sustainability Report. For additional information regarding the Company’s ESG initiatives, see “What are the Company’s environmental, social and governance initiatives and where can I find additional information regarding these initiatives?” </w:t>
            </w:r>
          </w:p>
        </w:tc>
      </w:tr>
    </w:tbl>
    <w:p>
      <w:pPr>
        <w:pStyle w:val="TextBody"/>
        <w:spacing w:before="240" w:after="0"/>
        <w:jc w:val="left"/>
        <w:rPr>
          <w:rFonts w:ascii="ARIAL" w:hAnsi="ARIAL"/>
          <w:sz w:val="20"/>
        </w:rPr>
      </w:pPr>
      <w:r>
        <w:rPr>
          <w:rFonts w:ascii="ARIAL" w:hAnsi="ARIAL"/>
          <w:sz w:val="20"/>
        </w:rPr>
        <w:t xml:space="preserve">We will continue to monitor market best practices and thoughtfully consider stockholder feedback in future years with respect to potential changes to our executive compensation programs. </w:t>
      </w:r>
    </w:p>
    <w:p>
      <w:pPr>
        <w:pStyle w:val="TextBody"/>
        <w:spacing w:before="240" w:after="0"/>
        <w:jc w:val="left"/>
        <w:rPr>
          <w:rFonts w:ascii="ARIAL" w:hAnsi="ARIAL"/>
          <w:b/>
          <w:sz w:val="20"/>
        </w:rPr>
      </w:pPr>
      <w:r>
        <w:rPr>
          <w:rFonts w:ascii="ARIAL" w:hAnsi="ARIAL"/>
          <w:b/>
          <w:sz w:val="20"/>
        </w:rPr>
        <w:t xml:space="preserve">2022 Guiding Principles and Compensation Framework </w:t>
      </w:r>
    </w:p>
    <w:p>
      <w:pPr>
        <w:pStyle w:val="TextBody"/>
        <w:spacing w:before="240" w:after="0"/>
        <w:jc w:val="left"/>
        <w:rPr>
          <w:rFonts w:ascii="ARIAL" w:hAnsi="ARIAL"/>
          <w:sz w:val="20"/>
        </w:rPr>
      </w:pPr>
      <w:r>
        <w:rPr>
          <w:rFonts w:ascii="ARIAL" w:hAnsi="ARIAL"/>
          <w:sz w:val="20"/>
        </w:rPr>
        <w:t xml:space="preserve">The core goals applied by the Company in implementing its executive compensation program for 2022 were to provide a mix of compensation vehicles that generated a compensation package that is competitive with an appropriate peer group, provides for the attainment of performance and growth objectives from both a short-term and long-term perspective, aligns the interests of executive management with stockholders, and retains and attracts valuable executive talent. </w:t>
      </w:r>
    </w:p>
    <w:p>
      <w:pPr>
        <w:pStyle w:val="TextBody"/>
        <w:spacing w:before="240" w:after="0"/>
        <w:jc w:val="left"/>
        <w:rPr>
          <w:rFonts w:ascii="ARIAL" w:hAnsi="ARIAL"/>
          <w:sz w:val="20"/>
        </w:rPr>
      </w:pPr>
      <w:r>
        <w:rPr>
          <w:rFonts w:ascii="ARIAL" w:hAnsi="ARIAL"/>
          <w:sz w:val="20"/>
        </w:rPr>
        <w:t xml:space="preserve">The guiding principles used by the Company during 2022 included: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40"/>
        <w:gridCol w:w="9990"/>
      </w:tblGrid>
      <w:tr>
        <w:trPr/>
        <w:tc>
          <w:tcPr>
            <w:tcW w:w="75"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w:t>
            </w:r>
          </w:p>
        </w:tc>
        <w:tc>
          <w:tcPr>
            <w:tcW w:w="9990" w:type="dxa"/>
            <w:tcBorders/>
            <w:shd w:fill="auto" w:val="clear"/>
            <w:vAlign w:val="center"/>
          </w:tcPr>
          <w:p>
            <w:pPr>
              <w:pStyle w:val="TableContents"/>
              <w:spacing w:before="0" w:after="0"/>
              <w:jc w:val="left"/>
              <w:rPr>
                <w:rFonts w:ascii="ARIAL" w:hAnsi="ARIAL"/>
                <w:sz w:val="20"/>
              </w:rPr>
            </w:pPr>
            <w:r>
              <w:rPr>
                <w:rFonts w:ascii="ARIAL" w:hAnsi="ARIAL"/>
                <w:sz w:val="20"/>
              </w:rPr>
              <w:t xml:space="preserve">An overall targeted mix of compensation elements that is competitive with our selected peer group companies (see below for a discussion of our peer group);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40"/>
        <w:gridCol w:w="9990"/>
      </w:tblGrid>
      <w:tr>
        <w:trPr/>
        <w:tc>
          <w:tcPr>
            <w:tcW w:w="75"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w:t>
            </w:r>
          </w:p>
        </w:tc>
        <w:tc>
          <w:tcPr>
            <w:tcW w:w="9990" w:type="dxa"/>
            <w:tcBorders/>
            <w:shd w:fill="auto" w:val="clear"/>
            <w:vAlign w:val="center"/>
          </w:tcPr>
          <w:p>
            <w:pPr>
              <w:pStyle w:val="TableContents"/>
              <w:spacing w:before="0" w:after="0"/>
              <w:jc w:val="left"/>
              <w:rPr>
                <w:rFonts w:ascii="ARIAL" w:hAnsi="ARIAL"/>
                <w:sz w:val="20"/>
              </w:rPr>
            </w:pPr>
            <w:r>
              <w:rPr>
                <w:rFonts w:ascii="ARIAL" w:hAnsi="ARIAL"/>
                <w:sz w:val="20"/>
              </w:rPr>
              <w:t xml:space="preserve">Annual target incentive cash compensation that is at risk, performance-based, and tied to the attainment of the Company’s growth objectives;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40"/>
        <w:gridCol w:w="9990"/>
      </w:tblGrid>
      <w:tr>
        <w:trPr/>
        <w:tc>
          <w:tcPr>
            <w:tcW w:w="75"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w:t>
            </w:r>
          </w:p>
        </w:tc>
        <w:tc>
          <w:tcPr>
            <w:tcW w:w="9990" w:type="dxa"/>
            <w:tcBorders/>
            <w:shd w:fill="auto" w:val="clear"/>
            <w:vAlign w:val="center"/>
          </w:tcPr>
          <w:p>
            <w:pPr>
              <w:pStyle w:val="TableContents"/>
              <w:spacing w:before="0" w:after="0"/>
              <w:jc w:val="left"/>
              <w:rPr>
                <w:rFonts w:ascii="ARIAL" w:hAnsi="ARIAL"/>
                <w:sz w:val="20"/>
              </w:rPr>
            </w:pPr>
            <w:r>
              <w:rPr>
                <w:rFonts w:ascii="ARIAL" w:hAnsi="ARIAL"/>
                <w:sz w:val="20"/>
              </w:rPr>
              <w:t xml:space="preserve">LTI awards of equity-based compensation, 50% of the target amount of which were performance-based restricted stock with three-year targets and 25% of which were in the form of non-qualified stock options, such that 75% of the target LTI awards were at risk in order to further align the interests of executive management with our stockholders; and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40"/>
        <w:gridCol w:w="9990"/>
      </w:tblGrid>
      <w:tr>
        <w:trPr/>
        <w:tc>
          <w:tcPr>
            <w:tcW w:w="75"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w:t>
            </w:r>
          </w:p>
        </w:tc>
        <w:tc>
          <w:tcPr>
            <w:tcW w:w="9990" w:type="dxa"/>
            <w:tcBorders/>
            <w:shd w:fill="auto" w:val="clear"/>
            <w:vAlign w:val="center"/>
          </w:tcPr>
          <w:p>
            <w:pPr>
              <w:pStyle w:val="TableContents"/>
              <w:spacing w:before="0" w:after="0"/>
              <w:jc w:val="left"/>
              <w:rPr>
                <w:rFonts w:ascii="ARIAL" w:hAnsi="ARIAL"/>
                <w:sz w:val="20"/>
              </w:rPr>
            </w:pPr>
            <w:r>
              <w:rPr>
                <w:rFonts w:ascii="ARIAL" w:hAnsi="ARIAL"/>
                <w:sz w:val="20"/>
              </w:rPr>
              <w:t xml:space="preserve">Provision of longer range savings, retirement, and other benefits, including appropriate perquisites, to encourage the retention of the most experienced and talented executives through their most productive and valuable years of employment service. </w:t>
            </w:r>
          </w:p>
        </w:tc>
      </w:tr>
    </w:tbl>
    <w:p>
      <w:pPr>
        <w:pStyle w:val="TextBody"/>
        <w:spacing w:before="240" w:after="0"/>
        <w:jc w:val="left"/>
        <w:rPr>
          <w:rFonts w:ascii="ARIAL" w:hAnsi="ARIAL"/>
          <w:sz w:val="20"/>
        </w:rPr>
      </w:pPr>
      <w:r>
        <w:rPr>
          <w:rFonts w:ascii="ARIAL" w:hAnsi="ARIAL"/>
          <w:sz w:val="20"/>
        </w:rPr>
        <w:t xml:space="preserve">The Company believes that the flexibility to make upward or downward adjustments as needed for individual performance, unusual market fluctuations, or extraordinary performance considerations, provides consistency and predictability to the Company’s executives and alignment of interests and transparency to the Company’s investors. Variations in pay levels for executives are based on factors such as internal equity, level of responsibility, individual performance, an individual’s tenure in his or her current role, and Company performance.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45 </w:t>
      </w:r>
      <w:r>
        <w:br w:type="page"/>
      </w:r>
    </w:p>
    <w:p>
      <w:pPr>
        <w:pStyle w:val="HorizontalLine"/>
        <w:rPr/>
      </w:pPr>
      <w:r>
        <w:rPr/>
      </w:r>
    </w:p>
    <w:p>
      <w:pPr>
        <w:pStyle w:val="TextBody"/>
        <w:spacing w:before="0" w:after="0"/>
        <w:jc w:val="left"/>
        <w:rPr>
          <w:rFonts w:ascii="ARIAL" w:hAnsi="ARIAL"/>
          <w:b/>
          <w:sz w:val="20"/>
        </w:rPr>
      </w:pPr>
      <w:r>
        <w:rPr>
          <w:rFonts w:ascii="ARIAL" w:hAnsi="ARIAL"/>
          <w:b/>
          <w:sz w:val="20"/>
        </w:rPr>
        <w:t xml:space="preserve">Components of our 2022 Executive Compensation Program </w:t>
      </w:r>
    </w:p>
    <w:p>
      <w:pPr>
        <w:pStyle w:val="TextBody"/>
        <w:spacing w:before="240" w:after="0"/>
        <w:jc w:val="left"/>
        <w:rPr>
          <w:rFonts w:ascii="ARIAL" w:hAnsi="ARIAL"/>
          <w:b/>
          <w:i/>
          <w:sz w:val="20"/>
        </w:rPr>
      </w:pPr>
      <w:r>
        <w:rPr>
          <w:rFonts w:ascii="ARIAL" w:hAnsi="ARIAL"/>
          <w:b/>
          <w:i/>
          <w:sz w:val="20"/>
        </w:rPr>
        <w:t xml:space="preserve">Peer Group </w:t>
      </w:r>
    </w:p>
    <w:p>
      <w:pPr>
        <w:pStyle w:val="TextBody"/>
        <w:spacing w:before="240" w:after="0"/>
        <w:jc w:val="left"/>
        <w:rPr>
          <w:rFonts w:ascii="ARIAL" w:hAnsi="ARIAL"/>
          <w:sz w:val="20"/>
        </w:rPr>
      </w:pPr>
      <w:r>
        <w:rPr>
          <w:rFonts w:ascii="ARIAL" w:hAnsi="ARIAL"/>
          <w:sz w:val="20"/>
        </w:rPr>
        <w:t xml:space="preserve">In accordance with the process described above, the Company utilizes a benchmark peer group in connection with determining the executive compensation for the named executive officers. </w:t>
      </w:r>
    </w:p>
    <w:p>
      <w:pPr>
        <w:pStyle w:val="TextBody"/>
        <w:spacing w:before="240" w:after="0"/>
        <w:jc w:val="left"/>
        <w:rPr>
          <w:rFonts w:ascii="ARIAL" w:hAnsi="ARIAL"/>
          <w:sz w:val="20"/>
        </w:rPr>
      </w:pPr>
      <w:r>
        <w:rPr>
          <w:rFonts w:ascii="ARIAL" w:hAnsi="ARIAL"/>
          <w:sz w:val="20"/>
        </w:rPr>
        <w:t xml:space="preserve">The Company regularly reviews the composition of its peer group to ensure comparability between the Company and its peer group. The only change to the Company’s peer group for 2022 as set forth below in comparison to 2021 is that Genesis Healthcare, Inc. was removed from the Company’s 2022 peer group following its voluntary delisting. </w:t>
      </w:r>
    </w:p>
    <w:p>
      <w:pPr>
        <w:pStyle w:val="TextBody"/>
        <w:spacing w:before="240" w:after="0"/>
        <w:jc w:val="left"/>
        <w:rPr>
          <w:rFonts w:ascii="ARIAL" w:hAnsi="ARIAL"/>
          <w:sz w:val="20"/>
        </w:rPr>
      </w:pPr>
      <w:r>
        <w:rPr>
          <w:rFonts w:ascii="ARIAL" w:hAnsi="ARIAL"/>
          <w:sz w:val="20"/>
        </w:rPr>
        <w:t xml:space="preserve">The 2022 peer group included the other three publicly-traded major hospital management companies. In addition, given the limited number of large, publicly-traded hospital management companies, the 2022 peer group also included 11 other companies in the healthcare facilities, healthcare services, healthcare distribution, insurance or managed care areas. The 14 companies included in the 2022 peer group analysis were: </w:t>
      </w:r>
    </w:p>
    <w:p>
      <w:pPr>
        <w:pStyle w:val="TextBody"/>
        <w:spacing w:before="240" w:after="0"/>
        <w:jc w:val="left"/>
        <w:rPr>
          <w:rFonts w:ascii="ARIAL" w:hAnsi="ARIAL"/>
          <w:b/>
          <w:sz w:val="20"/>
          <w:u w:val="single"/>
        </w:rPr>
      </w:pPr>
      <w:r>
        <w:rPr>
          <w:rFonts w:ascii="ARIAL" w:hAnsi="ARIAL"/>
          <w:b/>
          <w:sz w:val="20"/>
          <w:u w:val="single"/>
        </w:rPr>
        <w:t xml:space="preserve">Peer Group Companies (for 2022 Compensation Cycle) </w:t>
      </w:r>
    </w:p>
    <w:p>
      <w:pPr>
        <w:pStyle w:val="TextBody"/>
        <w:spacing w:before="0" w:after="0"/>
        <w:jc w:val="left"/>
        <w:rPr/>
      </w:pPr>
      <w:r>
        <w:rPr/>
        <w:t> </w:t>
      </w:r>
    </w:p>
    <w:tbl>
      <w:tblPr>
        <w:tblW w:w="6490" w:type="dxa"/>
        <w:jc w:val="left"/>
        <w:tblInd w:w="0" w:type="dxa"/>
        <w:tblCellMar>
          <w:top w:w="0" w:type="dxa"/>
          <w:left w:w="0" w:type="dxa"/>
          <w:bottom w:w="0" w:type="dxa"/>
          <w:right w:w="0" w:type="dxa"/>
        </w:tblCellMar>
      </w:tblPr>
      <w:tblGrid>
        <w:gridCol w:w="2960"/>
        <w:gridCol w:w="120"/>
        <w:gridCol w:w="3410"/>
      </w:tblGrid>
      <w:tr>
        <w:trPr/>
        <w:tc>
          <w:tcPr>
            <w:tcW w:w="29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410" w:type="dxa"/>
            <w:tcBorders/>
            <w:shd w:fill="auto" w:val="clear"/>
            <w:vAlign w:val="center"/>
          </w:tcPr>
          <w:p>
            <w:pPr>
              <w:pStyle w:val="TableContents"/>
              <w:spacing w:before="0" w:after="283"/>
              <w:rPr>
                <w:sz w:val="4"/>
                <w:szCs w:val="4"/>
              </w:rPr>
            </w:pPr>
            <w:r>
              <w:rPr>
                <w:sz w:val="4"/>
                <w:szCs w:val="4"/>
              </w:rPr>
            </w:r>
          </w:p>
        </w:tc>
      </w:tr>
      <w:tr>
        <w:trPr/>
        <w:tc>
          <w:tcPr>
            <w:tcW w:w="2960" w:type="dxa"/>
            <w:tcBorders/>
            <w:shd w:fill="auto" w:val="clear"/>
            <w:vAlign w:val="center"/>
          </w:tcPr>
          <w:p>
            <w:pPr>
              <w:pStyle w:val="TableContents"/>
              <w:spacing w:before="0" w:after="0"/>
              <w:rPr/>
            </w:pPr>
            <w:r>
              <w:rPr/>
              <w:t>•  </w:t>
            </w:r>
            <w:r>
              <w:rPr>
                <w:rFonts w:ascii="ARIAL" w:hAnsi="ARIAL"/>
                <w:sz w:val="20"/>
              </w:rPr>
              <w:t>Aflac Incorporated</w:t>
            </w:r>
          </w:p>
        </w:tc>
        <w:tc>
          <w:tcPr>
            <w:tcW w:w="120" w:type="dxa"/>
            <w:tcBorders/>
            <w:shd w:fill="auto" w:val="clear"/>
            <w:vAlign w:val="center"/>
          </w:tcPr>
          <w:p>
            <w:pPr>
              <w:pStyle w:val="TableContents"/>
              <w:spacing w:before="0" w:after="283"/>
              <w:rPr/>
            </w:pPr>
            <w:r>
              <w:rPr/>
              <w:t>  </w:t>
            </w:r>
          </w:p>
        </w:tc>
        <w:tc>
          <w:tcPr>
            <w:tcW w:w="3410" w:type="dxa"/>
            <w:tcBorders/>
            <w:shd w:fill="auto" w:val="clear"/>
            <w:vAlign w:val="center"/>
          </w:tcPr>
          <w:p>
            <w:pPr>
              <w:pStyle w:val="TableContents"/>
              <w:spacing w:before="0" w:after="0"/>
              <w:rPr/>
            </w:pPr>
            <w:r>
              <w:rPr/>
              <w:t>•  </w:t>
            </w:r>
            <w:r>
              <w:rPr>
                <w:rFonts w:ascii="ARIAL" w:hAnsi="ARIAL"/>
                <w:sz w:val="20"/>
              </w:rPr>
              <w:t>Molina Healthcare, Inc.</w:t>
            </w:r>
          </w:p>
        </w:tc>
      </w:tr>
      <w:tr>
        <w:trPr/>
        <w:tc>
          <w:tcPr>
            <w:tcW w:w="2960" w:type="dxa"/>
            <w:tcBorders/>
            <w:shd w:fill="auto" w:val="clear"/>
            <w:vAlign w:val="center"/>
          </w:tcPr>
          <w:p>
            <w:pPr>
              <w:pStyle w:val="TableContents"/>
              <w:spacing w:before="0" w:after="0"/>
              <w:rPr/>
            </w:pPr>
            <w:r>
              <w:rPr/>
              <w:t>•  </w:t>
            </w:r>
            <w:r>
              <w:rPr>
                <w:rFonts w:ascii="ARIAL" w:hAnsi="ARIAL"/>
                <w:sz w:val="20"/>
              </w:rPr>
              <w:t>Brookdale Senior Living, Inc.</w:t>
            </w:r>
          </w:p>
        </w:tc>
        <w:tc>
          <w:tcPr>
            <w:tcW w:w="120" w:type="dxa"/>
            <w:tcBorders/>
            <w:shd w:fill="auto" w:val="clear"/>
            <w:vAlign w:val="center"/>
          </w:tcPr>
          <w:p>
            <w:pPr>
              <w:pStyle w:val="TableContents"/>
              <w:spacing w:before="0" w:after="283"/>
              <w:rPr/>
            </w:pPr>
            <w:r>
              <w:rPr/>
              <w:t>  </w:t>
            </w:r>
          </w:p>
        </w:tc>
        <w:tc>
          <w:tcPr>
            <w:tcW w:w="3410" w:type="dxa"/>
            <w:tcBorders/>
            <w:shd w:fill="auto" w:val="clear"/>
            <w:vAlign w:val="center"/>
          </w:tcPr>
          <w:p>
            <w:pPr>
              <w:pStyle w:val="TableContents"/>
              <w:spacing w:before="0" w:after="0"/>
              <w:rPr/>
            </w:pPr>
            <w:r>
              <w:rPr/>
              <w:t>•  </w:t>
            </w:r>
            <w:r>
              <w:rPr>
                <w:rFonts w:ascii="ARIAL" w:hAnsi="ARIAL"/>
                <w:sz w:val="20"/>
              </w:rPr>
              <w:t>Owens &amp; Minor, Inc.</w:t>
            </w:r>
          </w:p>
        </w:tc>
      </w:tr>
      <w:tr>
        <w:trPr/>
        <w:tc>
          <w:tcPr>
            <w:tcW w:w="2960" w:type="dxa"/>
            <w:tcBorders/>
            <w:shd w:fill="auto" w:val="clear"/>
            <w:vAlign w:val="center"/>
          </w:tcPr>
          <w:p>
            <w:pPr>
              <w:pStyle w:val="TableContents"/>
              <w:spacing w:before="0" w:after="0"/>
              <w:rPr/>
            </w:pPr>
            <w:r>
              <w:rPr/>
              <w:t>•  </w:t>
            </w:r>
            <w:r>
              <w:rPr>
                <w:rFonts w:ascii="ARIAL" w:hAnsi="ARIAL"/>
                <w:sz w:val="20"/>
              </w:rPr>
              <w:t>DaVita Inc.</w:t>
            </w:r>
          </w:p>
        </w:tc>
        <w:tc>
          <w:tcPr>
            <w:tcW w:w="120" w:type="dxa"/>
            <w:tcBorders/>
            <w:shd w:fill="auto" w:val="clear"/>
            <w:vAlign w:val="center"/>
          </w:tcPr>
          <w:p>
            <w:pPr>
              <w:pStyle w:val="TableContents"/>
              <w:spacing w:before="0" w:after="283"/>
              <w:rPr/>
            </w:pPr>
            <w:r>
              <w:rPr/>
              <w:t>  </w:t>
            </w:r>
          </w:p>
        </w:tc>
        <w:tc>
          <w:tcPr>
            <w:tcW w:w="3410" w:type="dxa"/>
            <w:tcBorders/>
            <w:shd w:fill="auto" w:val="clear"/>
            <w:vAlign w:val="center"/>
          </w:tcPr>
          <w:p>
            <w:pPr>
              <w:pStyle w:val="TableContents"/>
              <w:spacing w:before="0" w:after="0"/>
              <w:rPr/>
            </w:pPr>
            <w:r>
              <w:rPr/>
              <w:t>•  </w:t>
            </w:r>
            <w:r>
              <w:rPr>
                <w:rFonts w:ascii="ARIAL" w:hAnsi="ARIAL"/>
                <w:sz w:val="20"/>
              </w:rPr>
              <w:t>Quest Diagnostics Incorporated</w:t>
            </w:r>
          </w:p>
        </w:tc>
      </w:tr>
      <w:tr>
        <w:trPr/>
        <w:tc>
          <w:tcPr>
            <w:tcW w:w="2960" w:type="dxa"/>
            <w:tcBorders/>
            <w:shd w:fill="auto" w:val="clear"/>
            <w:vAlign w:val="center"/>
          </w:tcPr>
          <w:p>
            <w:pPr>
              <w:pStyle w:val="TableContents"/>
              <w:spacing w:before="0" w:after="0"/>
              <w:rPr/>
            </w:pPr>
            <w:r>
              <w:rPr/>
              <w:t>•  </w:t>
            </w:r>
            <w:r>
              <w:rPr>
                <w:rFonts w:ascii="ARIAL" w:hAnsi="ARIAL"/>
                <w:sz w:val="20"/>
              </w:rPr>
              <w:t>Encompass Health Corporation</w:t>
            </w:r>
          </w:p>
        </w:tc>
        <w:tc>
          <w:tcPr>
            <w:tcW w:w="120" w:type="dxa"/>
            <w:tcBorders/>
            <w:shd w:fill="auto" w:val="clear"/>
            <w:vAlign w:val="center"/>
          </w:tcPr>
          <w:p>
            <w:pPr>
              <w:pStyle w:val="TableContents"/>
              <w:spacing w:before="0" w:after="283"/>
              <w:rPr/>
            </w:pPr>
            <w:r>
              <w:rPr/>
              <w:t>  </w:t>
            </w:r>
          </w:p>
        </w:tc>
        <w:tc>
          <w:tcPr>
            <w:tcW w:w="3410" w:type="dxa"/>
            <w:tcBorders/>
            <w:shd w:fill="auto" w:val="clear"/>
            <w:vAlign w:val="center"/>
          </w:tcPr>
          <w:p>
            <w:pPr>
              <w:pStyle w:val="TableContents"/>
              <w:spacing w:before="0" w:after="0"/>
              <w:rPr/>
            </w:pPr>
            <w:r>
              <w:rPr/>
              <w:t>•  </w:t>
            </w:r>
            <w:r>
              <w:rPr>
                <w:rFonts w:ascii="ARIAL" w:hAnsi="ARIAL"/>
                <w:sz w:val="20"/>
              </w:rPr>
              <w:t>Select Medical Holdings Corporation</w:t>
            </w:r>
          </w:p>
        </w:tc>
      </w:tr>
      <w:tr>
        <w:trPr/>
        <w:tc>
          <w:tcPr>
            <w:tcW w:w="2960" w:type="dxa"/>
            <w:tcBorders/>
            <w:shd w:fill="auto" w:val="clear"/>
            <w:vAlign w:val="center"/>
          </w:tcPr>
          <w:p>
            <w:pPr>
              <w:pStyle w:val="TableContents"/>
              <w:spacing w:before="0" w:after="0"/>
              <w:rPr/>
            </w:pPr>
            <w:r>
              <w:rPr/>
              <w:t>•  </w:t>
            </w:r>
            <w:r>
              <w:rPr>
                <w:rFonts w:ascii="ARIAL" w:hAnsi="ARIAL"/>
                <w:sz w:val="20"/>
              </w:rPr>
              <w:t>HCA Healthcare, Inc.</w:t>
            </w:r>
          </w:p>
        </w:tc>
        <w:tc>
          <w:tcPr>
            <w:tcW w:w="120" w:type="dxa"/>
            <w:tcBorders/>
            <w:shd w:fill="auto" w:val="clear"/>
            <w:vAlign w:val="center"/>
          </w:tcPr>
          <w:p>
            <w:pPr>
              <w:pStyle w:val="TableContents"/>
              <w:spacing w:before="0" w:after="283"/>
              <w:rPr/>
            </w:pPr>
            <w:r>
              <w:rPr/>
              <w:t>  </w:t>
            </w:r>
          </w:p>
        </w:tc>
        <w:tc>
          <w:tcPr>
            <w:tcW w:w="3410" w:type="dxa"/>
            <w:tcBorders/>
            <w:shd w:fill="auto" w:val="clear"/>
            <w:vAlign w:val="center"/>
          </w:tcPr>
          <w:p>
            <w:pPr>
              <w:pStyle w:val="TableContents"/>
              <w:spacing w:before="0" w:after="0"/>
              <w:rPr/>
            </w:pPr>
            <w:r>
              <w:rPr/>
              <w:t>•  </w:t>
            </w:r>
            <w:r>
              <w:rPr>
                <w:rFonts w:ascii="ARIAL" w:hAnsi="ARIAL"/>
                <w:sz w:val="20"/>
              </w:rPr>
              <w:t>Tenet Healthcare Corporation</w:t>
            </w:r>
          </w:p>
        </w:tc>
      </w:tr>
      <w:tr>
        <w:trPr/>
        <w:tc>
          <w:tcPr>
            <w:tcW w:w="2960" w:type="dxa"/>
            <w:tcBorders/>
            <w:shd w:fill="auto" w:val="clear"/>
            <w:vAlign w:val="center"/>
          </w:tcPr>
          <w:p>
            <w:pPr>
              <w:pStyle w:val="TableContents"/>
              <w:spacing w:before="0" w:after="0"/>
              <w:rPr/>
            </w:pPr>
            <w:r>
              <w:rPr/>
              <w:t>•  </w:t>
            </w:r>
            <w:r>
              <w:rPr>
                <w:rFonts w:ascii="ARIAL" w:hAnsi="ARIAL"/>
                <w:sz w:val="20"/>
              </w:rPr>
              <w:t>Henry Schein, Inc.</w:t>
            </w:r>
          </w:p>
        </w:tc>
        <w:tc>
          <w:tcPr>
            <w:tcW w:w="120" w:type="dxa"/>
            <w:tcBorders/>
            <w:shd w:fill="auto" w:val="clear"/>
            <w:vAlign w:val="center"/>
          </w:tcPr>
          <w:p>
            <w:pPr>
              <w:pStyle w:val="TableContents"/>
              <w:spacing w:before="0" w:after="283"/>
              <w:rPr/>
            </w:pPr>
            <w:r>
              <w:rPr/>
              <w:t>  </w:t>
            </w:r>
          </w:p>
        </w:tc>
        <w:tc>
          <w:tcPr>
            <w:tcW w:w="3410" w:type="dxa"/>
            <w:tcBorders/>
            <w:shd w:fill="auto" w:val="clear"/>
            <w:vAlign w:val="center"/>
          </w:tcPr>
          <w:p>
            <w:pPr>
              <w:pStyle w:val="TableContents"/>
              <w:spacing w:before="0" w:after="0"/>
              <w:rPr/>
            </w:pPr>
            <w:r>
              <w:rPr/>
              <w:t>•  </w:t>
            </w:r>
            <w:r>
              <w:rPr>
                <w:rFonts w:ascii="ARIAL" w:hAnsi="ARIAL"/>
                <w:sz w:val="20"/>
              </w:rPr>
              <w:t>Universal Health Services, Inc.</w:t>
            </w:r>
          </w:p>
        </w:tc>
      </w:tr>
      <w:tr>
        <w:trPr/>
        <w:tc>
          <w:tcPr>
            <w:tcW w:w="2960" w:type="dxa"/>
            <w:tcBorders/>
            <w:shd w:fill="auto" w:val="clear"/>
            <w:vAlign w:val="center"/>
          </w:tcPr>
          <w:p>
            <w:pPr>
              <w:pStyle w:val="TableContents"/>
              <w:spacing w:before="0" w:after="0"/>
              <w:rPr/>
            </w:pPr>
            <w:r>
              <w:rPr/>
              <w:t>•  </w:t>
            </w:r>
            <w:r>
              <w:rPr>
                <w:rFonts w:ascii="ARIAL" w:hAnsi="ARIAL"/>
                <w:sz w:val="20"/>
              </w:rPr>
              <w:t>Humana Inc.</w:t>
            </w:r>
          </w:p>
        </w:tc>
        <w:tc>
          <w:tcPr>
            <w:tcW w:w="120" w:type="dxa"/>
            <w:tcBorders/>
            <w:shd w:fill="auto" w:val="clear"/>
            <w:vAlign w:val="center"/>
          </w:tcPr>
          <w:p>
            <w:pPr>
              <w:pStyle w:val="TableContents"/>
              <w:spacing w:before="0" w:after="283"/>
              <w:rPr/>
            </w:pPr>
            <w:r>
              <w:rPr/>
              <w:t>  </w:t>
            </w:r>
          </w:p>
        </w:tc>
        <w:tc>
          <w:tcPr>
            <w:tcW w:w="3410" w:type="dxa"/>
            <w:tcBorders/>
            <w:shd w:fill="auto" w:val="clear"/>
            <w:vAlign w:val="center"/>
          </w:tcPr>
          <w:p>
            <w:pPr>
              <w:pStyle w:val="TableContents"/>
              <w:spacing w:before="0" w:after="0"/>
              <w:rPr/>
            </w:pPr>
            <w:r>
              <w:rPr/>
              <w:t>•  </w:t>
            </w:r>
            <w:r>
              <w:rPr>
                <w:rFonts w:ascii="ARIAL" w:hAnsi="ARIAL"/>
                <w:sz w:val="20"/>
              </w:rPr>
              <w:t>Unum Group</w:t>
            </w:r>
          </w:p>
        </w:tc>
      </w:tr>
    </w:tbl>
    <w:p>
      <w:pPr>
        <w:pStyle w:val="TextBody"/>
        <w:spacing w:before="240" w:after="0"/>
        <w:jc w:val="left"/>
        <w:rPr>
          <w:rFonts w:ascii="ARIAL" w:hAnsi="ARIAL"/>
          <w:sz w:val="20"/>
        </w:rPr>
      </w:pPr>
      <w:r>
        <w:rPr>
          <w:rFonts w:ascii="ARIAL" w:hAnsi="ARIAL"/>
          <w:sz w:val="20"/>
        </w:rPr>
        <w:t xml:space="preserve">In selecting the peer group companies, consideration was given to revenue, market capitalization, enterprise value and number of employees of each company, while being sensitive to the positioning of the Company in relation to the peer group medians. The goal was to have the Company fit within the middle of the peer group (i.e., between the 25th and the 75th percentile) with respect to these metrics if possible. At the time the group was selected, the Company was near the median of this peer group in terms of revenue and enterprise value. Our Compensation Committee believes that the Company’s peer group continues to align the Company with the competitive market for talent for our key executives. </w:t>
      </w:r>
    </w:p>
    <w:p>
      <w:pPr>
        <w:pStyle w:val="TextBody"/>
        <w:spacing w:before="240" w:after="0"/>
        <w:jc w:val="left"/>
        <w:rPr>
          <w:rFonts w:ascii="ARIAL" w:hAnsi="ARIAL"/>
          <w:b/>
          <w:i/>
          <w:sz w:val="20"/>
        </w:rPr>
      </w:pPr>
      <w:r>
        <w:rPr>
          <w:rFonts w:ascii="ARIAL" w:hAnsi="ARIAL"/>
          <w:b/>
          <w:i/>
          <w:sz w:val="20"/>
        </w:rPr>
        <w:t xml:space="preserve">Base Salary </w:t>
      </w:r>
    </w:p>
    <w:p>
      <w:pPr>
        <w:pStyle w:val="TextBody"/>
        <w:spacing w:before="240" w:after="0"/>
        <w:jc w:val="left"/>
        <w:rPr>
          <w:rFonts w:ascii="ARIAL" w:hAnsi="ARIAL"/>
          <w:sz w:val="20"/>
        </w:rPr>
      </w:pPr>
      <w:r>
        <w:rPr>
          <w:rFonts w:ascii="ARIAL" w:hAnsi="ARIAL"/>
          <w:sz w:val="20"/>
        </w:rPr>
        <w:t xml:space="preserve">Base salary, as its name implies, is the basic compensatory element of the employment relationship, designed to compensate the executive for his or her day-to-day performance of duties. The amount of base salary distinguishes individuals’ level and responsibility within the organization and may also be impacted by the individual’s tenure in his or her current role. Exceptional performance and contribution to the growth and greater success of the organization are rewarded through other compensation elements, and for this reason, the benchmark target for base salary for each of our executive officers is set at a market-competitive level relative to our peer group as identified above when considering each executive’s role and responsibilities, as well as individual performance. </w:t>
      </w:r>
    </w:p>
    <w:p>
      <w:pPr>
        <w:pStyle w:val="TextBody"/>
        <w:spacing w:before="240" w:after="0"/>
        <w:jc w:val="left"/>
        <w:rPr>
          <w:rFonts w:ascii="ARIAL" w:hAnsi="ARIAL"/>
          <w:sz w:val="20"/>
        </w:rPr>
      </w:pPr>
      <w:r>
        <w:rPr>
          <w:rFonts w:ascii="ARIAL" w:hAnsi="ARIAL"/>
          <w:sz w:val="20"/>
        </w:rPr>
        <w:t xml:space="preserve">The base salaries of our Chief Executive Officer and the other named executive officers were reviewed by the Compensation Committee in early 2022 as part of its annual compensation review. Salary increases for our named executive officers were generally consistent with percentage increases among the broader market.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46 </w:t>
      </w:r>
      <w:r>
        <w:br w:type="page"/>
      </w:r>
    </w:p>
    <w:p>
      <w:pPr>
        <w:pStyle w:val="HorizontalLine"/>
        <w:rPr/>
      </w:pPr>
      <w:r>
        <w:rPr/>
      </w:r>
    </w:p>
    <w:p>
      <w:pPr>
        <w:pStyle w:val="TextBody"/>
        <w:spacing w:before="0" w:after="0"/>
        <w:jc w:val="left"/>
        <w:rPr>
          <w:rFonts w:ascii="ARIAL" w:hAnsi="ARIAL"/>
          <w:sz w:val="20"/>
        </w:rPr>
      </w:pPr>
      <w:r>
        <w:rPr>
          <w:rFonts w:ascii="ARIAL" w:hAnsi="ARIAL"/>
          <w:sz w:val="20"/>
        </w:rPr>
        <w:t xml:space="preserve">The base salaries approved for each of our named executive officers for 2022 and 2021 are set forth in the following table: </w:t>
      </w:r>
    </w:p>
    <w:p>
      <w:pPr>
        <w:pStyle w:val="TextBody"/>
        <w:spacing w:before="0" w:after="0"/>
        <w:jc w:val="left"/>
        <w:rPr/>
      </w:pPr>
      <w:r>
        <w:rPr/>
        <w:t> </w:t>
      </w:r>
    </w:p>
    <w:tbl>
      <w:tblPr>
        <w:tblW w:w="7335" w:type="dxa"/>
        <w:jc w:val="left"/>
        <w:tblInd w:w="0" w:type="dxa"/>
        <w:tblCellMar>
          <w:top w:w="0" w:type="dxa"/>
          <w:left w:w="0" w:type="dxa"/>
          <w:bottom w:w="0" w:type="dxa"/>
          <w:right w:w="0" w:type="dxa"/>
        </w:tblCellMar>
      </w:tblPr>
      <w:tblGrid>
        <w:gridCol w:w="4490"/>
        <w:gridCol w:w="120"/>
        <w:gridCol w:w="140"/>
        <w:gridCol w:w="980"/>
        <w:gridCol w:w="60"/>
        <w:gridCol w:w="60"/>
        <w:gridCol w:w="140"/>
        <w:gridCol w:w="980"/>
        <w:gridCol w:w="365"/>
      </w:tblGrid>
      <w:tr>
        <w:trPr/>
        <w:tc>
          <w:tcPr>
            <w:tcW w:w="449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r>
      <w:tr>
        <w:trPr/>
        <w:tc>
          <w:tcPr>
            <w:tcW w:w="6970" w:type="dxa"/>
            <w:gridSpan w:val="8"/>
            <w:tcBorders>
              <w:top w:val="single" w:sz="6" w:space="0" w:color="000000"/>
              <w:left w:val="single" w:sz="6" w:space="0" w:color="000000"/>
              <w:bottom w:val="single" w:sz="6" w:space="0" w:color="000000"/>
            </w:tcBorders>
            <w:shd w:fill="auto" w:val="clear"/>
            <w:tcMar>
              <w:top w:w="28" w:type="dxa"/>
              <w:left w:w="160" w:type="dxa"/>
              <w:bottom w:w="28" w:type="dxa"/>
            </w:tcMar>
            <w:vAlign w:val="center"/>
          </w:tcPr>
          <w:p>
            <w:pPr>
              <w:pStyle w:val="TableContents"/>
              <w:spacing w:before="0" w:after="283"/>
              <w:jc w:val="center"/>
              <w:rPr>
                <w:b/>
              </w:rPr>
            </w:pPr>
            <w:r>
              <w:rPr>
                <w:b/>
              </w:rPr>
              <w:t>Annual Base Salary</w:t>
            </w:r>
          </w:p>
        </w:tc>
        <w:tc>
          <w:tcPr>
            <w:tcW w:w="365" w:type="dxa"/>
            <w:tcBorders>
              <w:top w:val="single" w:sz="6" w:space="0" w:color="000000"/>
              <w:bottom w:val="single" w:sz="6" w:space="0" w:color="000000"/>
              <w:right w:val="single" w:sz="6" w:space="0" w:color="000000"/>
            </w:tcBorders>
            <w:shd w:fill="auto" w:val="clear"/>
            <w:tcMar>
              <w:top w:w="28" w:type="dxa"/>
              <w:bottom w:w="28" w:type="dxa"/>
              <w:right w:w="40" w:type="dxa"/>
            </w:tcMar>
            <w:vAlign w:val="center"/>
          </w:tcPr>
          <w:p>
            <w:pPr>
              <w:pStyle w:val="TableContents"/>
              <w:spacing w:before="0" w:after="283"/>
              <w:rPr/>
            </w:pPr>
            <w:r>
              <w:rPr/>
              <w:t> </w:t>
            </w:r>
          </w:p>
        </w:tc>
      </w:tr>
      <w:tr>
        <w:trPr/>
        <w:tc>
          <w:tcPr>
            <w:tcW w:w="4490" w:type="dxa"/>
            <w:tcBorders>
              <w:left w:val="single" w:sz="6" w:space="0" w:color="000000"/>
              <w:right w:val="single" w:sz="6" w:space="0" w:color="000000"/>
            </w:tcBorders>
            <w:shd w:fill="auto" w:val="clear"/>
            <w:tcMar>
              <w:left w:w="160" w:type="dxa"/>
              <w:right w:w="28" w:type="dxa"/>
            </w:tcMar>
            <w:vAlign w:val="center"/>
          </w:tcPr>
          <w:p>
            <w:pPr>
              <w:pStyle w:val="TableContents"/>
              <w:spacing w:before="0" w:after="283"/>
              <w:rPr>
                <w:b/>
              </w:rPr>
            </w:pPr>
            <w:r>
              <w:rPr>
                <w:b/>
              </w:rPr>
              <w:t>Named Executive Officer</w:t>
            </w:r>
          </w:p>
        </w:tc>
        <w:tc>
          <w:tcPr>
            <w:tcW w:w="120" w:type="dxa"/>
            <w:tcBorders/>
            <w:shd w:fill="auto" w:val="clear"/>
            <w:vAlign w:val="center"/>
          </w:tcPr>
          <w:p>
            <w:pPr>
              <w:pStyle w:val="TableContents"/>
              <w:spacing w:before="0" w:after="283"/>
              <w:rPr/>
            </w:pPr>
            <w:r>
              <w:rPr/>
              <w:t>  </w:t>
            </w:r>
          </w:p>
        </w:tc>
        <w:tc>
          <w:tcPr>
            <w:tcW w:w="1120" w:type="dxa"/>
            <w:gridSpan w:val="2"/>
            <w:tcBorders/>
            <w:shd w:fill="auto" w:val="clear"/>
            <w:vAlign w:val="center"/>
          </w:tcPr>
          <w:p>
            <w:pPr>
              <w:pStyle w:val="TableContents"/>
              <w:spacing w:before="0" w:after="283"/>
              <w:jc w:val="center"/>
              <w:rPr>
                <w:b/>
              </w:rPr>
            </w:pPr>
            <w:r>
              <w:rPr>
                <w:b/>
              </w:rPr>
              <w:t>2022</w:t>
            </w:r>
          </w:p>
        </w:tc>
        <w:tc>
          <w:tcPr>
            <w:tcW w:w="60" w:type="dxa"/>
            <w:tcBorders/>
            <w:shd w:fill="auto" w:val="clear"/>
            <w:vAlign w:val="center"/>
          </w:tcPr>
          <w:p>
            <w:pPr>
              <w:pStyle w:val="TableContents"/>
              <w:spacing w:before="0" w:after="283"/>
              <w:rPr/>
            </w:pPr>
            <w:r>
              <w:rPr/>
              <w:t> </w:t>
            </w:r>
          </w:p>
        </w:tc>
        <w:tc>
          <w:tcPr>
            <w:tcW w:w="60" w:type="dxa"/>
            <w:tcBorders>
              <w:left w:val="single" w:sz="6" w:space="0" w:color="000000"/>
            </w:tcBorders>
            <w:shd w:fill="auto" w:val="clear"/>
            <w:tcMar>
              <w:left w:w="28" w:type="dxa"/>
            </w:tcMar>
            <w:vAlign w:val="center"/>
          </w:tcPr>
          <w:p>
            <w:pPr>
              <w:pStyle w:val="TableContents"/>
              <w:spacing w:before="0" w:after="283"/>
              <w:rPr/>
            </w:pPr>
            <w:r>
              <w:rPr/>
              <w:t> </w:t>
            </w:r>
          </w:p>
        </w:tc>
        <w:tc>
          <w:tcPr>
            <w:tcW w:w="1120" w:type="dxa"/>
            <w:gridSpan w:val="2"/>
            <w:tcBorders/>
            <w:shd w:fill="auto" w:val="clear"/>
            <w:vAlign w:val="center"/>
          </w:tcPr>
          <w:p>
            <w:pPr>
              <w:pStyle w:val="TableContents"/>
              <w:spacing w:before="0" w:after="283"/>
              <w:jc w:val="center"/>
              <w:rPr>
                <w:b/>
              </w:rPr>
            </w:pPr>
            <w:r>
              <w:rPr>
                <w:b/>
              </w:rPr>
              <w:t>2021</w:t>
            </w:r>
          </w:p>
        </w:tc>
        <w:tc>
          <w:tcPr>
            <w:tcW w:w="365" w:type="dxa"/>
            <w:tcBorders>
              <w:right w:val="single" w:sz="6" w:space="0" w:color="000000"/>
            </w:tcBorders>
            <w:shd w:fill="auto" w:val="clear"/>
            <w:tcMar>
              <w:right w:w="40" w:type="dxa"/>
            </w:tcMar>
            <w:vAlign w:val="center"/>
          </w:tcPr>
          <w:p>
            <w:pPr>
              <w:pStyle w:val="TableContents"/>
              <w:spacing w:before="0" w:after="283"/>
              <w:rPr/>
            </w:pPr>
            <w:r>
              <w:rPr/>
              <w:t> </w:t>
            </w:r>
          </w:p>
        </w:tc>
      </w:tr>
      <w:tr>
        <w:trPr/>
        <w:tc>
          <w:tcPr>
            <w:tcW w:w="4490" w:type="dxa"/>
            <w:tcBorders>
              <w:top w:val="single" w:sz="6" w:space="0" w:color="000000"/>
              <w:left w:val="single" w:sz="6" w:space="0" w:color="000000"/>
              <w:right w:val="single" w:sz="6" w:space="0" w:color="000000"/>
            </w:tcBorders>
            <w:shd w:fill="auto" w:val="clear"/>
            <w:tcMar>
              <w:top w:w="28" w:type="dxa"/>
              <w:left w:w="160" w:type="dxa"/>
              <w:right w:w="28" w:type="dxa"/>
            </w:tcMar>
            <w:vAlign w:val="center"/>
          </w:tcPr>
          <w:p>
            <w:pPr>
              <w:pStyle w:val="TableContents"/>
              <w:spacing w:before="0" w:after="0"/>
              <w:rPr>
                <w:rFonts w:ascii="ARIAL" w:hAnsi="ARIAL"/>
                <w:sz w:val="20"/>
              </w:rPr>
            </w:pPr>
            <w:r>
              <w:rPr>
                <w:rFonts w:ascii="ARIAL" w:hAnsi="ARIAL"/>
                <w:sz w:val="20"/>
              </w:rPr>
              <w:t>CEO (Hingtgen)</w:t>
            </w:r>
          </w:p>
        </w:tc>
        <w:tc>
          <w:tcPr>
            <w:tcW w:w="120" w:type="dxa"/>
            <w:tcBorders>
              <w:top w:val="single" w:sz="6" w:space="0" w:color="000000"/>
            </w:tcBorders>
            <w:shd w:fill="auto" w:val="clear"/>
            <w:tcMar>
              <w:top w:w="28" w:type="dxa"/>
            </w:tcMar>
            <w:vAlign w:val="center"/>
          </w:tcPr>
          <w:p>
            <w:pPr>
              <w:pStyle w:val="TableContents"/>
              <w:spacing w:before="0" w:after="283"/>
              <w:rPr/>
            </w:pPr>
            <w:r>
              <w:rPr/>
              <w:t>  </w:t>
            </w:r>
          </w:p>
        </w:tc>
        <w:tc>
          <w:tcPr>
            <w:tcW w:w="140" w:type="dxa"/>
            <w:tcBorders>
              <w:top w:val="single" w:sz="6" w:space="0" w:color="000000"/>
            </w:tcBorders>
            <w:shd w:fill="auto" w:val="clear"/>
            <w:tcMar>
              <w:top w:w="28" w:type="dxa"/>
            </w:tcMar>
            <w:vAlign w:val="center"/>
          </w:tcPr>
          <w:p>
            <w:pPr>
              <w:pStyle w:val="TableContents"/>
              <w:spacing w:before="0" w:after="283"/>
              <w:rPr/>
            </w:pPr>
            <w:r>
              <w:rPr/>
              <w:t>$</w:t>
            </w:r>
          </w:p>
        </w:tc>
        <w:tc>
          <w:tcPr>
            <w:tcW w:w="980" w:type="dxa"/>
            <w:tcBorders>
              <w:top w:val="single" w:sz="6" w:space="0" w:color="000000"/>
            </w:tcBorders>
            <w:shd w:fill="auto" w:val="clear"/>
            <w:tcMar>
              <w:top w:w="28" w:type="dxa"/>
            </w:tcMar>
            <w:vAlign w:val="center"/>
          </w:tcPr>
          <w:p>
            <w:pPr>
              <w:pStyle w:val="TableContents"/>
              <w:spacing w:before="0" w:after="283"/>
              <w:jc w:val="right"/>
              <w:rPr/>
            </w:pPr>
            <w:r>
              <w:rPr/>
              <w:t>1,250,000</w:t>
            </w:r>
          </w:p>
        </w:tc>
        <w:tc>
          <w:tcPr>
            <w:tcW w:w="60" w:type="dxa"/>
            <w:tcBorders>
              <w:top w:val="single" w:sz="6" w:space="0" w:color="000000"/>
              <w:right w:val="single" w:sz="6" w:space="0" w:color="000000"/>
            </w:tcBorders>
            <w:shd w:fill="auto" w:val="clear"/>
            <w:tcMar>
              <w:top w:w="28" w:type="dxa"/>
              <w:right w:w="28" w:type="dxa"/>
            </w:tcMar>
            <w:vAlign w:val="center"/>
          </w:tcPr>
          <w:p>
            <w:pPr>
              <w:pStyle w:val="TableContents"/>
              <w:spacing w:before="0" w:after="283"/>
              <w:rPr/>
            </w:pPr>
            <w:r>
              <w:rPr/>
              <w:t> </w:t>
            </w:r>
          </w:p>
        </w:tc>
        <w:tc>
          <w:tcPr>
            <w:tcW w:w="60" w:type="dxa"/>
            <w:tcBorders>
              <w:top w:val="single" w:sz="6" w:space="0" w:color="000000"/>
            </w:tcBorders>
            <w:shd w:fill="auto" w:val="clear"/>
            <w:tcMar>
              <w:top w:w="28" w:type="dxa"/>
            </w:tcMar>
            <w:vAlign w:val="center"/>
          </w:tcPr>
          <w:p>
            <w:pPr>
              <w:pStyle w:val="TableContents"/>
              <w:spacing w:before="0" w:after="283"/>
              <w:rPr/>
            </w:pPr>
            <w:r>
              <w:rPr/>
              <w:t> </w:t>
            </w:r>
          </w:p>
        </w:tc>
        <w:tc>
          <w:tcPr>
            <w:tcW w:w="140" w:type="dxa"/>
            <w:tcBorders>
              <w:top w:val="single" w:sz="6" w:space="0" w:color="000000"/>
            </w:tcBorders>
            <w:shd w:fill="auto" w:val="clear"/>
            <w:tcMar>
              <w:top w:w="28" w:type="dxa"/>
            </w:tcMar>
            <w:vAlign w:val="center"/>
          </w:tcPr>
          <w:p>
            <w:pPr>
              <w:pStyle w:val="TableContents"/>
              <w:spacing w:before="0" w:after="283"/>
              <w:rPr/>
            </w:pPr>
            <w:r>
              <w:rPr/>
              <w:t>$</w:t>
            </w:r>
          </w:p>
        </w:tc>
        <w:tc>
          <w:tcPr>
            <w:tcW w:w="980" w:type="dxa"/>
            <w:tcBorders>
              <w:top w:val="single" w:sz="6" w:space="0" w:color="000000"/>
            </w:tcBorders>
            <w:shd w:fill="auto" w:val="clear"/>
            <w:tcMar>
              <w:top w:w="28" w:type="dxa"/>
            </w:tcMar>
            <w:vAlign w:val="center"/>
          </w:tcPr>
          <w:p>
            <w:pPr>
              <w:pStyle w:val="TableContents"/>
              <w:spacing w:before="0" w:after="283"/>
              <w:jc w:val="right"/>
              <w:rPr/>
            </w:pPr>
            <w:r>
              <w:rPr/>
              <w:t>1,200,000</w:t>
            </w:r>
          </w:p>
        </w:tc>
        <w:tc>
          <w:tcPr>
            <w:tcW w:w="365" w:type="dxa"/>
            <w:tcBorders>
              <w:top w:val="single" w:sz="6" w:space="0" w:color="000000"/>
              <w:right w:val="single" w:sz="6" w:space="0" w:color="000000"/>
            </w:tcBorders>
            <w:shd w:fill="auto" w:val="clear"/>
            <w:tcMar>
              <w:top w:w="28" w:type="dxa"/>
              <w:right w:w="40" w:type="dxa"/>
            </w:tcMar>
            <w:vAlign w:val="center"/>
          </w:tcPr>
          <w:p>
            <w:pPr>
              <w:pStyle w:val="TableContents"/>
              <w:spacing w:before="0" w:after="283"/>
              <w:rPr/>
            </w:pPr>
            <w:r>
              <w:rPr/>
              <w:t> </w:t>
            </w:r>
          </w:p>
        </w:tc>
      </w:tr>
      <w:tr>
        <w:trPr/>
        <w:tc>
          <w:tcPr>
            <w:tcW w:w="4490" w:type="dxa"/>
            <w:tcBorders>
              <w:top w:val="single" w:sz="6" w:space="0" w:color="000000"/>
              <w:left w:val="single" w:sz="6" w:space="0" w:color="000000"/>
              <w:right w:val="single" w:sz="6" w:space="0" w:color="000000"/>
            </w:tcBorders>
            <w:shd w:fill="auto" w:val="clear"/>
            <w:tcMar>
              <w:top w:w="28" w:type="dxa"/>
              <w:left w:w="160" w:type="dxa"/>
              <w:right w:w="28" w:type="dxa"/>
            </w:tcMar>
            <w:vAlign w:val="center"/>
          </w:tcPr>
          <w:p>
            <w:pPr>
              <w:pStyle w:val="TableContents"/>
              <w:spacing w:before="0" w:after="283"/>
              <w:rPr/>
            </w:pPr>
            <w:r>
              <w:rPr/>
              <w:t>President/CFO (Hammons)</w:t>
            </w:r>
          </w:p>
        </w:tc>
        <w:tc>
          <w:tcPr>
            <w:tcW w:w="120" w:type="dxa"/>
            <w:tcBorders>
              <w:top w:val="single" w:sz="6" w:space="0" w:color="000000"/>
            </w:tcBorders>
            <w:shd w:fill="auto" w:val="clear"/>
            <w:tcMar>
              <w:top w:w="28" w:type="dxa"/>
            </w:tcMar>
            <w:vAlign w:val="center"/>
          </w:tcPr>
          <w:p>
            <w:pPr>
              <w:pStyle w:val="TableContents"/>
              <w:spacing w:before="0" w:after="283"/>
              <w:rPr/>
            </w:pPr>
            <w:r>
              <w:rPr/>
              <w:t>  </w:t>
            </w:r>
          </w:p>
        </w:tc>
        <w:tc>
          <w:tcPr>
            <w:tcW w:w="140" w:type="dxa"/>
            <w:tcBorders>
              <w:top w:val="single" w:sz="6" w:space="0" w:color="000000"/>
            </w:tcBorders>
            <w:shd w:fill="auto" w:val="clear"/>
            <w:tcMar>
              <w:top w:w="28" w:type="dxa"/>
            </w:tcMar>
            <w:vAlign w:val="center"/>
          </w:tcPr>
          <w:p>
            <w:pPr>
              <w:pStyle w:val="TableContents"/>
              <w:spacing w:before="0" w:after="283"/>
              <w:rPr/>
            </w:pPr>
            <w:r>
              <w:rPr/>
              <w:t>$</w:t>
            </w:r>
          </w:p>
        </w:tc>
        <w:tc>
          <w:tcPr>
            <w:tcW w:w="980" w:type="dxa"/>
            <w:tcBorders>
              <w:top w:val="single" w:sz="6" w:space="0" w:color="000000"/>
            </w:tcBorders>
            <w:shd w:fill="auto" w:val="clear"/>
            <w:tcMar>
              <w:top w:w="28" w:type="dxa"/>
            </w:tcMar>
            <w:vAlign w:val="center"/>
          </w:tcPr>
          <w:p>
            <w:pPr>
              <w:pStyle w:val="TableContents"/>
              <w:spacing w:before="0" w:after="283"/>
              <w:jc w:val="right"/>
              <w:rPr/>
            </w:pPr>
            <w:r>
              <w:rPr/>
              <w:t>750,000</w:t>
            </w:r>
          </w:p>
        </w:tc>
        <w:tc>
          <w:tcPr>
            <w:tcW w:w="60" w:type="dxa"/>
            <w:tcBorders>
              <w:top w:val="single" w:sz="6" w:space="0" w:color="000000"/>
              <w:right w:val="single" w:sz="6" w:space="0" w:color="000000"/>
            </w:tcBorders>
            <w:shd w:fill="auto" w:val="clear"/>
            <w:tcMar>
              <w:top w:w="28" w:type="dxa"/>
              <w:right w:w="28" w:type="dxa"/>
            </w:tcMar>
            <w:vAlign w:val="center"/>
          </w:tcPr>
          <w:p>
            <w:pPr>
              <w:pStyle w:val="TableContents"/>
              <w:spacing w:before="0" w:after="283"/>
              <w:rPr/>
            </w:pPr>
            <w:r>
              <w:rPr/>
              <w:t> </w:t>
            </w:r>
          </w:p>
        </w:tc>
        <w:tc>
          <w:tcPr>
            <w:tcW w:w="60" w:type="dxa"/>
            <w:tcBorders>
              <w:top w:val="single" w:sz="6" w:space="0" w:color="000000"/>
            </w:tcBorders>
            <w:shd w:fill="auto" w:val="clear"/>
            <w:tcMar>
              <w:top w:w="28" w:type="dxa"/>
            </w:tcMar>
            <w:vAlign w:val="center"/>
          </w:tcPr>
          <w:p>
            <w:pPr>
              <w:pStyle w:val="TableContents"/>
              <w:spacing w:before="0" w:after="283"/>
              <w:rPr/>
            </w:pPr>
            <w:r>
              <w:rPr/>
              <w:t> </w:t>
            </w:r>
          </w:p>
        </w:tc>
        <w:tc>
          <w:tcPr>
            <w:tcW w:w="140" w:type="dxa"/>
            <w:tcBorders>
              <w:top w:val="single" w:sz="6" w:space="0" w:color="000000"/>
            </w:tcBorders>
            <w:shd w:fill="auto" w:val="clear"/>
            <w:tcMar>
              <w:top w:w="28" w:type="dxa"/>
            </w:tcMar>
            <w:vAlign w:val="center"/>
          </w:tcPr>
          <w:p>
            <w:pPr>
              <w:pStyle w:val="TableContents"/>
              <w:spacing w:before="0" w:after="283"/>
              <w:rPr/>
            </w:pPr>
            <w:r>
              <w:rPr/>
              <w:t>$</w:t>
            </w:r>
          </w:p>
        </w:tc>
        <w:tc>
          <w:tcPr>
            <w:tcW w:w="980" w:type="dxa"/>
            <w:tcBorders>
              <w:top w:val="single" w:sz="6" w:space="0" w:color="000000"/>
            </w:tcBorders>
            <w:shd w:fill="auto" w:val="clear"/>
            <w:tcMar>
              <w:top w:w="28" w:type="dxa"/>
            </w:tcMar>
            <w:vAlign w:val="center"/>
          </w:tcPr>
          <w:p>
            <w:pPr>
              <w:pStyle w:val="TableContents"/>
              <w:spacing w:before="0" w:after="283"/>
              <w:jc w:val="right"/>
              <w:rPr/>
            </w:pPr>
            <w:r>
              <w:rPr/>
              <w:t>700,000</w:t>
            </w:r>
          </w:p>
        </w:tc>
        <w:tc>
          <w:tcPr>
            <w:tcW w:w="365" w:type="dxa"/>
            <w:tcBorders>
              <w:top w:val="single" w:sz="6" w:space="0" w:color="000000"/>
              <w:right w:val="single" w:sz="6" w:space="0" w:color="000000"/>
            </w:tcBorders>
            <w:shd w:fill="auto" w:val="clear"/>
            <w:tcMar>
              <w:top w:w="28" w:type="dxa"/>
              <w:right w:w="40" w:type="dxa"/>
            </w:tcMar>
            <w:vAlign w:val="center"/>
          </w:tcPr>
          <w:p>
            <w:pPr>
              <w:pStyle w:val="TableContents"/>
              <w:spacing w:before="0" w:after="283"/>
              <w:rPr/>
            </w:pPr>
            <w:r>
              <w:rPr/>
              <w:t> </w:t>
            </w:r>
          </w:p>
        </w:tc>
      </w:tr>
      <w:tr>
        <w:trPr/>
        <w:tc>
          <w:tcPr>
            <w:tcW w:w="4490" w:type="dxa"/>
            <w:tcBorders>
              <w:top w:val="single" w:sz="6" w:space="0" w:color="000000"/>
              <w:left w:val="single" w:sz="6" w:space="0" w:color="000000"/>
              <w:right w:val="single" w:sz="6" w:space="0" w:color="000000"/>
            </w:tcBorders>
            <w:shd w:fill="auto" w:val="clear"/>
            <w:tcMar>
              <w:top w:w="28" w:type="dxa"/>
              <w:left w:w="160" w:type="dxa"/>
              <w:right w:w="28" w:type="dxa"/>
            </w:tcMar>
            <w:vAlign w:val="center"/>
          </w:tcPr>
          <w:p>
            <w:pPr>
              <w:pStyle w:val="TableContents"/>
              <w:spacing w:before="0" w:after="283"/>
              <w:rPr/>
            </w:pPr>
            <w:r>
              <w:rPr/>
              <w:t>Executive Chairman (Smith) (1)</w:t>
            </w:r>
          </w:p>
        </w:tc>
        <w:tc>
          <w:tcPr>
            <w:tcW w:w="120" w:type="dxa"/>
            <w:tcBorders>
              <w:top w:val="single" w:sz="6" w:space="0" w:color="000000"/>
            </w:tcBorders>
            <w:shd w:fill="auto" w:val="clear"/>
            <w:tcMar>
              <w:top w:w="28" w:type="dxa"/>
            </w:tcMar>
            <w:vAlign w:val="center"/>
          </w:tcPr>
          <w:p>
            <w:pPr>
              <w:pStyle w:val="TableContents"/>
              <w:spacing w:before="0" w:after="283"/>
              <w:rPr/>
            </w:pPr>
            <w:r>
              <w:rPr/>
              <w:t>  </w:t>
            </w:r>
          </w:p>
        </w:tc>
        <w:tc>
          <w:tcPr>
            <w:tcW w:w="140" w:type="dxa"/>
            <w:tcBorders>
              <w:top w:val="single" w:sz="6" w:space="0" w:color="000000"/>
            </w:tcBorders>
            <w:shd w:fill="auto" w:val="clear"/>
            <w:tcMar>
              <w:top w:w="28" w:type="dxa"/>
            </w:tcMar>
            <w:vAlign w:val="center"/>
          </w:tcPr>
          <w:p>
            <w:pPr>
              <w:pStyle w:val="TableContents"/>
              <w:spacing w:before="0" w:after="283"/>
              <w:rPr/>
            </w:pPr>
            <w:r>
              <w:rPr/>
              <w:t>$</w:t>
            </w:r>
          </w:p>
        </w:tc>
        <w:tc>
          <w:tcPr>
            <w:tcW w:w="980" w:type="dxa"/>
            <w:tcBorders>
              <w:top w:val="single" w:sz="6" w:space="0" w:color="000000"/>
            </w:tcBorders>
            <w:shd w:fill="auto" w:val="clear"/>
            <w:tcMar>
              <w:top w:w="28" w:type="dxa"/>
            </w:tcMar>
            <w:vAlign w:val="center"/>
          </w:tcPr>
          <w:p>
            <w:pPr>
              <w:pStyle w:val="TableContents"/>
              <w:spacing w:before="0" w:after="283"/>
              <w:jc w:val="right"/>
              <w:rPr/>
            </w:pPr>
            <w:r>
              <w:rPr/>
              <w:t>1,000,000</w:t>
            </w:r>
          </w:p>
        </w:tc>
        <w:tc>
          <w:tcPr>
            <w:tcW w:w="60" w:type="dxa"/>
            <w:tcBorders>
              <w:top w:val="single" w:sz="6" w:space="0" w:color="000000"/>
              <w:right w:val="single" w:sz="6" w:space="0" w:color="000000"/>
            </w:tcBorders>
            <w:shd w:fill="auto" w:val="clear"/>
            <w:tcMar>
              <w:top w:w="28" w:type="dxa"/>
              <w:right w:w="28" w:type="dxa"/>
            </w:tcMar>
            <w:vAlign w:val="center"/>
          </w:tcPr>
          <w:p>
            <w:pPr>
              <w:pStyle w:val="TableContents"/>
              <w:spacing w:before="0" w:after="283"/>
              <w:rPr/>
            </w:pPr>
            <w:r>
              <w:rPr/>
              <w:t> </w:t>
            </w:r>
          </w:p>
        </w:tc>
        <w:tc>
          <w:tcPr>
            <w:tcW w:w="60" w:type="dxa"/>
            <w:tcBorders>
              <w:top w:val="single" w:sz="6" w:space="0" w:color="000000"/>
            </w:tcBorders>
            <w:shd w:fill="auto" w:val="clear"/>
            <w:tcMar>
              <w:top w:w="28" w:type="dxa"/>
            </w:tcMar>
            <w:vAlign w:val="center"/>
          </w:tcPr>
          <w:p>
            <w:pPr>
              <w:pStyle w:val="TableContents"/>
              <w:spacing w:before="0" w:after="283"/>
              <w:rPr/>
            </w:pPr>
            <w:r>
              <w:rPr/>
              <w:t> </w:t>
            </w:r>
          </w:p>
        </w:tc>
        <w:tc>
          <w:tcPr>
            <w:tcW w:w="140" w:type="dxa"/>
            <w:tcBorders>
              <w:top w:val="single" w:sz="6" w:space="0" w:color="000000"/>
            </w:tcBorders>
            <w:shd w:fill="auto" w:val="clear"/>
            <w:tcMar>
              <w:top w:w="28" w:type="dxa"/>
            </w:tcMar>
            <w:vAlign w:val="center"/>
          </w:tcPr>
          <w:p>
            <w:pPr>
              <w:pStyle w:val="TableContents"/>
              <w:spacing w:before="0" w:after="283"/>
              <w:rPr/>
            </w:pPr>
            <w:r>
              <w:rPr/>
              <w:t>$</w:t>
            </w:r>
          </w:p>
        </w:tc>
        <w:tc>
          <w:tcPr>
            <w:tcW w:w="980" w:type="dxa"/>
            <w:tcBorders>
              <w:top w:val="single" w:sz="6" w:space="0" w:color="000000"/>
            </w:tcBorders>
            <w:shd w:fill="auto" w:val="clear"/>
            <w:tcMar>
              <w:top w:w="28" w:type="dxa"/>
            </w:tcMar>
            <w:vAlign w:val="center"/>
          </w:tcPr>
          <w:p>
            <w:pPr>
              <w:pStyle w:val="TableContents"/>
              <w:spacing w:before="0" w:after="283"/>
              <w:jc w:val="right"/>
              <w:rPr/>
            </w:pPr>
            <w:r>
              <w:rPr/>
              <w:t>1,000,000</w:t>
            </w:r>
          </w:p>
        </w:tc>
        <w:tc>
          <w:tcPr>
            <w:tcW w:w="365" w:type="dxa"/>
            <w:tcBorders>
              <w:top w:val="single" w:sz="6" w:space="0" w:color="000000"/>
              <w:right w:val="single" w:sz="6" w:space="0" w:color="000000"/>
            </w:tcBorders>
            <w:shd w:fill="auto" w:val="clear"/>
            <w:tcMar>
              <w:top w:w="28" w:type="dxa"/>
              <w:right w:w="40" w:type="dxa"/>
            </w:tcMar>
            <w:vAlign w:val="center"/>
          </w:tcPr>
          <w:p>
            <w:pPr>
              <w:pStyle w:val="TableContents"/>
              <w:spacing w:before="0" w:after="283"/>
              <w:rPr/>
            </w:pPr>
            <w:r>
              <w:rPr/>
              <w:t> </w:t>
            </w:r>
          </w:p>
        </w:tc>
      </w:tr>
      <w:tr>
        <w:trPr/>
        <w:tc>
          <w:tcPr>
            <w:tcW w:w="4490" w:type="dxa"/>
            <w:tcBorders>
              <w:top w:val="single" w:sz="6" w:space="0" w:color="000000"/>
              <w:left w:val="single" w:sz="6" w:space="0" w:color="000000"/>
              <w:right w:val="single" w:sz="6" w:space="0" w:color="000000"/>
            </w:tcBorders>
            <w:shd w:fill="auto" w:val="clear"/>
            <w:tcMar>
              <w:top w:w="28" w:type="dxa"/>
              <w:left w:w="160" w:type="dxa"/>
              <w:right w:w="28" w:type="dxa"/>
            </w:tcMar>
            <w:vAlign w:val="center"/>
          </w:tcPr>
          <w:p>
            <w:pPr>
              <w:pStyle w:val="TableContents"/>
              <w:spacing w:before="0" w:after="283"/>
              <w:rPr/>
            </w:pPr>
            <w:r>
              <w:rPr/>
              <w:t>President of Clinical Operations/CMO (Simon)</w:t>
            </w:r>
          </w:p>
        </w:tc>
        <w:tc>
          <w:tcPr>
            <w:tcW w:w="120" w:type="dxa"/>
            <w:tcBorders>
              <w:top w:val="single" w:sz="6" w:space="0" w:color="000000"/>
            </w:tcBorders>
            <w:shd w:fill="auto" w:val="clear"/>
            <w:tcMar>
              <w:top w:w="28" w:type="dxa"/>
            </w:tcMar>
            <w:vAlign w:val="center"/>
          </w:tcPr>
          <w:p>
            <w:pPr>
              <w:pStyle w:val="TableContents"/>
              <w:spacing w:before="0" w:after="283"/>
              <w:rPr/>
            </w:pPr>
            <w:r>
              <w:rPr/>
              <w:t>  </w:t>
            </w:r>
          </w:p>
        </w:tc>
        <w:tc>
          <w:tcPr>
            <w:tcW w:w="140" w:type="dxa"/>
            <w:tcBorders>
              <w:top w:val="single" w:sz="6" w:space="0" w:color="000000"/>
            </w:tcBorders>
            <w:shd w:fill="auto" w:val="clear"/>
            <w:tcMar>
              <w:top w:w="28" w:type="dxa"/>
            </w:tcMar>
            <w:vAlign w:val="center"/>
          </w:tcPr>
          <w:p>
            <w:pPr>
              <w:pStyle w:val="TableContents"/>
              <w:spacing w:before="0" w:after="283"/>
              <w:rPr/>
            </w:pPr>
            <w:r>
              <w:rPr/>
              <w:t>$</w:t>
            </w:r>
          </w:p>
        </w:tc>
        <w:tc>
          <w:tcPr>
            <w:tcW w:w="980" w:type="dxa"/>
            <w:tcBorders>
              <w:top w:val="single" w:sz="6" w:space="0" w:color="000000"/>
            </w:tcBorders>
            <w:shd w:fill="auto" w:val="clear"/>
            <w:tcMar>
              <w:top w:w="28" w:type="dxa"/>
            </w:tcMar>
            <w:vAlign w:val="center"/>
          </w:tcPr>
          <w:p>
            <w:pPr>
              <w:pStyle w:val="TableContents"/>
              <w:spacing w:before="0" w:after="283"/>
              <w:jc w:val="right"/>
              <w:rPr/>
            </w:pPr>
            <w:r>
              <w:rPr/>
              <w:t>643,775</w:t>
            </w:r>
          </w:p>
        </w:tc>
        <w:tc>
          <w:tcPr>
            <w:tcW w:w="60" w:type="dxa"/>
            <w:tcBorders>
              <w:top w:val="single" w:sz="6" w:space="0" w:color="000000"/>
              <w:right w:val="single" w:sz="6" w:space="0" w:color="000000"/>
            </w:tcBorders>
            <w:shd w:fill="auto" w:val="clear"/>
            <w:tcMar>
              <w:top w:w="28" w:type="dxa"/>
              <w:right w:w="28" w:type="dxa"/>
            </w:tcMar>
            <w:vAlign w:val="center"/>
          </w:tcPr>
          <w:p>
            <w:pPr>
              <w:pStyle w:val="TableContents"/>
              <w:spacing w:before="0" w:after="283"/>
              <w:rPr/>
            </w:pPr>
            <w:r>
              <w:rPr/>
              <w:t> </w:t>
            </w:r>
          </w:p>
        </w:tc>
        <w:tc>
          <w:tcPr>
            <w:tcW w:w="60" w:type="dxa"/>
            <w:tcBorders>
              <w:top w:val="single" w:sz="6" w:space="0" w:color="000000"/>
            </w:tcBorders>
            <w:shd w:fill="auto" w:val="clear"/>
            <w:tcMar>
              <w:top w:w="28" w:type="dxa"/>
            </w:tcMar>
            <w:vAlign w:val="center"/>
          </w:tcPr>
          <w:p>
            <w:pPr>
              <w:pStyle w:val="TableContents"/>
              <w:spacing w:before="0" w:after="283"/>
              <w:rPr/>
            </w:pPr>
            <w:r>
              <w:rPr/>
              <w:t> </w:t>
            </w:r>
          </w:p>
        </w:tc>
        <w:tc>
          <w:tcPr>
            <w:tcW w:w="140" w:type="dxa"/>
            <w:tcBorders>
              <w:top w:val="single" w:sz="6" w:space="0" w:color="000000"/>
            </w:tcBorders>
            <w:shd w:fill="auto" w:val="clear"/>
            <w:tcMar>
              <w:top w:w="28" w:type="dxa"/>
            </w:tcMar>
            <w:vAlign w:val="center"/>
          </w:tcPr>
          <w:p>
            <w:pPr>
              <w:pStyle w:val="TableContents"/>
              <w:spacing w:before="0" w:after="283"/>
              <w:rPr/>
            </w:pPr>
            <w:r>
              <w:rPr/>
              <w:t>$</w:t>
            </w:r>
          </w:p>
        </w:tc>
        <w:tc>
          <w:tcPr>
            <w:tcW w:w="980" w:type="dxa"/>
            <w:tcBorders>
              <w:top w:val="single" w:sz="6" w:space="0" w:color="000000"/>
            </w:tcBorders>
            <w:shd w:fill="auto" w:val="clear"/>
            <w:tcMar>
              <w:top w:w="28" w:type="dxa"/>
            </w:tcMar>
            <w:vAlign w:val="center"/>
          </w:tcPr>
          <w:p>
            <w:pPr>
              <w:pStyle w:val="TableContents"/>
              <w:spacing w:before="0" w:after="283"/>
              <w:jc w:val="right"/>
              <w:rPr/>
            </w:pPr>
            <w:r>
              <w:rPr/>
              <w:t>625,000</w:t>
            </w:r>
          </w:p>
        </w:tc>
        <w:tc>
          <w:tcPr>
            <w:tcW w:w="365" w:type="dxa"/>
            <w:tcBorders>
              <w:top w:val="single" w:sz="6" w:space="0" w:color="000000"/>
              <w:right w:val="single" w:sz="6" w:space="0" w:color="000000"/>
            </w:tcBorders>
            <w:shd w:fill="auto" w:val="clear"/>
            <w:tcMar>
              <w:top w:w="28" w:type="dxa"/>
              <w:right w:w="40" w:type="dxa"/>
            </w:tcMar>
            <w:vAlign w:val="center"/>
          </w:tcPr>
          <w:p>
            <w:pPr>
              <w:pStyle w:val="TableContents"/>
              <w:spacing w:before="0" w:after="283"/>
              <w:rPr/>
            </w:pPr>
            <w:r>
              <w:rPr/>
              <w:t> </w:t>
            </w:r>
          </w:p>
        </w:tc>
      </w:tr>
      <w:tr>
        <w:trPr/>
        <w:tc>
          <w:tcPr>
            <w:tcW w:w="4490" w:type="dxa"/>
            <w:tcBorders>
              <w:top w:val="single" w:sz="6" w:space="0" w:color="000000"/>
              <w:left w:val="single" w:sz="6" w:space="0" w:color="000000"/>
              <w:bottom w:val="single" w:sz="6" w:space="0" w:color="000000"/>
              <w:right w:val="single" w:sz="6" w:space="0" w:color="000000"/>
            </w:tcBorders>
            <w:shd w:fill="auto" w:val="clear"/>
            <w:tcMar>
              <w:top w:w="28" w:type="dxa"/>
              <w:left w:w="160" w:type="dxa"/>
              <w:bottom w:w="28" w:type="dxa"/>
              <w:right w:w="28" w:type="dxa"/>
            </w:tcMar>
            <w:vAlign w:val="center"/>
          </w:tcPr>
          <w:p>
            <w:pPr>
              <w:pStyle w:val="TableContents"/>
              <w:spacing w:before="0" w:after="283"/>
              <w:rPr/>
            </w:pPr>
            <w:r>
              <w:rPr/>
              <w:t>Regional President (Medley)</w:t>
            </w:r>
          </w:p>
        </w:tc>
        <w:tc>
          <w:tcPr>
            <w:tcW w:w="120" w:type="dxa"/>
            <w:tcBorders>
              <w:top w:val="single" w:sz="6" w:space="0" w:color="000000"/>
              <w:bottom w:val="single" w:sz="6" w:space="0" w:color="000000"/>
            </w:tcBorders>
            <w:shd w:fill="auto" w:val="clear"/>
            <w:tcMar>
              <w:top w:w="28" w:type="dxa"/>
              <w:bottom w:w="28" w:type="dxa"/>
            </w:tcMar>
            <w:vAlign w:val="center"/>
          </w:tcPr>
          <w:p>
            <w:pPr>
              <w:pStyle w:val="TableContents"/>
              <w:spacing w:before="0" w:after="283"/>
              <w:rPr/>
            </w:pPr>
            <w:r>
              <w:rPr/>
              <w:t>  </w:t>
            </w:r>
          </w:p>
        </w:tc>
        <w:tc>
          <w:tcPr>
            <w:tcW w:w="140" w:type="dxa"/>
            <w:tcBorders>
              <w:top w:val="single" w:sz="6" w:space="0" w:color="000000"/>
              <w:bottom w:val="single" w:sz="6" w:space="0" w:color="000000"/>
            </w:tcBorders>
            <w:shd w:fill="auto" w:val="clear"/>
            <w:tcMar>
              <w:top w:w="28" w:type="dxa"/>
              <w:bottom w:w="28" w:type="dxa"/>
            </w:tcMar>
            <w:vAlign w:val="center"/>
          </w:tcPr>
          <w:p>
            <w:pPr>
              <w:pStyle w:val="TableContents"/>
              <w:spacing w:before="0" w:after="283"/>
              <w:rPr/>
            </w:pPr>
            <w:r>
              <w:rPr/>
              <w:t>$</w:t>
            </w:r>
          </w:p>
        </w:tc>
        <w:tc>
          <w:tcPr>
            <w:tcW w:w="980" w:type="dxa"/>
            <w:tcBorders>
              <w:top w:val="single" w:sz="6" w:space="0" w:color="000000"/>
              <w:bottom w:val="single" w:sz="6" w:space="0" w:color="000000"/>
            </w:tcBorders>
            <w:shd w:fill="auto" w:val="clear"/>
            <w:tcMar>
              <w:top w:w="28" w:type="dxa"/>
              <w:bottom w:w="28" w:type="dxa"/>
            </w:tcMar>
            <w:vAlign w:val="center"/>
          </w:tcPr>
          <w:p>
            <w:pPr>
              <w:pStyle w:val="TableContents"/>
              <w:spacing w:before="0" w:after="283"/>
              <w:jc w:val="right"/>
              <w:rPr/>
            </w:pPr>
            <w:r>
              <w:rPr/>
              <w:t>625,000</w:t>
            </w:r>
          </w:p>
        </w:tc>
        <w:tc>
          <w:tcPr>
            <w:tcW w:w="60" w:type="dxa"/>
            <w:tcBorders>
              <w:top w:val="single" w:sz="6" w:space="0" w:color="000000"/>
              <w:bottom w:val="single" w:sz="6" w:space="0" w:color="000000"/>
              <w:right w:val="single" w:sz="6" w:space="0" w:color="000000"/>
            </w:tcBorders>
            <w:shd w:fill="auto" w:val="clear"/>
            <w:tcMar>
              <w:top w:w="28" w:type="dxa"/>
              <w:bottom w:w="28" w:type="dxa"/>
              <w:right w:w="28" w:type="dxa"/>
            </w:tcMar>
            <w:vAlign w:val="center"/>
          </w:tcPr>
          <w:p>
            <w:pPr>
              <w:pStyle w:val="TableContents"/>
              <w:spacing w:before="0" w:after="283"/>
              <w:rPr/>
            </w:pPr>
            <w:r>
              <w:rPr/>
              <w:t> </w:t>
            </w:r>
          </w:p>
        </w:tc>
        <w:tc>
          <w:tcPr>
            <w:tcW w:w="60" w:type="dxa"/>
            <w:tcBorders>
              <w:top w:val="single" w:sz="6" w:space="0" w:color="000000"/>
              <w:bottom w:val="single" w:sz="6" w:space="0" w:color="000000"/>
            </w:tcBorders>
            <w:shd w:fill="auto" w:val="clear"/>
            <w:tcMar>
              <w:top w:w="28" w:type="dxa"/>
              <w:bottom w:w="28" w:type="dxa"/>
            </w:tcMar>
            <w:vAlign w:val="center"/>
          </w:tcPr>
          <w:p>
            <w:pPr>
              <w:pStyle w:val="TableContents"/>
              <w:spacing w:before="0" w:after="283"/>
              <w:rPr/>
            </w:pPr>
            <w:r>
              <w:rPr/>
              <w:t> </w:t>
            </w:r>
          </w:p>
        </w:tc>
        <w:tc>
          <w:tcPr>
            <w:tcW w:w="140" w:type="dxa"/>
            <w:tcBorders>
              <w:top w:val="single" w:sz="6" w:space="0" w:color="000000"/>
              <w:bottom w:val="single" w:sz="6" w:space="0" w:color="000000"/>
            </w:tcBorders>
            <w:shd w:fill="auto" w:val="clear"/>
            <w:tcMar>
              <w:top w:w="28" w:type="dxa"/>
              <w:bottom w:w="28" w:type="dxa"/>
            </w:tcMar>
            <w:vAlign w:val="center"/>
          </w:tcPr>
          <w:p>
            <w:pPr>
              <w:pStyle w:val="TableContents"/>
              <w:spacing w:before="0" w:after="283"/>
              <w:rPr/>
            </w:pPr>
            <w:r>
              <w:rPr/>
              <w:t> </w:t>
            </w:r>
          </w:p>
        </w:tc>
        <w:tc>
          <w:tcPr>
            <w:tcW w:w="980" w:type="dxa"/>
            <w:tcBorders>
              <w:top w:val="single" w:sz="6" w:space="0" w:color="000000"/>
              <w:bottom w:val="single" w:sz="6" w:space="0" w:color="000000"/>
            </w:tcBorders>
            <w:shd w:fill="auto" w:val="clear"/>
            <w:tcMar>
              <w:top w:w="28" w:type="dxa"/>
              <w:bottom w:w="28" w:type="dxa"/>
            </w:tcMar>
            <w:vAlign w:val="center"/>
          </w:tcPr>
          <w:p>
            <w:pPr>
              <w:pStyle w:val="TableContents"/>
              <w:spacing w:before="0" w:after="283"/>
              <w:jc w:val="right"/>
              <w:rPr/>
            </w:pPr>
            <w:r>
              <w:rPr/>
              <w:t>-</w:t>
            </w:r>
          </w:p>
        </w:tc>
        <w:tc>
          <w:tcPr>
            <w:tcW w:w="365" w:type="dxa"/>
            <w:tcBorders>
              <w:top w:val="single" w:sz="6" w:space="0" w:color="000000"/>
              <w:bottom w:val="single" w:sz="6" w:space="0" w:color="000000"/>
              <w:right w:val="single" w:sz="6" w:space="0" w:color="000000"/>
            </w:tcBorders>
            <w:shd w:fill="auto" w:val="clear"/>
            <w:tcMar>
              <w:top w:w="28" w:type="dxa"/>
              <w:bottom w:w="28" w:type="dxa"/>
              <w:right w:w="40" w:type="dxa"/>
            </w:tcMar>
            <w:vAlign w:val="center"/>
          </w:tcPr>
          <w:p>
            <w:pPr>
              <w:pStyle w:val="TableContents"/>
              <w:spacing w:before="0" w:after="283"/>
              <w:rPr/>
            </w:pPr>
            <w:r>
              <w:rPr/>
              <w:t>(2)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83"/>
        <w:gridCol w:w="9922"/>
      </w:tblGrid>
      <w:tr>
        <w:trPr/>
        <w:tc>
          <w:tcPr>
            <w:tcW w:w="283" w:type="dxa"/>
            <w:tcBorders/>
            <w:shd w:fill="auto" w:val="clear"/>
            <w:vAlign w:val="center"/>
          </w:tcPr>
          <w:p>
            <w:pPr>
              <w:pStyle w:val="TableContents"/>
              <w:spacing w:before="0" w:after="283"/>
              <w:jc w:val="left"/>
              <w:rPr/>
            </w:pPr>
            <w:r>
              <w:rPr/>
              <w:t>(1)</w:t>
            </w:r>
          </w:p>
        </w:tc>
        <w:tc>
          <w:tcPr>
            <w:tcW w:w="9922" w:type="dxa"/>
            <w:tcBorders/>
            <w:shd w:fill="auto" w:val="clear"/>
            <w:vAlign w:val="center"/>
          </w:tcPr>
          <w:p>
            <w:pPr>
              <w:pStyle w:val="TableContents"/>
              <w:spacing w:before="0" w:after="0"/>
              <w:jc w:val="left"/>
              <w:rPr>
                <w:rFonts w:ascii="ARIAL" w:hAnsi="ARIAL"/>
                <w:sz w:val="16"/>
              </w:rPr>
            </w:pPr>
            <w:r>
              <w:rPr>
                <w:rFonts w:ascii="ARIAL" w:hAnsi="ARIAL"/>
                <w:sz w:val="16"/>
              </w:rPr>
              <w:t xml:space="preserve">Mr. Smith served as Executive Chairman of the Board of Directors until his retirement as an officer effective January 1, 2023, following which time he has served as Chairman of the Board.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304"/>
        <w:gridCol w:w="9901"/>
      </w:tblGrid>
      <w:tr>
        <w:trPr/>
        <w:tc>
          <w:tcPr>
            <w:tcW w:w="304" w:type="dxa"/>
            <w:tcBorders/>
            <w:shd w:fill="auto" w:val="clear"/>
            <w:vAlign w:val="center"/>
          </w:tcPr>
          <w:p>
            <w:pPr>
              <w:pStyle w:val="TableContents"/>
              <w:spacing w:before="0" w:after="283"/>
              <w:jc w:val="left"/>
              <w:rPr/>
            </w:pPr>
            <w:r>
              <w:rPr/>
              <w:t>(2)</w:t>
            </w:r>
          </w:p>
        </w:tc>
        <w:tc>
          <w:tcPr>
            <w:tcW w:w="9901" w:type="dxa"/>
            <w:tcBorders/>
            <w:shd w:fill="auto" w:val="clear"/>
            <w:vAlign w:val="center"/>
          </w:tcPr>
          <w:p>
            <w:pPr>
              <w:pStyle w:val="TableContents"/>
              <w:spacing w:before="0" w:after="0"/>
              <w:jc w:val="left"/>
              <w:rPr>
                <w:rFonts w:ascii="ARIAL" w:hAnsi="ARIAL"/>
                <w:sz w:val="16"/>
              </w:rPr>
            </w:pPr>
            <w:r>
              <w:rPr>
                <w:rFonts w:ascii="ARIAL" w:hAnsi="ARIAL"/>
                <w:sz w:val="16"/>
              </w:rPr>
              <w:t xml:space="preserve">Mr. Medley was not a named executive officer in 2021, and as such, his base salary for 2021 is not included in the chart set forth above. </w:t>
            </w:r>
          </w:p>
        </w:tc>
      </w:tr>
    </w:tbl>
    <w:p>
      <w:pPr>
        <w:pStyle w:val="TextBody"/>
        <w:spacing w:before="240" w:after="0"/>
        <w:jc w:val="left"/>
        <w:rPr>
          <w:rFonts w:ascii="ARIAL" w:hAnsi="ARIAL"/>
          <w:b/>
          <w:i/>
          <w:sz w:val="20"/>
        </w:rPr>
      </w:pPr>
      <w:r>
        <w:rPr>
          <w:rFonts w:ascii="ARIAL" w:hAnsi="ARIAL"/>
          <w:b/>
          <w:i/>
          <w:sz w:val="20"/>
        </w:rPr>
        <w:t xml:space="preserve">Annual Cash Incentive Compensation </w:t>
      </w:r>
    </w:p>
    <w:p>
      <w:pPr>
        <w:pStyle w:val="TextBody"/>
        <w:spacing w:before="240" w:after="0"/>
        <w:jc w:val="left"/>
        <w:rPr>
          <w:rFonts w:ascii="ARIAL" w:hAnsi="ARIAL"/>
          <w:sz w:val="20"/>
        </w:rPr>
      </w:pPr>
      <w:r>
        <w:rPr>
          <w:rFonts w:ascii="ARIAL" w:hAnsi="ARIAL"/>
          <w:sz w:val="20"/>
        </w:rPr>
        <w:t xml:space="preserve">Annual cash incentive compensation awards to the named executive officers are made pursuant to the Company’s 2019 Employee Performance Incentive Plan, as amended (“EPIP”). Annual cash incentive compensation awards are intended to align employees’ interests with the goals and strategic initiatives established by the Company and to reward employees for their contributions during the period to which the incentive award relates. Targets for the annual cash incentive compensation awards are typically expressed as a percentage of the individual’s base salary. </w:t>
      </w:r>
    </w:p>
    <w:p>
      <w:pPr>
        <w:pStyle w:val="TextBody"/>
        <w:spacing w:before="240" w:after="0"/>
        <w:jc w:val="left"/>
        <w:rPr>
          <w:rFonts w:ascii="ARIAL" w:hAnsi="ARIAL"/>
          <w:sz w:val="20"/>
        </w:rPr>
      </w:pPr>
      <w:r>
        <w:rPr>
          <w:rFonts w:ascii="ARIAL" w:hAnsi="ARIAL"/>
          <w:sz w:val="20"/>
        </w:rPr>
        <w:t xml:space="preserve">Annual cash incentive compensation awards are “at risk” as they are subject to the attainment of specific goals. For 2022, each individual’s target plan continued to include multiple budgeted financial goals, and for each goal, varying award amounts could be earned depending on the level at which that goal was attained (i.e., an underachievement and overachievement opportunity). </w:t>
      </w:r>
    </w:p>
    <w:p>
      <w:pPr>
        <w:pStyle w:val="TextBody"/>
        <w:spacing w:before="240" w:after="0"/>
        <w:jc w:val="left"/>
        <w:rPr>
          <w:rFonts w:ascii="ARIAL" w:hAnsi="ARIAL"/>
          <w:sz w:val="20"/>
        </w:rPr>
      </w:pPr>
      <w:r>
        <w:rPr>
          <w:rFonts w:ascii="ARIAL" w:hAnsi="ARIAL"/>
          <w:sz w:val="20"/>
          <w:u w:val="single"/>
        </w:rPr>
        <w:t>Financial Goals</w:t>
      </w:r>
      <w:r>
        <w:rPr>
          <w:rFonts w:ascii="ARIAL" w:hAnsi="ARIAL"/>
          <w:sz w:val="20"/>
        </w:rPr>
        <w:t xml:space="preserve"> </w:t>
      </w:r>
    </w:p>
    <w:p>
      <w:pPr>
        <w:pStyle w:val="TextBody"/>
        <w:spacing w:before="240" w:after="0"/>
        <w:jc w:val="left"/>
        <w:rPr>
          <w:rFonts w:ascii="ARIAL" w:hAnsi="ARIAL"/>
          <w:sz w:val="20"/>
        </w:rPr>
      </w:pPr>
      <w:r>
        <w:rPr>
          <w:rFonts w:ascii="ARIAL" w:hAnsi="ARIAL"/>
          <w:sz w:val="20"/>
        </w:rPr>
        <w:t xml:space="preserve">For each named executive officer, the financial goals for 2022 were similar to those used in 2021. </w:t>
      </w:r>
    </w:p>
    <w:p>
      <w:pPr>
        <w:pStyle w:val="TextBody"/>
        <w:spacing w:before="240" w:after="0"/>
        <w:jc w:val="left"/>
        <w:rPr>
          <w:rFonts w:ascii="ARIAL" w:hAnsi="ARIAL"/>
          <w:sz w:val="20"/>
        </w:rPr>
      </w:pPr>
      <w:r>
        <w:rPr>
          <w:rFonts w:ascii="ARIAL" w:hAnsi="ARIAL"/>
          <w:sz w:val="20"/>
        </w:rPr>
        <w:t xml:space="preserve">As in prior years, the Company’s financial goals were based on the attainment of key financial objectives, including, where applicable, budgeted operating performance within the range of the Company’s annual guidance to investors reflected in the Company’s earnings release issued in February 2022 (the “2022 Performance Objectives”). The Compensation Committee reviews and approves financial performance targets under our EPIP annually. The process begins with our rigorous internal budgeting process, which is undertaken each year and approved by our Board. Significant effort is invested to ensure that the metrics and targets in our annual cash incentive program reflect both a focus on continuous improvement and a realistic assessment of any changes in the market environment or within the Company. </w:t>
      </w:r>
    </w:p>
    <w:p>
      <w:pPr>
        <w:pStyle w:val="TextBody"/>
        <w:spacing w:before="240" w:after="0"/>
        <w:jc w:val="left"/>
        <w:rPr>
          <w:rFonts w:ascii="ARIAL" w:hAnsi="ARIAL"/>
          <w:sz w:val="20"/>
        </w:rPr>
      </w:pPr>
      <w:r>
        <w:rPr>
          <w:rFonts w:ascii="ARIAL" w:hAnsi="ARIAL"/>
          <w:sz w:val="20"/>
        </w:rPr>
        <w:t xml:space="preserve">At the time the target levels were set in early 2022, the Compensation Committee believed that such target levels were appropriately challenging, taking into account the uncertain economic and public health environment at such time, and that achieving such target levels would require significant effort from the named executive officers. The likelihood of the named executive officers achieving their respective target levels under our EPIP was not known at the time these target levels were set, and historically, in any given year, not all of the target levels have been achieved. The Compensation Committee believes that it is appropriate to set rigorous financial targets in order to motivate the named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47 </w:t>
      </w:r>
      <w:r>
        <w:br w:type="page"/>
      </w:r>
    </w:p>
    <w:p>
      <w:pPr>
        <w:pStyle w:val="HorizontalLine"/>
        <w:rPr/>
      </w:pPr>
      <w:r>
        <w:rPr/>
      </w:r>
    </w:p>
    <w:p>
      <w:pPr>
        <w:pStyle w:val="TextBody"/>
        <w:spacing w:before="0" w:after="0"/>
        <w:jc w:val="left"/>
        <w:rPr>
          <w:rFonts w:ascii="ARIAL" w:hAnsi="ARIAL"/>
          <w:sz w:val="20"/>
        </w:rPr>
      </w:pPr>
      <w:r>
        <w:rPr>
          <w:rFonts w:ascii="ARIAL" w:hAnsi="ARIAL"/>
          <w:sz w:val="20"/>
        </w:rPr>
        <w:t xml:space="preserve">executive officers to meet the Company’s business goals and to align named executive officers’ interests with the goals and strategic initiatives established by the Company while being mindful not to encourage excessive risk-taking. </w:t>
      </w:r>
    </w:p>
    <w:p>
      <w:pPr>
        <w:pStyle w:val="TextBody"/>
        <w:spacing w:before="240" w:after="0"/>
        <w:jc w:val="left"/>
        <w:rPr>
          <w:rFonts w:ascii="ARIAL" w:hAnsi="ARIAL"/>
          <w:sz w:val="20"/>
        </w:rPr>
      </w:pPr>
      <w:r>
        <w:rPr>
          <w:rFonts w:ascii="ARIAL" w:hAnsi="ARIAL"/>
          <w:sz w:val="20"/>
        </w:rPr>
        <w:t xml:space="preserve">The Company’s 2022 financial performance objectives under our EPIP for our named executive officers were as set forth in the tables below. Each goal target was scaled to achieve a partial award for less than targeted performance or an above target award for overachievement as illustrated below: </w:t>
      </w:r>
    </w:p>
    <w:p>
      <w:pPr>
        <w:pStyle w:val="TextBody"/>
        <w:spacing w:before="0" w:after="0"/>
        <w:jc w:val="left"/>
        <w:rPr/>
      </w:pPr>
      <w:r>
        <w:rPr/>
        <w:t> </w:t>
      </w:r>
    </w:p>
    <w:tbl>
      <w:tblPr>
        <w:tblW w:w="8751" w:type="dxa"/>
        <w:jc w:val="left"/>
        <w:tblInd w:w="0" w:type="dxa"/>
        <w:tblCellMar>
          <w:top w:w="0" w:type="dxa"/>
          <w:left w:w="0" w:type="dxa"/>
          <w:bottom w:w="0" w:type="dxa"/>
          <w:right w:w="0" w:type="dxa"/>
        </w:tblCellMar>
      </w:tblPr>
      <w:tblGrid>
        <w:gridCol w:w="2265"/>
        <w:gridCol w:w="95"/>
        <w:gridCol w:w="1449"/>
        <w:gridCol w:w="95"/>
        <w:gridCol w:w="1259"/>
        <w:gridCol w:w="60"/>
        <w:gridCol w:w="60"/>
        <w:gridCol w:w="60"/>
        <w:gridCol w:w="1203"/>
        <w:gridCol w:w="72"/>
        <w:gridCol w:w="1094"/>
        <w:gridCol w:w="72"/>
        <w:gridCol w:w="967"/>
      </w:tblGrid>
      <w:tr>
        <w:trPr/>
        <w:tc>
          <w:tcPr>
            <w:tcW w:w="2265"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1449"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125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3" w:type="dxa"/>
            <w:tcBorders/>
            <w:shd w:fill="auto" w:val="clear"/>
            <w:vAlign w:val="center"/>
          </w:tcPr>
          <w:p>
            <w:pPr>
              <w:pStyle w:val="TableContents"/>
              <w:spacing w:before="0" w:after="283"/>
              <w:rPr>
                <w:sz w:val="4"/>
                <w:szCs w:val="4"/>
              </w:rPr>
            </w:pPr>
            <w:r>
              <w:rPr>
                <w:sz w:val="4"/>
                <w:szCs w:val="4"/>
              </w:rPr>
            </w:r>
          </w:p>
        </w:tc>
        <w:tc>
          <w:tcPr>
            <w:tcW w:w="72" w:type="dxa"/>
            <w:tcBorders/>
            <w:shd w:fill="auto" w:val="clear"/>
            <w:vAlign w:val="center"/>
          </w:tcPr>
          <w:p>
            <w:pPr>
              <w:pStyle w:val="TableContents"/>
              <w:spacing w:before="0" w:after="283"/>
              <w:rPr>
                <w:sz w:val="4"/>
                <w:szCs w:val="4"/>
              </w:rPr>
            </w:pPr>
            <w:r>
              <w:rPr>
                <w:sz w:val="4"/>
                <w:szCs w:val="4"/>
              </w:rPr>
            </w:r>
          </w:p>
        </w:tc>
        <w:tc>
          <w:tcPr>
            <w:tcW w:w="1094" w:type="dxa"/>
            <w:tcBorders/>
            <w:shd w:fill="auto" w:val="clear"/>
            <w:vAlign w:val="center"/>
          </w:tcPr>
          <w:p>
            <w:pPr>
              <w:pStyle w:val="TableContents"/>
              <w:spacing w:before="0" w:after="283"/>
              <w:rPr>
                <w:sz w:val="4"/>
                <w:szCs w:val="4"/>
              </w:rPr>
            </w:pPr>
            <w:r>
              <w:rPr>
                <w:sz w:val="4"/>
                <w:szCs w:val="4"/>
              </w:rPr>
            </w:r>
          </w:p>
        </w:tc>
        <w:tc>
          <w:tcPr>
            <w:tcW w:w="72" w:type="dxa"/>
            <w:tcBorders/>
            <w:shd w:fill="auto" w:val="clear"/>
            <w:vAlign w:val="center"/>
          </w:tcPr>
          <w:p>
            <w:pPr>
              <w:pStyle w:val="TableContents"/>
              <w:spacing w:before="0" w:after="283"/>
              <w:rPr>
                <w:sz w:val="4"/>
                <w:szCs w:val="4"/>
              </w:rPr>
            </w:pPr>
            <w:r>
              <w:rPr>
                <w:sz w:val="4"/>
                <w:szCs w:val="4"/>
              </w:rPr>
            </w:r>
          </w:p>
        </w:tc>
        <w:tc>
          <w:tcPr>
            <w:tcW w:w="967" w:type="dxa"/>
            <w:tcBorders/>
            <w:shd w:fill="auto" w:val="clear"/>
            <w:vAlign w:val="center"/>
          </w:tcPr>
          <w:p>
            <w:pPr>
              <w:pStyle w:val="TableContents"/>
              <w:spacing w:before="0" w:after="283"/>
              <w:rPr>
                <w:sz w:val="4"/>
                <w:szCs w:val="4"/>
              </w:rPr>
            </w:pPr>
            <w:r>
              <w:rPr>
                <w:sz w:val="4"/>
                <w:szCs w:val="4"/>
              </w:rPr>
            </w:r>
          </w:p>
        </w:tc>
      </w:tr>
      <w:tr>
        <w:trPr/>
        <w:tc>
          <w:tcPr>
            <w:tcW w:w="5163" w:type="dxa"/>
            <w:gridSpan w:val="5"/>
            <w:tcBorders>
              <w:top w:val="single" w:sz="6" w:space="0" w:color="000000"/>
              <w:left w:val="single" w:sz="6" w:space="0" w:color="000000"/>
              <w:bottom w:val="single" w:sz="6" w:space="0" w:color="000000"/>
              <w:right w:val="single" w:sz="6" w:space="0" w:color="000000"/>
            </w:tcBorders>
            <w:shd w:fill="auto" w:val="clear"/>
            <w:tcMar>
              <w:top w:w="28" w:type="dxa"/>
              <w:left w:w="160" w:type="dxa"/>
              <w:bottom w:w="28" w:type="dxa"/>
              <w:right w:w="28" w:type="dxa"/>
            </w:tcMar>
            <w:vAlign w:val="center"/>
          </w:tcPr>
          <w:p>
            <w:pPr>
              <w:pStyle w:val="TableContents"/>
              <w:spacing w:before="0" w:after="283"/>
              <w:jc w:val="center"/>
              <w:rPr/>
            </w:pPr>
            <w:r>
              <w:rPr>
                <w:b/>
              </w:rPr>
              <w:t>2022 Consolidated Adjusted EBITDA* </w:t>
            </w:r>
            <w:r>
              <w:rPr>
                <w:i/>
              </w:rPr>
              <w:t>($ millions)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top w:val="single" w:sz="6" w:space="0" w:color="000000"/>
              <w:left w:val="single" w:sz="6" w:space="0" w:color="000000"/>
              <w:bottom w:val="single" w:sz="6" w:space="0" w:color="000000"/>
            </w:tcBorders>
            <w:shd w:fill="auto" w:val="clear"/>
            <w:tcMar>
              <w:top w:w="28" w:type="dxa"/>
              <w:left w:w="28" w:type="dxa"/>
              <w:bottom w:w="28" w:type="dxa"/>
            </w:tcMar>
            <w:vAlign w:val="center"/>
          </w:tcPr>
          <w:p>
            <w:pPr>
              <w:pStyle w:val="TableContents"/>
              <w:spacing w:before="0" w:after="283"/>
              <w:rPr/>
            </w:pPr>
            <w:r>
              <w:rPr/>
              <w:t> </w:t>
            </w:r>
          </w:p>
        </w:tc>
        <w:tc>
          <w:tcPr>
            <w:tcW w:w="3408" w:type="dxa"/>
            <w:gridSpan w:val="5"/>
            <w:tcBorders>
              <w:top w:val="single" w:sz="6" w:space="0" w:color="000000"/>
              <w:bottom w:val="single" w:sz="6" w:space="0" w:color="000000"/>
              <w:right w:val="single" w:sz="6" w:space="0" w:color="000000"/>
            </w:tcBorders>
            <w:shd w:fill="auto" w:val="clear"/>
            <w:tcMar>
              <w:top w:w="28" w:type="dxa"/>
              <w:bottom w:w="28" w:type="dxa"/>
              <w:right w:w="40" w:type="dxa"/>
            </w:tcMar>
            <w:vAlign w:val="center"/>
          </w:tcPr>
          <w:p>
            <w:pPr>
              <w:pStyle w:val="TableContents"/>
              <w:spacing w:before="0" w:after="283"/>
              <w:jc w:val="center"/>
              <w:rPr/>
            </w:pPr>
            <w:r>
              <w:rPr>
                <w:b/>
              </w:rPr>
              <w:t>2022 Net Revenues </w:t>
            </w:r>
            <w:r>
              <w:rPr>
                <w:i/>
              </w:rPr>
              <w:t>($</w:t>
            </w:r>
            <w:r>
              <w:rPr/>
              <w:t> </w:t>
            </w:r>
            <w:r>
              <w:rPr>
                <w:i/>
              </w:rPr>
              <w:t>millions)</w:t>
            </w:r>
          </w:p>
        </w:tc>
      </w:tr>
      <w:tr>
        <w:trPr/>
        <w:tc>
          <w:tcPr>
            <w:tcW w:w="2265" w:type="dxa"/>
            <w:tcBorders>
              <w:left w:val="single" w:sz="6" w:space="0" w:color="000000"/>
              <w:bottom w:val="single" w:sz="6" w:space="0" w:color="000000"/>
            </w:tcBorders>
            <w:shd w:fill="auto" w:val="clear"/>
            <w:tcMar>
              <w:left w:w="160" w:type="dxa"/>
              <w:bottom w:w="28" w:type="dxa"/>
            </w:tcMar>
            <w:vAlign w:val="center"/>
          </w:tcPr>
          <w:p>
            <w:pPr>
              <w:pStyle w:val="TableContents"/>
              <w:spacing w:before="0" w:after="0"/>
              <w:jc w:val="center"/>
              <w:rPr>
                <w:rFonts w:ascii="ARIAL" w:hAnsi="ARIAL"/>
                <w:b/>
                <w:sz w:val="16"/>
              </w:rPr>
            </w:pPr>
            <w:r>
              <w:rPr>
                <w:rFonts w:ascii="ARIAL" w:hAnsi="ARIAL"/>
                <w:b/>
                <w:sz w:val="16"/>
              </w:rPr>
              <w:t>2022</w:t>
            </w:r>
          </w:p>
          <w:p>
            <w:pPr>
              <w:pStyle w:val="TableContents"/>
              <w:spacing w:before="0" w:after="20"/>
              <w:jc w:val="center"/>
              <w:rPr>
                <w:rFonts w:ascii="ARIAL" w:hAnsi="ARIAL"/>
                <w:b/>
                <w:sz w:val="16"/>
              </w:rPr>
            </w:pPr>
            <w:r>
              <w:rPr>
                <w:rFonts w:ascii="ARIAL" w:hAnsi="ARIAL"/>
                <w:b/>
                <w:sz w:val="16"/>
              </w:rPr>
              <w:t>Consolidated</w:t>
              <w:br/>
              <w:t>Adjusted</w:t>
              <w:br/>
              <w:t>EBITDA</w:t>
            </w:r>
          </w:p>
        </w:tc>
        <w:tc>
          <w:tcPr>
            <w:tcW w:w="95" w:type="dxa"/>
            <w:tcBorders>
              <w:left w:val="single" w:sz="6" w:space="0" w:color="000000"/>
              <w:bottom w:val="single" w:sz="6" w:space="0" w:color="000000"/>
            </w:tcBorders>
            <w:shd w:fill="auto" w:val="clear"/>
            <w:tcMar>
              <w:left w:w="28" w:type="dxa"/>
              <w:bottom w:w="28" w:type="dxa"/>
            </w:tcMar>
            <w:vAlign w:val="center"/>
          </w:tcPr>
          <w:p>
            <w:pPr>
              <w:pStyle w:val="TableContents"/>
              <w:spacing w:before="0" w:after="283"/>
              <w:rPr/>
            </w:pPr>
            <w:r>
              <w:rPr/>
              <w:t> </w:t>
            </w:r>
          </w:p>
        </w:tc>
        <w:tc>
          <w:tcPr>
            <w:tcW w:w="1449" w:type="dxa"/>
            <w:tcBorders>
              <w:bottom w:val="single" w:sz="6" w:space="0" w:color="000000"/>
              <w:right w:val="single" w:sz="6" w:space="0" w:color="000000"/>
            </w:tcBorders>
            <w:shd w:fill="auto" w:val="clear"/>
            <w:tcMar>
              <w:bottom w:w="28" w:type="dxa"/>
              <w:right w:w="28" w:type="dxa"/>
            </w:tcMar>
            <w:vAlign w:val="center"/>
          </w:tcPr>
          <w:p>
            <w:pPr>
              <w:pStyle w:val="TableContents"/>
              <w:spacing w:before="0" w:after="283"/>
              <w:jc w:val="center"/>
              <w:rPr>
                <w:b/>
              </w:rPr>
            </w:pPr>
            <w:r>
              <w:rPr>
                <w:b/>
              </w:rPr>
              <w:t>% of</w:t>
              <w:br/>
              <w:t>Target</w:t>
              <w:br/>
              <w:t>Attained</w:t>
            </w:r>
          </w:p>
        </w:tc>
        <w:tc>
          <w:tcPr>
            <w:tcW w:w="95" w:type="dxa"/>
            <w:tcBorders>
              <w:bottom w:val="single" w:sz="6" w:space="0" w:color="000000"/>
            </w:tcBorders>
            <w:shd w:fill="auto" w:val="clear"/>
            <w:tcMar>
              <w:bottom w:w="28" w:type="dxa"/>
            </w:tcMar>
            <w:vAlign w:val="center"/>
          </w:tcPr>
          <w:p>
            <w:pPr>
              <w:pStyle w:val="TableContents"/>
              <w:spacing w:before="0" w:after="283"/>
              <w:rPr/>
            </w:pPr>
            <w:r>
              <w:rPr/>
              <w:t> </w:t>
            </w:r>
          </w:p>
        </w:tc>
        <w:tc>
          <w:tcPr>
            <w:tcW w:w="1259" w:type="dxa"/>
            <w:tcBorders>
              <w:bottom w:val="single" w:sz="6" w:space="0" w:color="000000"/>
              <w:right w:val="single" w:sz="6" w:space="0" w:color="000000"/>
            </w:tcBorders>
            <w:shd w:fill="auto" w:val="clear"/>
            <w:tcMar>
              <w:bottom w:w="28" w:type="dxa"/>
              <w:right w:w="28" w:type="dxa"/>
            </w:tcMar>
            <w:vAlign w:val="center"/>
          </w:tcPr>
          <w:p>
            <w:pPr>
              <w:pStyle w:val="TableContents"/>
              <w:spacing w:before="0" w:after="283"/>
              <w:jc w:val="center"/>
              <w:rPr>
                <w:b/>
              </w:rPr>
            </w:pPr>
            <w:r>
              <w:rPr>
                <w:b/>
              </w:rPr>
              <w:t>% of</w:t>
              <w:br/>
              <w:t>Target</w:t>
              <w:br/>
              <w:t>Bonus</w:t>
              <w:br/>
              <w:t>Earned</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left w:val="single" w:sz="6" w:space="0" w:color="000000"/>
              <w:bottom w:val="single" w:sz="6" w:space="0" w:color="000000"/>
            </w:tcBorders>
            <w:shd w:fill="auto" w:val="clear"/>
            <w:tcMar>
              <w:left w:w="28" w:type="dxa"/>
              <w:bottom w:w="28" w:type="dxa"/>
            </w:tcMar>
            <w:vAlign w:val="center"/>
          </w:tcPr>
          <w:p>
            <w:pPr>
              <w:pStyle w:val="TableContents"/>
              <w:spacing w:before="0" w:after="283"/>
              <w:rPr/>
            </w:pPr>
            <w:r>
              <w:rPr/>
              <w:t> </w:t>
            </w:r>
          </w:p>
        </w:tc>
        <w:tc>
          <w:tcPr>
            <w:tcW w:w="1203" w:type="dxa"/>
            <w:tcBorders>
              <w:bottom w:val="single" w:sz="6" w:space="0" w:color="000000"/>
            </w:tcBorders>
            <w:shd w:fill="auto" w:val="clear"/>
            <w:tcMar>
              <w:bottom w:w="28" w:type="dxa"/>
            </w:tcMar>
            <w:vAlign w:val="center"/>
          </w:tcPr>
          <w:p>
            <w:pPr>
              <w:pStyle w:val="TableContents"/>
              <w:spacing w:before="0" w:after="283"/>
              <w:jc w:val="center"/>
              <w:rPr>
                <w:b/>
              </w:rPr>
            </w:pPr>
            <w:r>
              <w:rPr>
                <w:b/>
              </w:rPr>
              <w:t>2022</w:t>
              <w:br/>
              <w:t>Net</w:t>
              <w:br/>
              <w:t>Revenues</w:t>
            </w:r>
          </w:p>
        </w:tc>
        <w:tc>
          <w:tcPr>
            <w:tcW w:w="72" w:type="dxa"/>
            <w:tcBorders>
              <w:left w:val="single" w:sz="6" w:space="0" w:color="000000"/>
              <w:bottom w:val="single" w:sz="6" w:space="0" w:color="000000"/>
            </w:tcBorders>
            <w:shd w:fill="auto" w:val="clear"/>
            <w:tcMar>
              <w:left w:w="28" w:type="dxa"/>
              <w:bottom w:w="28" w:type="dxa"/>
            </w:tcMar>
            <w:vAlign w:val="center"/>
          </w:tcPr>
          <w:p>
            <w:pPr>
              <w:pStyle w:val="TableContents"/>
              <w:spacing w:before="0" w:after="283"/>
              <w:rPr/>
            </w:pPr>
            <w:r>
              <w:rPr/>
              <w:t> </w:t>
            </w:r>
          </w:p>
        </w:tc>
        <w:tc>
          <w:tcPr>
            <w:tcW w:w="1094" w:type="dxa"/>
            <w:tcBorders>
              <w:bottom w:val="single" w:sz="6" w:space="0" w:color="000000"/>
              <w:right w:val="single" w:sz="6" w:space="0" w:color="000000"/>
            </w:tcBorders>
            <w:shd w:fill="auto" w:val="clear"/>
            <w:tcMar>
              <w:bottom w:w="28" w:type="dxa"/>
              <w:right w:w="28" w:type="dxa"/>
            </w:tcMar>
            <w:vAlign w:val="center"/>
          </w:tcPr>
          <w:p>
            <w:pPr>
              <w:pStyle w:val="TableContents"/>
              <w:spacing w:before="0" w:after="283"/>
              <w:jc w:val="center"/>
              <w:rPr>
                <w:b/>
              </w:rPr>
            </w:pPr>
            <w:r>
              <w:rPr>
                <w:b/>
              </w:rPr>
              <w:t>% of</w:t>
              <w:br/>
              <w:t>Target</w:t>
              <w:br/>
              <w:t>Attained</w:t>
            </w:r>
          </w:p>
        </w:tc>
        <w:tc>
          <w:tcPr>
            <w:tcW w:w="72" w:type="dxa"/>
            <w:tcBorders>
              <w:bottom w:val="single" w:sz="6" w:space="0" w:color="000000"/>
            </w:tcBorders>
            <w:shd w:fill="auto" w:val="clear"/>
            <w:tcMar>
              <w:bottom w:w="28" w:type="dxa"/>
            </w:tcMar>
            <w:vAlign w:val="center"/>
          </w:tcPr>
          <w:p>
            <w:pPr>
              <w:pStyle w:val="TableContents"/>
              <w:spacing w:before="0" w:after="283"/>
              <w:rPr/>
            </w:pPr>
            <w:r>
              <w:rPr/>
              <w:t> </w:t>
            </w:r>
          </w:p>
        </w:tc>
        <w:tc>
          <w:tcPr>
            <w:tcW w:w="967" w:type="dxa"/>
            <w:tcBorders>
              <w:bottom w:val="single" w:sz="6" w:space="0" w:color="000000"/>
              <w:right w:val="single" w:sz="6" w:space="0" w:color="000000"/>
            </w:tcBorders>
            <w:shd w:fill="auto" w:val="clear"/>
            <w:tcMar>
              <w:bottom w:w="28" w:type="dxa"/>
              <w:right w:w="40" w:type="dxa"/>
            </w:tcMar>
            <w:vAlign w:val="center"/>
          </w:tcPr>
          <w:p>
            <w:pPr>
              <w:pStyle w:val="TableContents"/>
              <w:spacing w:before="0" w:after="283"/>
              <w:jc w:val="center"/>
              <w:rPr>
                <w:b/>
              </w:rPr>
            </w:pPr>
            <w:r>
              <w:rPr>
                <w:b/>
              </w:rPr>
              <w:t>% of</w:t>
              <w:br/>
              <w:t>Target</w:t>
              <w:br/>
              <w:t>Bonus</w:t>
              <w:br/>
              <w:t>Earned</w:t>
            </w:r>
          </w:p>
        </w:tc>
      </w:tr>
      <w:tr>
        <w:trPr/>
        <w:tc>
          <w:tcPr>
            <w:tcW w:w="2265" w:type="dxa"/>
            <w:tcBorders>
              <w:left w:val="single" w:sz="6" w:space="0" w:color="000000"/>
            </w:tcBorders>
            <w:shd w:fill="auto" w:val="clear"/>
            <w:tcMar>
              <w:left w:w="160" w:type="dxa"/>
            </w:tcMar>
            <w:vAlign w:val="center"/>
          </w:tcPr>
          <w:p>
            <w:pPr>
              <w:pStyle w:val="TableContents"/>
              <w:spacing w:before="0" w:after="0"/>
              <w:jc w:val="center"/>
              <w:rPr/>
            </w:pPr>
            <w:r>
              <w:rPr/>
              <w:t>  </w:t>
            </w:r>
            <w:r>
              <w:rPr>
                <w:rFonts w:ascii="ARIAL" w:hAnsi="ARIAL"/>
                <w:sz w:val="20"/>
              </w:rPr>
              <w:t>$1,900</w:t>
            </w:r>
          </w:p>
        </w:tc>
        <w:tc>
          <w:tcPr>
            <w:tcW w:w="95" w:type="dxa"/>
            <w:tcBorders>
              <w:left w:val="single" w:sz="6" w:space="0" w:color="000000"/>
            </w:tcBorders>
            <w:shd w:fill="auto" w:val="clear"/>
            <w:tcMar>
              <w:left w:w="28" w:type="dxa"/>
            </w:tcMar>
            <w:vAlign w:val="center"/>
          </w:tcPr>
          <w:p>
            <w:pPr>
              <w:pStyle w:val="TableContents"/>
              <w:spacing w:before="0" w:after="283"/>
              <w:rPr/>
            </w:pPr>
            <w:r>
              <w:rPr/>
              <w:t> </w:t>
            </w:r>
          </w:p>
        </w:tc>
        <w:tc>
          <w:tcPr>
            <w:tcW w:w="1449" w:type="dxa"/>
            <w:tcBorders>
              <w:right w:val="single" w:sz="6" w:space="0" w:color="000000"/>
            </w:tcBorders>
            <w:shd w:fill="auto" w:val="clear"/>
            <w:tcMar>
              <w:right w:w="28" w:type="dxa"/>
            </w:tcMar>
            <w:vAlign w:val="center"/>
          </w:tcPr>
          <w:p>
            <w:pPr>
              <w:pStyle w:val="TableContents"/>
              <w:spacing w:before="0" w:after="283"/>
              <w:jc w:val="center"/>
              <w:rPr/>
            </w:pPr>
            <w:r>
              <w:rPr/>
              <w:t>100%</w:t>
            </w:r>
          </w:p>
        </w:tc>
        <w:tc>
          <w:tcPr>
            <w:tcW w:w="95" w:type="dxa"/>
            <w:tcBorders/>
            <w:shd w:fill="auto" w:val="clear"/>
            <w:vAlign w:val="center"/>
          </w:tcPr>
          <w:p>
            <w:pPr>
              <w:pStyle w:val="TableContents"/>
              <w:spacing w:before="0" w:after="283"/>
              <w:rPr/>
            </w:pPr>
            <w:r>
              <w:rPr/>
              <w:t> </w:t>
            </w:r>
          </w:p>
        </w:tc>
        <w:tc>
          <w:tcPr>
            <w:tcW w:w="1259" w:type="dxa"/>
            <w:tcBorders>
              <w:right w:val="single" w:sz="6" w:space="0" w:color="000000"/>
            </w:tcBorders>
            <w:shd w:fill="auto" w:val="clear"/>
            <w:tcMar>
              <w:right w:w="28" w:type="dxa"/>
            </w:tcMar>
            <w:vAlign w:val="center"/>
          </w:tcPr>
          <w:p>
            <w:pPr>
              <w:pStyle w:val="TableContents"/>
              <w:spacing w:before="0" w:after="283"/>
              <w:jc w:val="center"/>
              <w:rPr/>
            </w:pPr>
            <w:r>
              <w:rPr/>
              <w:t>100%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left w:val="single" w:sz="6" w:space="0" w:color="000000"/>
            </w:tcBorders>
            <w:shd w:fill="auto" w:val="clear"/>
            <w:tcMar>
              <w:left w:w="28" w:type="dxa"/>
            </w:tcMar>
            <w:vAlign w:val="center"/>
          </w:tcPr>
          <w:p>
            <w:pPr>
              <w:pStyle w:val="TableContents"/>
              <w:spacing w:before="0" w:after="283"/>
              <w:rPr/>
            </w:pPr>
            <w:r>
              <w:rPr/>
              <w:t> </w:t>
            </w:r>
          </w:p>
        </w:tc>
        <w:tc>
          <w:tcPr>
            <w:tcW w:w="1203" w:type="dxa"/>
            <w:tcBorders/>
            <w:shd w:fill="auto" w:val="clear"/>
            <w:vAlign w:val="center"/>
          </w:tcPr>
          <w:p>
            <w:pPr>
              <w:pStyle w:val="TableContents"/>
              <w:spacing w:before="0" w:after="283"/>
              <w:jc w:val="center"/>
              <w:rPr/>
            </w:pPr>
            <w:r>
              <w:rPr/>
              <w:t>  </w:t>
            </w:r>
            <w:r>
              <w:rPr/>
              <w:t>$12,850</w:t>
            </w:r>
          </w:p>
        </w:tc>
        <w:tc>
          <w:tcPr>
            <w:tcW w:w="72" w:type="dxa"/>
            <w:tcBorders>
              <w:left w:val="single" w:sz="6" w:space="0" w:color="000000"/>
            </w:tcBorders>
            <w:shd w:fill="auto" w:val="clear"/>
            <w:tcMar>
              <w:left w:w="28" w:type="dxa"/>
            </w:tcMar>
            <w:vAlign w:val="center"/>
          </w:tcPr>
          <w:p>
            <w:pPr>
              <w:pStyle w:val="TableContents"/>
              <w:spacing w:before="0" w:after="283"/>
              <w:rPr/>
            </w:pPr>
            <w:r>
              <w:rPr/>
              <w:t> </w:t>
            </w:r>
          </w:p>
        </w:tc>
        <w:tc>
          <w:tcPr>
            <w:tcW w:w="1094" w:type="dxa"/>
            <w:tcBorders>
              <w:right w:val="single" w:sz="6" w:space="0" w:color="000000"/>
            </w:tcBorders>
            <w:shd w:fill="auto" w:val="clear"/>
            <w:tcMar>
              <w:right w:w="28" w:type="dxa"/>
            </w:tcMar>
            <w:vAlign w:val="center"/>
          </w:tcPr>
          <w:p>
            <w:pPr>
              <w:pStyle w:val="TableContents"/>
              <w:spacing w:before="0" w:after="283"/>
              <w:jc w:val="center"/>
              <w:rPr/>
            </w:pPr>
            <w:r>
              <w:rPr/>
              <w:t>100%</w:t>
            </w:r>
          </w:p>
        </w:tc>
        <w:tc>
          <w:tcPr>
            <w:tcW w:w="72" w:type="dxa"/>
            <w:tcBorders/>
            <w:shd w:fill="auto" w:val="clear"/>
            <w:vAlign w:val="center"/>
          </w:tcPr>
          <w:p>
            <w:pPr>
              <w:pStyle w:val="TableContents"/>
              <w:spacing w:before="0" w:after="283"/>
              <w:rPr/>
            </w:pPr>
            <w:r>
              <w:rPr/>
              <w:t> </w:t>
            </w:r>
          </w:p>
        </w:tc>
        <w:tc>
          <w:tcPr>
            <w:tcW w:w="967" w:type="dxa"/>
            <w:tcBorders>
              <w:right w:val="single" w:sz="6" w:space="0" w:color="000000"/>
            </w:tcBorders>
            <w:shd w:fill="auto" w:val="clear"/>
            <w:tcMar>
              <w:right w:w="40" w:type="dxa"/>
            </w:tcMar>
            <w:vAlign w:val="center"/>
          </w:tcPr>
          <w:p>
            <w:pPr>
              <w:pStyle w:val="TableContents"/>
              <w:spacing w:before="0" w:after="283"/>
              <w:jc w:val="center"/>
              <w:rPr/>
            </w:pPr>
            <w:r>
              <w:rPr/>
              <w:t>100%</w:t>
            </w:r>
          </w:p>
        </w:tc>
      </w:tr>
      <w:tr>
        <w:trPr/>
        <w:tc>
          <w:tcPr>
            <w:tcW w:w="2265" w:type="dxa"/>
            <w:tcBorders>
              <w:left w:val="single" w:sz="6" w:space="0" w:color="000000"/>
            </w:tcBorders>
            <w:shd w:fill="auto" w:val="clear"/>
            <w:tcMar>
              <w:left w:w="160" w:type="dxa"/>
            </w:tcMar>
            <w:vAlign w:val="center"/>
          </w:tcPr>
          <w:p>
            <w:pPr>
              <w:pStyle w:val="TableContents"/>
              <w:spacing w:before="0" w:after="0"/>
              <w:jc w:val="center"/>
              <w:rPr/>
            </w:pPr>
            <w:r>
              <w:rPr/>
              <w:t>  </w:t>
            </w:r>
            <w:r>
              <w:rPr>
                <w:rFonts w:ascii="ARIAL" w:hAnsi="ARIAL"/>
                <w:sz w:val="20"/>
              </w:rPr>
              <w:t>$1,805</w:t>
            </w:r>
          </w:p>
        </w:tc>
        <w:tc>
          <w:tcPr>
            <w:tcW w:w="95" w:type="dxa"/>
            <w:tcBorders>
              <w:left w:val="single" w:sz="6" w:space="0" w:color="000000"/>
            </w:tcBorders>
            <w:shd w:fill="auto" w:val="clear"/>
            <w:tcMar>
              <w:left w:w="28" w:type="dxa"/>
            </w:tcMar>
            <w:vAlign w:val="center"/>
          </w:tcPr>
          <w:p>
            <w:pPr>
              <w:pStyle w:val="TableContents"/>
              <w:spacing w:before="0" w:after="283"/>
              <w:rPr/>
            </w:pPr>
            <w:r>
              <w:rPr/>
              <w:t> </w:t>
            </w:r>
          </w:p>
        </w:tc>
        <w:tc>
          <w:tcPr>
            <w:tcW w:w="1449" w:type="dxa"/>
            <w:tcBorders>
              <w:right w:val="single" w:sz="6" w:space="0" w:color="000000"/>
            </w:tcBorders>
            <w:shd w:fill="auto" w:val="clear"/>
            <w:tcMar>
              <w:right w:w="28" w:type="dxa"/>
            </w:tcMar>
            <w:vAlign w:val="center"/>
          </w:tcPr>
          <w:p>
            <w:pPr>
              <w:pStyle w:val="TableContents"/>
              <w:spacing w:before="0" w:after="283"/>
              <w:jc w:val="center"/>
              <w:rPr/>
            </w:pPr>
            <w:r>
              <w:rPr/>
              <w:t>  </w:t>
            </w:r>
            <w:r>
              <w:rPr/>
              <w:t>95%</w:t>
            </w:r>
          </w:p>
        </w:tc>
        <w:tc>
          <w:tcPr>
            <w:tcW w:w="95" w:type="dxa"/>
            <w:tcBorders/>
            <w:shd w:fill="auto" w:val="clear"/>
            <w:vAlign w:val="center"/>
          </w:tcPr>
          <w:p>
            <w:pPr>
              <w:pStyle w:val="TableContents"/>
              <w:spacing w:before="0" w:after="283"/>
              <w:rPr/>
            </w:pPr>
            <w:r>
              <w:rPr/>
              <w:t> </w:t>
            </w:r>
          </w:p>
        </w:tc>
        <w:tc>
          <w:tcPr>
            <w:tcW w:w="1259" w:type="dxa"/>
            <w:tcBorders>
              <w:right w:val="single" w:sz="6" w:space="0" w:color="000000"/>
            </w:tcBorders>
            <w:shd w:fill="auto" w:val="clear"/>
            <w:tcMar>
              <w:right w:w="28" w:type="dxa"/>
            </w:tcMar>
            <w:vAlign w:val="center"/>
          </w:tcPr>
          <w:p>
            <w:pPr>
              <w:pStyle w:val="TableContents"/>
              <w:spacing w:before="0" w:after="283"/>
              <w:jc w:val="center"/>
              <w:rPr/>
            </w:pPr>
            <w:r>
              <w:rPr/>
              <w:t>  </w:t>
            </w:r>
            <w:r>
              <w:rPr/>
              <w:t>75%</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left w:val="single" w:sz="6" w:space="0" w:color="000000"/>
            </w:tcBorders>
            <w:shd w:fill="auto" w:val="clear"/>
            <w:tcMar>
              <w:left w:w="28" w:type="dxa"/>
            </w:tcMar>
            <w:vAlign w:val="center"/>
          </w:tcPr>
          <w:p>
            <w:pPr>
              <w:pStyle w:val="TableContents"/>
              <w:spacing w:before="0" w:after="283"/>
              <w:rPr/>
            </w:pPr>
            <w:r>
              <w:rPr/>
              <w:t> </w:t>
            </w:r>
          </w:p>
        </w:tc>
        <w:tc>
          <w:tcPr>
            <w:tcW w:w="1203" w:type="dxa"/>
            <w:tcBorders/>
            <w:shd w:fill="auto" w:val="clear"/>
            <w:vAlign w:val="center"/>
          </w:tcPr>
          <w:p>
            <w:pPr>
              <w:pStyle w:val="TableContents"/>
              <w:spacing w:before="0" w:after="283"/>
              <w:jc w:val="center"/>
              <w:rPr/>
            </w:pPr>
            <w:r>
              <w:rPr/>
              <w:t>  </w:t>
            </w:r>
            <w:r>
              <w:rPr/>
              <w:t>$12,208</w:t>
            </w:r>
          </w:p>
        </w:tc>
        <w:tc>
          <w:tcPr>
            <w:tcW w:w="72" w:type="dxa"/>
            <w:tcBorders>
              <w:left w:val="single" w:sz="6" w:space="0" w:color="000000"/>
            </w:tcBorders>
            <w:shd w:fill="auto" w:val="clear"/>
            <w:tcMar>
              <w:left w:w="28" w:type="dxa"/>
            </w:tcMar>
            <w:vAlign w:val="center"/>
          </w:tcPr>
          <w:p>
            <w:pPr>
              <w:pStyle w:val="TableContents"/>
              <w:spacing w:before="0" w:after="283"/>
              <w:rPr/>
            </w:pPr>
            <w:r>
              <w:rPr/>
              <w:t> </w:t>
            </w:r>
          </w:p>
        </w:tc>
        <w:tc>
          <w:tcPr>
            <w:tcW w:w="1094" w:type="dxa"/>
            <w:tcBorders>
              <w:right w:val="single" w:sz="6" w:space="0" w:color="000000"/>
            </w:tcBorders>
            <w:shd w:fill="auto" w:val="clear"/>
            <w:tcMar>
              <w:right w:w="28" w:type="dxa"/>
            </w:tcMar>
            <w:vAlign w:val="center"/>
          </w:tcPr>
          <w:p>
            <w:pPr>
              <w:pStyle w:val="TableContents"/>
              <w:spacing w:before="0" w:after="283"/>
              <w:jc w:val="center"/>
              <w:rPr/>
            </w:pPr>
            <w:r>
              <w:rPr/>
              <w:t>  </w:t>
            </w:r>
            <w:r>
              <w:rPr/>
              <w:t>95%</w:t>
            </w:r>
          </w:p>
        </w:tc>
        <w:tc>
          <w:tcPr>
            <w:tcW w:w="72" w:type="dxa"/>
            <w:tcBorders/>
            <w:shd w:fill="auto" w:val="clear"/>
            <w:vAlign w:val="center"/>
          </w:tcPr>
          <w:p>
            <w:pPr>
              <w:pStyle w:val="TableContents"/>
              <w:spacing w:before="0" w:after="283"/>
              <w:rPr/>
            </w:pPr>
            <w:r>
              <w:rPr/>
              <w:t> </w:t>
            </w:r>
          </w:p>
        </w:tc>
        <w:tc>
          <w:tcPr>
            <w:tcW w:w="967" w:type="dxa"/>
            <w:tcBorders>
              <w:right w:val="single" w:sz="6" w:space="0" w:color="000000"/>
            </w:tcBorders>
            <w:shd w:fill="auto" w:val="clear"/>
            <w:tcMar>
              <w:right w:w="40" w:type="dxa"/>
            </w:tcMar>
            <w:vAlign w:val="center"/>
          </w:tcPr>
          <w:p>
            <w:pPr>
              <w:pStyle w:val="TableContents"/>
              <w:spacing w:before="0" w:after="283"/>
              <w:jc w:val="center"/>
              <w:rPr/>
            </w:pPr>
            <w:r>
              <w:rPr/>
              <w:t>  </w:t>
            </w:r>
            <w:r>
              <w:rPr/>
              <w:t>75%</w:t>
            </w:r>
          </w:p>
        </w:tc>
      </w:tr>
      <w:tr>
        <w:trPr/>
        <w:tc>
          <w:tcPr>
            <w:tcW w:w="2265" w:type="dxa"/>
            <w:tcBorders>
              <w:left w:val="single" w:sz="6" w:space="0" w:color="000000"/>
            </w:tcBorders>
            <w:shd w:fill="auto" w:val="clear"/>
            <w:tcMar>
              <w:left w:w="160" w:type="dxa"/>
            </w:tcMar>
            <w:vAlign w:val="center"/>
          </w:tcPr>
          <w:p>
            <w:pPr>
              <w:pStyle w:val="TableContents"/>
              <w:spacing w:before="0" w:after="0"/>
              <w:jc w:val="center"/>
              <w:rPr/>
            </w:pPr>
            <w:r>
              <w:rPr/>
              <w:t>  </w:t>
            </w:r>
            <w:r>
              <w:rPr>
                <w:rFonts w:ascii="ARIAL" w:hAnsi="ARIAL"/>
                <w:sz w:val="20"/>
              </w:rPr>
              <w:t>$1,710</w:t>
            </w:r>
          </w:p>
        </w:tc>
        <w:tc>
          <w:tcPr>
            <w:tcW w:w="95" w:type="dxa"/>
            <w:tcBorders>
              <w:left w:val="single" w:sz="6" w:space="0" w:color="000000"/>
            </w:tcBorders>
            <w:shd w:fill="auto" w:val="clear"/>
            <w:tcMar>
              <w:left w:w="28" w:type="dxa"/>
            </w:tcMar>
            <w:vAlign w:val="center"/>
          </w:tcPr>
          <w:p>
            <w:pPr>
              <w:pStyle w:val="TableContents"/>
              <w:spacing w:before="0" w:after="283"/>
              <w:rPr/>
            </w:pPr>
            <w:r>
              <w:rPr/>
              <w:t> </w:t>
            </w:r>
          </w:p>
        </w:tc>
        <w:tc>
          <w:tcPr>
            <w:tcW w:w="1449" w:type="dxa"/>
            <w:tcBorders>
              <w:right w:val="single" w:sz="6" w:space="0" w:color="000000"/>
            </w:tcBorders>
            <w:shd w:fill="auto" w:val="clear"/>
            <w:tcMar>
              <w:right w:w="28" w:type="dxa"/>
            </w:tcMar>
            <w:vAlign w:val="center"/>
          </w:tcPr>
          <w:p>
            <w:pPr>
              <w:pStyle w:val="TableContents"/>
              <w:spacing w:before="0" w:after="283"/>
              <w:jc w:val="center"/>
              <w:rPr/>
            </w:pPr>
            <w:r>
              <w:rPr/>
              <w:t>  </w:t>
            </w:r>
            <w:r>
              <w:rPr/>
              <w:t>90%</w:t>
            </w:r>
          </w:p>
        </w:tc>
        <w:tc>
          <w:tcPr>
            <w:tcW w:w="95" w:type="dxa"/>
            <w:tcBorders/>
            <w:shd w:fill="auto" w:val="clear"/>
            <w:vAlign w:val="center"/>
          </w:tcPr>
          <w:p>
            <w:pPr>
              <w:pStyle w:val="TableContents"/>
              <w:spacing w:before="0" w:after="283"/>
              <w:rPr/>
            </w:pPr>
            <w:r>
              <w:rPr/>
              <w:t> </w:t>
            </w:r>
          </w:p>
        </w:tc>
        <w:tc>
          <w:tcPr>
            <w:tcW w:w="1259" w:type="dxa"/>
            <w:tcBorders>
              <w:right w:val="single" w:sz="6" w:space="0" w:color="000000"/>
            </w:tcBorders>
            <w:shd w:fill="auto" w:val="clear"/>
            <w:tcMar>
              <w:right w:w="28" w:type="dxa"/>
            </w:tcMar>
            <w:vAlign w:val="center"/>
          </w:tcPr>
          <w:p>
            <w:pPr>
              <w:pStyle w:val="TableContents"/>
              <w:spacing w:before="0" w:after="283"/>
              <w:jc w:val="center"/>
              <w:rPr/>
            </w:pPr>
            <w:r>
              <w:rPr/>
              <w:t>  </w:t>
            </w:r>
            <w:r>
              <w:rPr/>
              <w:t>50%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left w:val="single" w:sz="6" w:space="0" w:color="000000"/>
            </w:tcBorders>
            <w:shd w:fill="auto" w:val="clear"/>
            <w:tcMar>
              <w:left w:w="28" w:type="dxa"/>
            </w:tcMar>
            <w:vAlign w:val="center"/>
          </w:tcPr>
          <w:p>
            <w:pPr>
              <w:pStyle w:val="TableContents"/>
              <w:spacing w:before="0" w:after="283"/>
              <w:rPr/>
            </w:pPr>
            <w:r>
              <w:rPr/>
              <w:t> </w:t>
            </w:r>
          </w:p>
        </w:tc>
        <w:tc>
          <w:tcPr>
            <w:tcW w:w="1203" w:type="dxa"/>
            <w:tcBorders/>
            <w:shd w:fill="auto" w:val="clear"/>
            <w:vAlign w:val="center"/>
          </w:tcPr>
          <w:p>
            <w:pPr>
              <w:pStyle w:val="TableContents"/>
              <w:spacing w:before="0" w:after="283"/>
              <w:jc w:val="center"/>
              <w:rPr/>
            </w:pPr>
            <w:r>
              <w:rPr/>
              <w:t>  </w:t>
            </w:r>
            <w:r>
              <w:rPr/>
              <w:t>$11,565</w:t>
            </w:r>
          </w:p>
        </w:tc>
        <w:tc>
          <w:tcPr>
            <w:tcW w:w="72" w:type="dxa"/>
            <w:tcBorders>
              <w:left w:val="single" w:sz="6" w:space="0" w:color="000000"/>
            </w:tcBorders>
            <w:shd w:fill="auto" w:val="clear"/>
            <w:tcMar>
              <w:left w:w="28" w:type="dxa"/>
            </w:tcMar>
            <w:vAlign w:val="center"/>
          </w:tcPr>
          <w:p>
            <w:pPr>
              <w:pStyle w:val="TableContents"/>
              <w:spacing w:before="0" w:after="283"/>
              <w:rPr/>
            </w:pPr>
            <w:r>
              <w:rPr/>
              <w:t> </w:t>
            </w:r>
          </w:p>
        </w:tc>
        <w:tc>
          <w:tcPr>
            <w:tcW w:w="1094" w:type="dxa"/>
            <w:tcBorders>
              <w:right w:val="single" w:sz="6" w:space="0" w:color="000000"/>
            </w:tcBorders>
            <w:shd w:fill="auto" w:val="clear"/>
            <w:tcMar>
              <w:right w:w="28" w:type="dxa"/>
            </w:tcMar>
            <w:vAlign w:val="center"/>
          </w:tcPr>
          <w:p>
            <w:pPr>
              <w:pStyle w:val="TableContents"/>
              <w:spacing w:before="0" w:after="283"/>
              <w:jc w:val="center"/>
              <w:rPr/>
            </w:pPr>
            <w:r>
              <w:rPr/>
              <w:t>  </w:t>
            </w:r>
            <w:r>
              <w:rPr/>
              <w:t>90%</w:t>
            </w:r>
          </w:p>
        </w:tc>
        <w:tc>
          <w:tcPr>
            <w:tcW w:w="72" w:type="dxa"/>
            <w:tcBorders/>
            <w:shd w:fill="auto" w:val="clear"/>
            <w:vAlign w:val="center"/>
          </w:tcPr>
          <w:p>
            <w:pPr>
              <w:pStyle w:val="TableContents"/>
              <w:spacing w:before="0" w:after="283"/>
              <w:rPr/>
            </w:pPr>
            <w:r>
              <w:rPr/>
              <w:t> </w:t>
            </w:r>
          </w:p>
        </w:tc>
        <w:tc>
          <w:tcPr>
            <w:tcW w:w="967" w:type="dxa"/>
            <w:tcBorders>
              <w:right w:val="single" w:sz="6" w:space="0" w:color="000000"/>
            </w:tcBorders>
            <w:shd w:fill="auto" w:val="clear"/>
            <w:tcMar>
              <w:right w:w="40" w:type="dxa"/>
            </w:tcMar>
            <w:vAlign w:val="center"/>
          </w:tcPr>
          <w:p>
            <w:pPr>
              <w:pStyle w:val="TableContents"/>
              <w:spacing w:before="0" w:after="283"/>
              <w:jc w:val="center"/>
              <w:rPr/>
            </w:pPr>
            <w:r>
              <w:rPr/>
              <w:t>  </w:t>
            </w:r>
            <w:r>
              <w:rPr/>
              <w:t>50%</w:t>
            </w:r>
          </w:p>
        </w:tc>
      </w:tr>
      <w:tr>
        <w:trPr/>
        <w:tc>
          <w:tcPr>
            <w:tcW w:w="2265" w:type="dxa"/>
            <w:tcBorders>
              <w:left w:val="single" w:sz="6" w:space="0" w:color="000000"/>
              <w:bottom w:val="single" w:sz="6" w:space="0" w:color="000000"/>
            </w:tcBorders>
            <w:shd w:fill="auto" w:val="clear"/>
            <w:tcMar>
              <w:left w:w="160" w:type="dxa"/>
              <w:bottom w:w="28" w:type="dxa"/>
            </w:tcMar>
            <w:vAlign w:val="center"/>
          </w:tcPr>
          <w:p>
            <w:pPr>
              <w:pStyle w:val="TableContents"/>
              <w:spacing w:before="0" w:after="0"/>
              <w:jc w:val="center"/>
              <w:rPr>
                <w:rFonts w:ascii="ARIAL" w:hAnsi="ARIAL"/>
                <w:sz w:val="20"/>
              </w:rPr>
            </w:pPr>
            <w:r>
              <w:rPr>
                <w:rFonts w:ascii="ARIAL" w:hAnsi="ARIAL"/>
                <w:sz w:val="20"/>
              </w:rPr>
              <w:t>&lt;$1,710</w:t>
            </w:r>
          </w:p>
        </w:tc>
        <w:tc>
          <w:tcPr>
            <w:tcW w:w="95" w:type="dxa"/>
            <w:tcBorders>
              <w:left w:val="single" w:sz="6" w:space="0" w:color="000000"/>
              <w:bottom w:val="single" w:sz="6" w:space="0" w:color="000000"/>
            </w:tcBorders>
            <w:shd w:fill="auto" w:val="clear"/>
            <w:tcMar>
              <w:left w:w="28" w:type="dxa"/>
              <w:bottom w:w="28" w:type="dxa"/>
            </w:tcMar>
            <w:vAlign w:val="center"/>
          </w:tcPr>
          <w:p>
            <w:pPr>
              <w:pStyle w:val="TableContents"/>
              <w:spacing w:before="0" w:after="283"/>
              <w:rPr/>
            </w:pPr>
            <w:r>
              <w:rPr/>
              <w:t> </w:t>
            </w:r>
          </w:p>
        </w:tc>
        <w:tc>
          <w:tcPr>
            <w:tcW w:w="1449" w:type="dxa"/>
            <w:tcBorders>
              <w:bottom w:val="single" w:sz="6" w:space="0" w:color="000000"/>
              <w:right w:val="single" w:sz="6" w:space="0" w:color="000000"/>
            </w:tcBorders>
            <w:shd w:fill="auto" w:val="clear"/>
            <w:tcMar>
              <w:bottom w:w="28" w:type="dxa"/>
              <w:right w:w="28" w:type="dxa"/>
            </w:tcMar>
            <w:vAlign w:val="center"/>
          </w:tcPr>
          <w:p>
            <w:pPr>
              <w:pStyle w:val="TableContents"/>
              <w:spacing w:before="0" w:after="283"/>
              <w:jc w:val="center"/>
              <w:rPr/>
            </w:pPr>
            <w:r>
              <w:rPr/>
              <w:t>&lt;90%</w:t>
            </w:r>
          </w:p>
        </w:tc>
        <w:tc>
          <w:tcPr>
            <w:tcW w:w="95" w:type="dxa"/>
            <w:tcBorders>
              <w:bottom w:val="single" w:sz="6" w:space="0" w:color="000000"/>
            </w:tcBorders>
            <w:shd w:fill="auto" w:val="clear"/>
            <w:tcMar>
              <w:bottom w:w="28" w:type="dxa"/>
            </w:tcMar>
            <w:vAlign w:val="center"/>
          </w:tcPr>
          <w:p>
            <w:pPr>
              <w:pStyle w:val="TableContents"/>
              <w:spacing w:before="0" w:after="283"/>
              <w:rPr/>
            </w:pPr>
            <w:r>
              <w:rPr/>
              <w:t> </w:t>
            </w:r>
          </w:p>
        </w:tc>
        <w:tc>
          <w:tcPr>
            <w:tcW w:w="1259" w:type="dxa"/>
            <w:tcBorders>
              <w:bottom w:val="single" w:sz="6" w:space="0" w:color="000000"/>
              <w:right w:val="single" w:sz="6" w:space="0" w:color="000000"/>
            </w:tcBorders>
            <w:shd w:fill="auto" w:val="clear"/>
            <w:tcMar>
              <w:bottom w:w="28" w:type="dxa"/>
              <w:right w:w="28" w:type="dxa"/>
            </w:tcMar>
            <w:vAlign w:val="center"/>
          </w:tcPr>
          <w:p>
            <w:pPr>
              <w:pStyle w:val="TableContents"/>
              <w:spacing w:before="0" w:after="283"/>
              <w:jc w:val="center"/>
              <w:rPr/>
            </w:pPr>
            <w:r>
              <w:rPr/>
              <w:t>    </w:t>
            </w:r>
            <w:r>
              <w:rPr/>
              <w:t>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left w:val="single" w:sz="6" w:space="0" w:color="000000"/>
              <w:bottom w:val="single" w:sz="6" w:space="0" w:color="000000"/>
            </w:tcBorders>
            <w:shd w:fill="auto" w:val="clear"/>
            <w:tcMar>
              <w:left w:w="28" w:type="dxa"/>
              <w:bottom w:w="28" w:type="dxa"/>
            </w:tcMar>
            <w:vAlign w:val="center"/>
          </w:tcPr>
          <w:p>
            <w:pPr>
              <w:pStyle w:val="TableContents"/>
              <w:spacing w:before="0" w:after="283"/>
              <w:rPr/>
            </w:pPr>
            <w:r>
              <w:rPr/>
              <w:t> </w:t>
            </w:r>
          </w:p>
        </w:tc>
        <w:tc>
          <w:tcPr>
            <w:tcW w:w="1203" w:type="dxa"/>
            <w:tcBorders>
              <w:bottom w:val="single" w:sz="6" w:space="0" w:color="000000"/>
            </w:tcBorders>
            <w:shd w:fill="auto" w:val="clear"/>
            <w:tcMar>
              <w:bottom w:w="28" w:type="dxa"/>
            </w:tcMar>
            <w:vAlign w:val="center"/>
          </w:tcPr>
          <w:p>
            <w:pPr>
              <w:pStyle w:val="TableContents"/>
              <w:spacing w:before="0" w:after="283"/>
              <w:jc w:val="center"/>
              <w:rPr/>
            </w:pPr>
            <w:r>
              <w:rPr/>
              <w:t>&lt;$11,565</w:t>
            </w:r>
          </w:p>
        </w:tc>
        <w:tc>
          <w:tcPr>
            <w:tcW w:w="72" w:type="dxa"/>
            <w:tcBorders>
              <w:left w:val="single" w:sz="6" w:space="0" w:color="000000"/>
              <w:bottom w:val="single" w:sz="6" w:space="0" w:color="000000"/>
            </w:tcBorders>
            <w:shd w:fill="auto" w:val="clear"/>
            <w:tcMar>
              <w:left w:w="28" w:type="dxa"/>
              <w:bottom w:w="28" w:type="dxa"/>
            </w:tcMar>
            <w:vAlign w:val="center"/>
          </w:tcPr>
          <w:p>
            <w:pPr>
              <w:pStyle w:val="TableContents"/>
              <w:spacing w:before="0" w:after="283"/>
              <w:rPr/>
            </w:pPr>
            <w:r>
              <w:rPr/>
              <w:t> </w:t>
            </w:r>
          </w:p>
        </w:tc>
        <w:tc>
          <w:tcPr>
            <w:tcW w:w="1094" w:type="dxa"/>
            <w:tcBorders>
              <w:bottom w:val="single" w:sz="6" w:space="0" w:color="000000"/>
              <w:right w:val="single" w:sz="6" w:space="0" w:color="000000"/>
            </w:tcBorders>
            <w:shd w:fill="auto" w:val="clear"/>
            <w:tcMar>
              <w:bottom w:w="28" w:type="dxa"/>
              <w:right w:w="28" w:type="dxa"/>
            </w:tcMar>
            <w:vAlign w:val="center"/>
          </w:tcPr>
          <w:p>
            <w:pPr>
              <w:pStyle w:val="TableContents"/>
              <w:spacing w:before="0" w:after="283"/>
              <w:jc w:val="center"/>
              <w:rPr/>
            </w:pPr>
            <w:r>
              <w:rPr/>
              <w:t>&lt;90%</w:t>
            </w:r>
          </w:p>
        </w:tc>
        <w:tc>
          <w:tcPr>
            <w:tcW w:w="72" w:type="dxa"/>
            <w:tcBorders>
              <w:bottom w:val="single" w:sz="6" w:space="0" w:color="000000"/>
            </w:tcBorders>
            <w:shd w:fill="auto" w:val="clear"/>
            <w:tcMar>
              <w:bottom w:w="28" w:type="dxa"/>
            </w:tcMar>
            <w:vAlign w:val="center"/>
          </w:tcPr>
          <w:p>
            <w:pPr>
              <w:pStyle w:val="TableContents"/>
              <w:spacing w:before="0" w:after="283"/>
              <w:rPr/>
            </w:pPr>
            <w:r>
              <w:rPr/>
              <w:t> </w:t>
            </w:r>
          </w:p>
        </w:tc>
        <w:tc>
          <w:tcPr>
            <w:tcW w:w="967" w:type="dxa"/>
            <w:tcBorders>
              <w:bottom w:val="single" w:sz="6" w:space="0" w:color="000000"/>
              <w:right w:val="single" w:sz="6" w:space="0" w:color="000000"/>
            </w:tcBorders>
            <w:shd w:fill="auto" w:val="clear"/>
            <w:tcMar>
              <w:bottom w:w="28" w:type="dxa"/>
              <w:right w:w="40" w:type="dxa"/>
            </w:tcMar>
            <w:vAlign w:val="center"/>
          </w:tcPr>
          <w:p>
            <w:pPr>
              <w:pStyle w:val="TableContents"/>
              <w:spacing w:before="0" w:after="283"/>
              <w:jc w:val="center"/>
              <w:rPr/>
            </w:pPr>
            <w:r>
              <w:rPr/>
              <w:t>    </w:t>
            </w:r>
            <w:r>
              <w:rPr/>
              <w:t>0%</w:t>
            </w:r>
          </w:p>
        </w:tc>
      </w:tr>
      <w:tr>
        <w:trPr/>
        <w:tc>
          <w:tcPr>
            <w:tcW w:w="5163" w:type="dxa"/>
            <w:gridSpan w:val="5"/>
            <w:tcBorders/>
            <w:shd w:fill="auto" w:val="clear"/>
            <w:vAlign w:val="center"/>
          </w:tcPr>
          <w:p>
            <w:pPr>
              <w:pStyle w:val="TableContents"/>
              <w:spacing w:before="0" w:after="0"/>
              <w:rPr/>
            </w:pPr>
            <w:r>
              <w:rPr/>
              <w:t> </w:t>
            </w:r>
          </w:p>
          <w:p>
            <w:pPr>
              <w:pStyle w:val="TableContents"/>
              <w:spacing w:before="0" w:after="20"/>
              <w:rPr>
                <w:rFonts w:ascii="ARIAL" w:hAnsi="ARIAL"/>
                <w:sz w:val="16"/>
              </w:rPr>
            </w:pPr>
            <w:r>
              <w:rPr>
                <w:rFonts w:ascii="ARIAL" w:hAnsi="ARIAL"/>
                <w:b/>
                <w:sz w:val="16"/>
              </w:rPr>
              <w:t xml:space="preserve">Overachievement Opportunity: </w:t>
            </w:r>
            <w:r>
              <w:rPr>
                <w:rFonts w:ascii="ARIAL" w:hAnsi="ARIAL"/>
                <w:sz w:val="16"/>
              </w:rPr>
              <w:t>1% of base</w:t>
              <w:br/>
              <w:t>salary for each 0.5% over the target up to the</w:t>
              <w:br/>
              <w:t>plan maximum. Regional Presidents are also</w:t>
              <w:br/>
              <w:t>subject to region-specific goals for Adjusted</w:t>
              <w:br/>
              <w:t>EBITDA.</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408" w:type="dxa"/>
            <w:gridSpan w:val="5"/>
            <w:tcBorders/>
            <w:shd w:fill="auto" w:val="clear"/>
            <w:vAlign w:val="center"/>
          </w:tcPr>
          <w:p>
            <w:pPr>
              <w:pStyle w:val="TableContents"/>
              <w:spacing w:before="0" w:after="0"/>
              <w:rPr/>
            </w:pPr>
            <w:r>
              <w:rPr/>
              <w:t> </w:t>
            </w:r>
          </w:p>
          <w:p>
            <w:pPr>
              <w:pStyle w:val="TableContents"/>
              <w:spacing w:before="0" w:after="20"/>
              <w:rPr>
                <w:rFonts w:ascii="ARIAL" w:hAnsi="ARIAL"/>
                <w:sz w:val="16"/>
              </w:rPr>
            </w:pPr>
            <w:r>
              <w:rPr>
                <w:rFonts w:ascii="ARIAL" w:hAnsi="ARIAL"/>
                <w:b/>
                <w:sz w:val="16"/>
              </w:rPr>
              <w:t xml:space="preserve">Overachievement Opportunity: </w:t>
            </w:r>
            <w:r>
              <w:rPr>
                <w:rFonts w:ascii="ARIAL" w:hAnsi="ARIAL"/>
                <w:sz w:val="16"/>
              </w:rPr>
              <w:t>1% of base</w:t>
              <w:br/>
              <w:t>salary for each 1% over the target up to an</w:t>
              <w:br/>
              <w:t>additional 10% for the then-EC, CEO and CFO</w:t>
              <w:br/>
              <w:t>and 5% for CMO, limited to the plan maximum.</w:t>
              <w:br/>
              <w:t>Regional Presidents are subject to a region-</w:t>
              <w:br/>
              <w:t>specific net revenues goal.</w:t>
            </w:r>
          </w:p>
        </w:tc>
      </w:tr>
      <w:tr>
        <w:trPr/>
        <w:tc>
          <w:tcPr>
            <w:tcW w:w="2265"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pPr>
            <w:r>
              <w:rPr/>
              <w:t> </w:t>
            </w:r>
          </w:p>
        </w:tc>
        <w:tc>
          <w:tcPr>
            <w:tcW w:w="1449"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pPr>
            <w:r>
              <w:rPr/>
              <w:t> </w:t>
            </w:r>
          </w:p>
        </w:tc>
        <w:tc>
          <w:tcPr>
            <w:tcW w:w="125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203" w:type="dxa"/>
            <w:tcBorders/>
            <w:shd w:fill="auto" w:val="clear"/>
            <w:vAlign w:val="center"/>
          </w:tcPr>
          <w:p>
            <w:pPr>
              <w:pStyle w:val="TableContents"/>
              <w:spacing w:before="0" w:after="283"/>
              <w:rPr>
                <w:sz w:val="4"/>
                <w:szCs w:val="4"/>
              </w:rPr>
            </w:pPr>
            <w:r>
              <w:rPr>
                <w:sz w:val="4"/>
                <w:szCs w:val="4"/>
              </w:rPr>
            </w:r>
          </w:p>
        </w:tc>
        <w:tc>
          <w:tcPr>
            <w:tcW w:w="72" w:type="dxa"/>
            <w:tcBorders/>
            <w:shd w:fill="auto" w:val="clear"/>
            <w:vAlign w:val="center"/>
          </w:tcPr>
          <w:p>
            <w:pPr>
              <w:pStyle w:val="TableContents"/>
              <w:spacing w:before="0" w:after="283"/>
              <w:rPr/>
            </w:pPr>
            <w:r>
              <w:rPr/>
              <w:t> </w:t>
            </w:r>
          </w:p>
        </w:tc>
        <w:tc>
          <w:tcPr>
            <w:tcW w:w="1094" w:type="dxa"/>
            <w:tcBorders/>
            <w:shd w:fill="auto" w:val="clear"/>
            <w:vAlign w:val="center"/>
          </w:tcPr>
          <w:p>
            <w:pPr>
              <w:pStyle w:val="TableContents"/>
              <w:spacing w:before="0" w:after="283"/>
              <w:rPr>
                <w:sz w:val="4"/>
                <w:szCs w:val="4"/>
              </w:rPr>
            </w:pPr>
            <w:r>
              <w:rPr>
                <w:sz w:val="4"/>
                <w:szCs w:val="4"/>
              </w:rPr>
            </w:r>
          </w:p>
        </w:tc>
        <w:tc>
          <w:tcPr>
            <w:tcW w:w="72" w:type="dxa"/>
            <w:tcBorders/>
            <w:shd w:fill="auto" w:val="clear"/>
            <w:vAlign w:val="center"/>
          </w:tcPr>
          <w:p>
            <w:pPr>
              <w:pStyle w:val="TableContents"/>
              <w:spacing w:before="0" w:after="283"/>
              <w:rPr/>
            </w:pPr>
            <w:r>
              <w:rPr/>
              <w:t> </w:t>
            </w:r>
          </w:p>
        </w:tc>
        <w:tc>
          <w:tcPr>
            <w:tcW w:w="967" w:type="dxa"/>
            <w:tcBorders/>
            <w:shd w:fill="auto" w:val="clear"/>
            <w:vAlign w:val="center"/>
          </w:tcPr>
          <w:p>
            <w:pPr>
              <w:pStyle w:val="TableContents"/>
              <w:spacing w:before="0" w:after="283"/>
              <w:rPr>
                <w:sz w:val="4"/>
                <w:szCs w:val="4"/>
              </w:rPr>
            </w:pPr>
            <w:r>
              <w:rPr>
                <w:sz w:val="4"/>
                <w:szCs w:val="4"/>
              </w:rPr>
            </w:r>
          </w:p>
        </w:tc>
      </w:tr>
      <w:tr>
        <w:trPr/>
        <w:tc>
          <w:tcPr>
            <w:tcW w:w="5163" w:type="dxa"/>
            <w:gridSpan w:val="5"/>
            <w:tcBorders>
              <w:top w:val="single" w:sz="6" w:space="0" w:color="000000"/>
              <w:left w:val="single" w:sz="6" w:space="0" w:color="000000"/>
              <w:bottom w:val="single" w:sz="6" w:space="0" w:color="000000"/>
              <w:right w:val="single" w:sz="6" w:space="0" w:color="000000"/>
            </w:tcBorders>
            <w:shd w:fill="auto" w:val="clear"/>
            <w:tcMar>
              <w:top w:w="28" w:type="dxa"/>
              <w:left w:w="160" w:type="dxa"/>
              <w:bottom w:w="28" w:type="dxa"/>
              <w:right w:w="28" w:type="dxa"/>
            </w:tcMar>
            <w:vAlign w:val="center"/>
          </w:tcPr>
          <w:p>
            <w:pPr>
              <w:pStyle w:val="TableContents"/>
              <w:spacing w:before="0" w:after="0"/>
              <w:jc w:val="center"/>
              <w:rPr>
                <w:rFonts w:ascii="ARIAL" w:hAnsi="ARIAL"/>
                <w:b/>
                <w:sz w:val="16"/>
              </w:rPr>
            </w:pPr>
            <w:r>
              <w:rPr>
                <w:rFonts w:ascii="ARIAL" w:hAnsi="ARIAL"/>
                <w:b/>
                <w:sz w:val="16"/>
              </w:rPr>
              <w:t>2022 Consolidated Adjusted</w:t>
            </w:r>
          </w:p>
          <w:p>
            <w:pPr>
              <w:pStyle w:val="TableContents"/>
              <w:spacing w:before="0" w:after="20"/>
              <w:jc w:val="center"/>
              <w:rPr>
                <w:rFonts w:ascii="ARIAL" w:hAnsi="ARIAL"/>
                <w:b/>
                <w:sz w:val="16"/>
              </w:rPr>
            </w:pPr>
            <w:r>
              <w:rPr>
                <w:rFonts w:ascii="ARIAL" w:hAnsi="ARIAL"/>
                <w:b/>
                <w:sz w:val="16"/>
              </w:rPr>
              <w:t>EBITDA Margin Improvement*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top w:val="single" w:sz="6" w:space="0" w:color="000000"/>
              <w:left w:val="single" w:sz="6" w:space="0" w:color="000000"/>
              <w:bottom w:val="single" w:sz="6" w:space="0" w:color="000000"/>
            </w:tcBorders>
            <w:shd w:fill="auto" w:val="clear"/>
            <w:tcMar>
              <w:top w:w="28" w:type="dxa"/>
              <w:left w:w="28" w:type="dxa"/>
              <w:bottom w:w="28" w:type="dxa"/>
            </w:tcMar>
            <w:vAlign w:val="center"/>
          </w:tcPr>
          <w:p>
            <w:pPr>
              <w:pStyle w:val="TableContents"/>
              <w:spacing w:before="0" w:after="283"/>
              <w:rPr/>
            </w:pPr>
            <w:r>
              <w:rPr/>
              <w:t> </w:t>
            </w:r>
          </w:p>
        </w:tc>
        <w:tc>
          <w:tcPr>
            <w:tcW w:w="2369" w:type="dxa"/>
            <w:gridSpan w:val="3"/>
            <w:tcBorders>
              <w:top w:val="single" w:sz="6" w:space="0" w:color="000000"/>
              <w:bottom w:val="single" w:sz="6" w:space="0" w:color="000000"/>
              <w:right w:val="single" w:sz="6" w:space="0" w:color="000000"/>
            </w:tcBorders>
            <w:shd w:fill="auto" w:val="clear"/>
            <w:tcMar>
              <w:top w:w="28" w:type="dxa"/>
              <w:bottom w:w="28" w:type="dxa"/>
              <w:right w:w="28" w:type="dxa"/>
            </w:tcMar>
            <w:vAlign w:val="center"/>
          </w:tcPr>
          <w:p>
            <w:pPr>
              <w:pStyle w:val="TableContents"/>
              <w:spacing w:before="0" w:after="0"/>
              <w:jc w:val="center"/>
              <w:rPr>
                <w:rFonts w:ascii="ARIAL" w:hAnsi="ARIAL"/>
                <w:b/>
                <w:sz w:val="16"/>
              </w:rPr>
            </w:pPr>
            <w:r>
              <w:rPr>
                <w:rFonts w:ascii="ARIAL" w:hAnsi="ARIAL"/>
                <w:b/>
                <w:sz w:val="16"/>
              </w:rPr>
              <w:t>2022</w:t>
            </w:r>
          </w:p>
          <w:p>
            <w:pPr>
              <w:pStyle w:val="TableContents"/>
              <w:spacing w:before="0" w:after="20"/>
              <w:jc w:val="center"/>
              <w:rPr>
                <w:rFonts w:ascii="ARIAL" w:hAnsi="ARIAL"/>
                <w:b/>
                <w:sz w:val="16"/>
              </w:rPr>
            </w:pPr>
            <w:r>
              <w:rPr>
                <w:rFonts w:ascii="ARIAL" w:hAnsi="ARIAL"/>
                <w:b/>
                <w:sz w:val="16"/>
              </w:rPr>
              <w:t>Adjusted EPS+</w:t>
            </w:r>
          </w:p>
        </w:tc>
        <w:tc>
          <w:tcPr>
            <w:tcW w:w="72" w:type="dxa"/>
            <w:tcBorders/>
            <w:shd w:fill="auto" w:val="clear"/>
            <w:vAlign w:val="center"/>
          </w:tcPr>
          <w:p>
            <w:pPr>
              <w:pStyle w:val="TableContents"/>
              <w:spacing w:before="0" w:after="283"/>
              <w:rPr/>
            </w:pPr>
            <w:r>
              <w:rPr/>
              <w:t> </w:t>
            </w:r>
          </w:p>
        </w:tc>
        <w:tc>
          <w:tcPr>
            <w:tcW w:w="967" w:type="dxa"/>
            <w:tcBorders/>
            <w:shd w:fill="auto" w:val="clear"/>
            <w:vAlign w:val="center"/>
          </w:tcPr>
          <w:p>
            <w:pPr>
              <w:pStyle w:val="TableContents"/>
              <w:spacing w:before="0" w:after="283"/>
              <w:rPr/>
            </w:pPr>
            <w:r>
              <w:rPr/>
              <w:t> </w:t>
            </w:r>
          </w:p>
        </w:tc>
      </w:tr>
      <w:tr>
        <w:trPr/>
        <w:tc>
          <w:tcPr>
            <w:tcW w:w="2265" w:type="dxa"/>
            <w:tcBorders>
              <w:left w:val="single" w:sz="6" w:space="0" w:color="000000"/>
              <w:bottom w:val="single" w:sz="6" w:space="0" w:color="000000"/>
            </w:tcBorders>
            <w:shd w:fill="auto" w:val="clear"/>
            <w:tcMar>
              <w:left w:w="160" w:type="dxa"/>
              <w:bottom w:w="28" w:type="dxa"/>
            </w:tcMar>
            <w:vAlign w:val="center"/>
          </w:tcPr>
          <w:p>
            <w:pPr>
              <w:pStyle w:val="TableContents"/>
              <w:spacing w:before="0" w:after="283"/>
              <w:jc w:val="center"/>
              <w:rPr>
                <w:b/>
              </w:rPr>
            </w:pPr>
            <w:r>
              <w:rPr>
                <w:b/>
              </w:rPr>
              <w:t>2022</w:t>
              <w:br/>
              <w:t>Consolidated</w:t>
              <w:br/>
              <w:t>Adjusted</w:t>
              <w:br/>
              <w:t>EBITDA</w:t>
              <w:br/>
              <w:t>Margin</w:t>
              <w:br/>
              <w:t>Improvement</w:t>
            </w:r>
          </w:p>
        </w:tc>
        <w:tc>
          <w:tcPr>
            <w:tcW w:w="95" w:type="dxa"/>
            <w:tcBorders>
              <w:left w:val="single" w:sz="6" w:space="0" w:color="000000"/>
              <w:bottom w:val="single" w:sz="6" w:space="0" w:color="000000"/>
            </w:tcBorders>
            <w:shd w:fill="auto" w:val="clear"/>
            <w:tcMar>
              <w:left w:w="28" w:type="dxa"/>
              <w:bottom w:w="28" w:type="dxa"/>
            </w:tcMar>
            <w:vAlign w:val="center"/>
          </w:tcPr>
          <w:p>
            <w:pPr>
              <w:pStyle w:val="TableContents"/>
              <w:spacing w:before="0" w:after="283"/>
              <w:rPr/>
            </w:pPr>
            <w:r>
              <w:rPr/>
              <w:t> </w:t>
            </w:r>
          </w:p>
        </w:tc>
        <w:tc>
          <w:tcPr>
            <w:tcW w:w="1449" w:type="dxa"/>
            <w:tcBorders>
              <w:bottom w:val="single" w:sz="6" w:space="0" w:color="000000"/>
              <w:right w:val="single" w:sz="6" w:space="0" w:color="000000"/>
            </w:tcBorders>
            <w:shd w:fill="auto" w:val="clear"/>
            <w:tcMar>
              <w:bottom w:w="28" w:type="dxa"/>
              <w:right w:w="28" w:type="dxa"/>
            </w:tcMar>
            <w:vAlign w:val="center"/>
          </w:tcPr>
          <w:p>
            <w:pPr>
              <w:pStyle w:val="TableContents"/>
              <w:spacing w:before="0" w:after="283"/>
              <w:jc w:val="center"/>
              <w:rPr>
                <w:b/>
              </w:rPr>
            </w:pPr>
            <w:r>
              <w:rPr>
                <w:b/>
              </w:rPr>
              <w:t>% of</w:t>
              <w:br/>
              <w:t>Target</w:t>
              <w:br/>
              <w:t>Attained</w:t>
            </w:r>
          </w:p>
        </w:tc>
        <w:tc>
          <w:tcPr>
            <w:tcW w:w="95" w:type="dxa"/>
            <w:tcBorders>
              <w:bottom w:val="single" w:sz="6" w:space="0" w:color="000000"/>
            </w:tcBorders>
            <w:shd w:fill="auto" w:val="clear"/>
            <w:tcMar>
              <w:bottom w:w="28" w:type="dxa"/>
            </w:tcMar>
            <w:vAlign w:val="center"/>
          </w:tcPr>
          <w:p>
            <w:pPr>
              <w:pStyle w:val="TableContents"/>
              <w:spacing w:before="0" w:after="283"/>
              <w:rPr/>
            </w:pPr>
            <w:r>
              <w:rPr/>
              <w:t> </w:t>
            </w:r>
          </w:p>
        </w:tc>
        <w:tc>
          <w:tcPr>
            <w:tcW w:w="1259" w:type="dxa"/>
            <w:tcBorders>
              <w:bottom w:val="single" w:sz="6" w:space="0" w:color="000000"/>
              <w:right w:val="single" w:sz="6" w:space="0" w:color="000000"/>
            </w:tcBorders>
            <w:shd w:fill="auto" w:val="clear"/>
            <w:tcMar>
              <w:bottom w:w="28" w:type="dxa"/>
              <w:right w:w="28" w:type="dxa"/>
            </w:tcMar>
            <w:vAlign w:val="center"/>
          </w:tcPr>
          <w:p>
            <w:pPr>
              <w:pStyle w:val="TableContents"/>
              <w:spacing w:before="0" w:after="283"/>
              <w:jc w:val="center"/>
              <w:rPr>
                <w:b/>
              </w:rPr>
            </w:pPr>
            <w:r>
              <w:rPr>
                <w:b/>
              </w:rPr>
              <w:t>% of</w:t>
              <w:br/>
              <w:t>Target</w:t>
              <w:br/>
              <w:t>Bonus</w:t>
              <w:br/>
              <w:t>Earned</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left w:val="single" w:sz="6" w:space="0" w:color="000000"/>
              <w:bottom w:val="single" w:sz="6" w:space="0" w:color="000000"/>
            </w:tcBorders>
            <w:shd w:fill="auto" w:val="clear"/>
            <w:tcMar>
              <w:left w:w="28" w:type="dxa"/>
              <w:bottom w:w="28" w:type="dxa"/>
            </w:tcMar>
            <w:vAlign w:val="center"/>
          </w:tcPr>
          <w:p>
            <w:pPr>
              <w:pStyle w:val="TableContents"/>
              <w:spacing w:before="0" w:after="283"/>
              <w:rPr/>
            </w:pPr>
            <w:r>
              <w:rPr/>
              <w:t> </w:t>
            </w:r>
          </w:p>
        </w:tc>
        <w:tc>
          <w:tcPr>
            <w:tcW w:w="1203" w:type="dxa"/>
            <w:tcBorders>
              <w:bottom w:val="single" w:sz="6" w:space="0" w:color="000000"/>
            </w:tcBorders>
            <w:shd w:fill="auto" w:val="clear"/>
            <w:tcMar>
              <w:bottom w:w="28" w:type="dxa"/>
            </w:tcMar>
            <w:vAlign w:val="center"/>
          </w:tcPr>
          <w:p>
            <w:pPr>
              <w:pStyle w:val="TableContents"/>
              <w:spacing w:before="0" w:after="283"/>
              <w:jc w:val="center"/>
              <w:rPr>
                <w:b/>
              </w:rPr>
            </w:pPr>
            <w:r>
              <w:rPr>
                <w:b/>
              </w:rPr>
              <w:t>2022</w:t>
              <w:br/>
              <w:t>Adjusted</w:t>
              <w:br/>
              <w:t>EPS</w:t>
            </w:r>
          </w:p>
        </w:tc>
        <w:tc>
          <w:tcPr>
            <w:tcW w:w="72" w:type="dxa"/>
            <w:tcBorders>
              <w:left w:val="single" w:sz="6" w:space="0" w:color="000000"/>
              <w:bottom w:val="single" w:sz="6" w:space="0" w:color="000000"/>
            </w:tcBorders>
            <w:shd w:fill="auto" w:val="clear"/>
            <w:tcMar>
              <w:left w:w="28" w:type="dxa"/>
              <w:bottom w:w="28" w:type="dxa"/>
            </w:tcMar>
            <w:vAlign w:val="center"/>
          </w:tcPr>
          <w:p>
            <w:pPr>
              <w:pStyle w:val="TableContents"/>
              <w:spacing w:before="0" w:after="283"/>
              <w:rPr/>
            </w:pPr>
            <w:r>
              <w:rPr/>
              <w:t> </w:t>
            </w:r>
          </w:p>
        </w:tc>
        <w:tc>
          <w:tcPr>
            <w:tcW w:w="1094" w:type="dxa"/>
            <w:tcBorders>
              <w:bottom w:val="single" w:sz="6" w:space="0" w:color="000000"/>
              <w:right w:val="single" w:sz="6" w:space="0" w:color="000000"/>
            </w:tcBorders>
            <w:shd w:fill="auto" w:val="clear"/>
            <w:tcMar>
              <w:bottom w:w="28" w:type="dxa"/>
              <w:right w:w="28" w:type="dxa"/>
            </w:tcMar>
            <w:vAlign w:val="center"/>
          </w:tcPr>
          <w:p>
            <w:pPr>
              <w:pStyle w:val="TableContents"/>
              <w:spacing w:before="0" w:after="283"/>
              <w:jc w:val="center"/>
              <w:rPr>
                <w:b/>
              </w:rPr>
            </w:pPr>
            <w:r>
              <w:rPr>
                <w:b/>
              </w:rPr>
              <w:t>% of</w:t>
              <w:br/>
              <w:t>Target</w:t>
              <w:br/>
              <w:t>Bonus</w:t>
              <w:br/>
              <w:t>Earned</w:t>
            </w:r>
          </w:p>
        </w:tc>
        <w:tc>
          <w:tcPr>
            <w:tcW w:w="72" w:type="dxa"/>
            <w:tcBorders/>
            <w:shd w:fill="auto" w:val="clear"/>
            <w:vAlign w:val="center"/>
          </w:tcPr>
          <w:p>
            <w:pPr>
              <w:pStyle w:val="TableContents"/>
              <w:spacing w:before="0" w:after="283"/>
              <w:rPr/>
            </w:pPr>
            <w:r>
              <w:rPr/>
              <w:t> </w:t>
            </w:r>
          </w:p>
        </w:tc>
        <w:tc>
          <w:tcPr>
            <w:tcW w:w="967" w:type="dxa"/>
            <w:tcBorders/>
            <w:shd w:fill="auto" w:val="clear"/>
            <w:vAlign w:val="center"/>
          </w:tcPr>
          <w:p>
            <w:pPr>
              <w:pStyle w:val="TableContents"/>
              <w:spacing w:before="0" w:after="283"/>
              <w:rPr/>
            </w:pPr>
            <w:r>
              <w:rPr/>
              <w:t> </w:t>
            </w:r>
          </w:p>
        </w:tc>
      </w:tr>
      <w:tr>
        <w:trPr/>
        <w:tc>
          <w:tcPr>
            <w:tcW w:w="2265" w:type="dxa"/>
            <w:tcBorders>
              <w:left w:val="single" w:sz="6" w:space="0" w:color="000000"/>
            </w:tcBorders>
            <w:shd w:fill="auto" w:val="clear"/>
            <w:tcMar>
              <w:left w:w="160" w:type="dxa"/>
            </w:tcMar>
            <w:vAlign w:val="center"/>
          </w:tcPr>
          <w:p>
            <w:pPr>
              <w:pStyle w:val="TableContents"/>
              <w:spacing w:before="0" w:after="0"/>
              <w:jc w:val="center"/>
              <w:rPr/>
            </w:pPr>
            <w:r>
              <w:rPr/>
              <w:t>  </w:t>
            </w:r>
            <w:r>
              <w:rPr>
                <w:rFonts w:ascii="ARIAL" w:hAnsi="ARIAL"/>
                <w:sz w:val="20"/>
              </w:rPr>
              <w:t>0.30%</w:t>
            </w:r>
          </w:p>
        </w:tc>
        <w:tc>
          <w:tcPr>
            <w:tcW w:w="95" w:type="dxa"/>
            <w:tcBorders>
              <w:left w:val="single" w:sz="6" w:space="0" w:color="000000"/>
            </w:tcBorders>
            <w:shd w:fill="auto" w:val="clear"/>
            <w:tcMar>
              <w:left w:w="28" w:type="dxa"/>
            </w:tcMar>
            <w:vAlign w:val="center"/>
          </w:tcPr>
          <w:p>
            <w:pPr>
              <w:pStyle w:val="TableContents"/>
              <w:spacing w:before="0" w:after="283"/>
              <w:rPr/>
            </w:pPr>
            <w:r>
              <w:rPr/>
              <w:t> </w:t>
            </w:r>
          </w:p>
        </w:tc>
        <w:tc>
          <w:tcPr>
            <w:tcW w:w="1449" w:type="dxa"/>
            <w:tcBorders>
              <w:right w:val="single" w:sz="6" w:space="0" w:color="000000"/>
            </w:tcBorders>
            <w:shd w:fill="auto" w:val="clear"/>
            <w:tcMar>
              <w:right w:w="28" w:type="dxa"/>
            </w:tcMar>
            <w:vAlign w:val="center"/>
          </w:tcPr>
          <w:p>
            <w:pPr>
              <w:pStyle w:val="TableContents"/>
              <w:spacing w:before="0" w:after="283"/>
              <w:jc w:val="center"/>
              <w:rPr/>
            </w:pPr>
            <w:r>
              <w:rPr/>
              <w:t>100%</w:t>
            </w:r>
          </w:p>
        </w:tc>
        <w:tc>
          <w:tcPr>
            <w:tcW w:w="95" w:type="dxa"/>
            <w:tcBorders/>
            <w:shd w:fill="auto" w:val="clear"/>
            <w:vAlign w:val="center"/>
          </w:tcPr>
          <w:p>
            <w:pPr>
              <w:pStyle w:val="TableContents"/>
              <w:spacing w:before="0" w:after="283"/>
              <w:rPr/>
            </w:pPr>
            <w:r>
              <w:rPr/>
              <w:t> </w:t>
            </w:r>
          </w:p>
        </w:tc>
        <w:tc>
          <w:tcPr>
            <w:tcW w:w="1259" w:type="dxa"/>
            <w:tcBorders>
              <w:right w:val="single" w:sz="6" w:space="0" w:color="000000"/>
            </w:tcBorders>
            <w:shd w:fill="auto" w:val="clear"/>
            <w:tcMar>
              <w:right w:w="28" w:type="dxa"/>
            </w:tcMar>
            <w:vAlign w:val="center"/>
          </w:tcPr>
          <w:p>
            <w:pPr>
              <w:pStyle w:val="TableContents"/>
              <w:spacing w:before="0" w:after="283"/>
              <w:jc w:val="center"/>
              <w:rPr/>
            </w:pPr>
            <w:r>
              <w:rPr/>
              <w:t>100%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left w:val="single" w:sz="6" w:space="0" w:color="000000"/>
            </w:tcBorders>
            <w:shd w:fill="auto" w:val="clear"/>
            <w:tcMar>
              <w:left w:w="28" w:type="dxa"/>
            </w:tcMar>
            <w:vAlign w:val="center"/>
          </w:tcPr>
          <w:p>
            <w:pPr>
              <w:pStyle w:val="TableContents"/>
              <w:spacing w:before="0" w:after="283"/>
              <w:rPr/>
            </w:pPr>
            <w:r>
              <w:rPr/>
              <w:t> </w:t>
            </w:r>
          </w:p>
        </w:tc>
        <w:tc>
          <w:tcPr>
            <w:tcW w:w="1203" w:type="dxa"/>
            <w:tcBorders/>
            <w:shd w:fill="auto" w:val="clear"/>
            <w:vAlign w:val="center"/>
          </w:tcPr>
          <w:p>
            <w:pPr>
              <w:pStyle w:val="TableContents"/>
              <w:spacing w:before="0" w:after="283"/>
              <w:jc w:val="center"/>
              <w:rPr/>
            </w:pPr>
            <w:r>
              <w:rPr/>
              <w:t>  </w:t>
            </w:r>
            <w:r>
              <w:rPr/>
              <w:t>$1.26</w:t>
            </w:r>
          </w:p>
        </w:tc>
        <w:tc>
          <w:tcPr>
            <w:tcW w:w="72" w:type="dxa"/>
            <w:tcBorders>
              <w:left w:val="single" w:sz="6" w:space="0" w:color="000000"/>
            </w:tcBorders>
            <w:shd w:fill="auto" w:val="clear"/>
            <w:tcMar>
              <w:left w:w="28" w:type="dxa"/>
            </w:tcMar>
            <w:vAlign w:val="center"/>
          </w:tcPr>
          <w:p>
            <w:pPr>
              <w:pStyle w:val="TableContents"/>
              <w:spacing w:before="0" w:after="283"/>
              <w:rPr/>
            </w:pPr>
            <w:r>
              <w:rPr/>
              <w:t> </w:t>
            </w:r>
          </w:p>
        </w:tc>
        <w:tc>
          <w:tcPr>
            <w:tcW w:w="1094" w:type="dxa"/>
            <w:tcBorders>
              <w:right w:val="single" w:sz="6" w:space="0" w:color="000000"/>
            </w:tcBorders>
            <w:shd w:fill="auto" w:val="clear"/>
            <w:tcMar>
              <w:right w:w="28" w:type="dxa"/>
            </w:tcMar>
            <w:vAlign w:val="center"/>
          </w:tcPr>
          <w:p>
            <w:pPr>
              <w:pStyle w:val="TableContents"/>
              <w:spacing w:before="0" w:after="283"/>
              <w:jc w:val="center"/>
              <w:rPr/>
            </w:pPr>
            <w:r>
              <w:rPr/>
              <w:t>100%</w:t>
            </w:r>
          </w:p>
        </w:tc>
        <w:tc>
          <w:tcPr>
            <w:tcW w:w="72" w:type="dxa"/>
            <w:tcBorders/>
            <w:shd w:fill="auto" w:val="clear"/>
            <w:vAlign w:val="center"/>
          </w:tcPr>
          <w:p>
            <w:pPr>
              <w:pStyle w:val="TableContents"/>
              <w:spacing w:before="0" w:after="283"/>
              <w:rPr/>
            </w:pPr>
            <w:r>
              <w:rPr/>
              <w:t> </w:t>
            </w:r>
          </w:p>
        </w:tc>
        <w:tc>
          <w:tcPr>
            <w:tcW w:w="967" w:type="dxa"/>
            <w:tcBorders/>
            <w:shd w:fill="auto" w:val="clear"/>
            <w:vAlign w:val="center"/>
          </w:tcPr>
          <w:p>
            <w:pPr>
              <w:pStyle w:val="TableContents"/>
              <w:spacing w:before="0" w:after="283"/>
              <w:rPr>
                <w:sz w:val="4"/>
                <w:szCs w:val="4"/>
              </w:rPr>
            </w:pPr>
            <w:r>
              <w:rPr>
                <w:sz w:val="4"/>
                <w:szCs w:val="4"/>
              </w:rPr>
            </w:r>
          </w:p>
        </w:tc>
      </w:tr>
      <w:tr>
        <w:trPr/>
        <w:tc>
          <w:tcPr>
            <w:tcW w:w="2265" w:type="dxa"/>
            <w:tcBorders>
              <w:left w:val="single" w:sz="6" w:space="0" w:color="000000"/>
            </w:tcBorders>
            <w:shd w:fill="auto" w:val="clear"/>
            <w:tcMar>
              <w:left w:w="160" w:type="dxa"/>
            </w:tcMar>
            <w:vAlign w:val="center"/>
          </w:tcPr>
          <w:p>
            <w:pPr>
              <w:pStyle w:val="TableContents"/>
              <w:spacing w:before="0" w:after="0"/>
              <w:jc w:val="center"/>
              <w:rPr/>
            </w:pPr>
            <w:r>
              <w:rPr/>
              <w:t>  </w:t>
            </w:r>
            <w:r>
              <w:rPr>
                <w:rFonts w:ascii="ARIAL" w:hAnsi="ARIAL"/>
                <w:sz w:val="20"/>
              </w:rPr>
              <w:t>0.15%</w:t>
            </w:r>
          </w:p>
        </w:tc>
        <w:tc>
          <w:tcPr>
            <w:tcW w:w="95" w:type="dxa"/>
            <w:tcBorders>
              <w:left w:val="single" w:sz="6" w:space="0" w:color="000000"/>
            </w:tcBorders>
            <w:shd w:fill="auto" w:val="clear"/>
            <w:tcMar>
              <w:left w:w="28" w:type="dxa"/>
            </w:tcMar>
            <w:vAlign w:val="center"/>
          </w:tcPr>
          <w:p>
            <w:pPr>
              <w:pStyle w:val="TableContents"/>
              <w:spacing w:before="0" w:after="283"/>
              <w:rPr/>
            </w:pPr>
            <w:r>
              <w:rPr/>
              <w:t> </w:t>
            </w:r>
          </w:p>
        </w:tc>
        <w:tc>
          <w:tcPr>
            <w:tcW w:w="1449" w:type="dxa"/>
            <w:tcBorders>
              <w:right w:val="single" w:sz="6" w:space="0" w:color="000000"/>
            </w:tcBorders>
            <w:shd w:fill="auto" w:val="clear"/>
            <w:tcMar>
              <w:right w:w="28" w:type="dxa"/>
            </w:tcMar>
            <w:vAlign w:val="center"/>
          </w:tcPr>
          <w:p>
            <w:pPr>
              <w:pStyle w:val="TableContents"/>
              <w:spacing w:before="0" w:after="283"/>
              <w:jc w:val="center"/>
              <w:rPr/>
            </w:pPr>
            <w:r>
              <w:rPr/>
              <w:t>  </w:t>
            </w:r>
            <w:r>
              <w:rPr/>
              <w:t>50%</w:t>
            </w:r>
          </w:p>
        </w:tc>
        <w:tc>
          <w:tcPr>
            <w:tcW w:w="95" w:type="dxa"/>
            <w:tcBorders/>
            <w:shd w:fill="auto" w:val="clear"/>
            <w:vAlign w:val="center"/>
          </w:tcPr>
          <w:p>
            <w:pPr>
              <w:pStyle w:val="TableContents"/>
              <w:spacing w:before="0" w:after="283"/>
              <w:rPr/>
            </w:pPr>
            <w:r>
              <w:rPr/>
              <w:t> </w:t>
            </w:r>
          </w:p>
        </w:tc>
        <w:tc>
          <w:tcPr>
            <w:tcW w:w="1259" w:type="dxa"/>
            <w:tcBorders>
              <w:right w:val="single" w:sz="6" w:space="0" w:color="000000"/>
            </w:tcBorders>
            <w:shd w:fill="auto" w:val="clear"/>
            <w:tcMar>
              <w:right w:w="28" w:type="dxa"/>
            </w:tcMar>
            <w:vAlign w:val="center"/>
          </w:tcPr>
          <w:p>
            <w:pPr>
              <w:pStyle w:val="TableContents"/>
              <w:spacing w:before="0" w:after="283"/>
              <w:jc w:val="center"/>
              <w:rPr/>
            </w:pPr>
            <w:r>
              <w:rPr/>
              <w:t>  </w:t>
            </w:r>
            <w:r>
              <w:rPr/>
              <w:t>75%</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left w:val="single" w:sz="6" w:space="0" w:color="000000"/>
            </w:tcBorders>
            <w:shd w:fill="auto" w:val="clear"/>
            <w:tcMar>
              <w:left w:w="28" w:type="dxa"/>
            </w:tcMar>
            <w:vAlign w:val="center"/>
          </w:tcPr>
          <w:p>
            <w:pPr>
              <w:pStyle w:val="TableContents"/>
              <w:spacing w:before="0" w:after="283"/>
              <w:rPr/>
            </w:pPr>
            <w:r>
              <w:rPr/>
              <w:t> </w:t>
            </w:r>
          </w:p>
        </w:tc>
        <w:tc>
          <w:tcPr>
            <w:tcW w:w="1203" w:type="dxa"/>
            <w:tcBorders/>
            <w:shd w:fill="auto" w:val="clear"/>
            <w:vAlign w:val="center"/>
          </w:tcPr>
          <w:p>
            <w:pPr>
              <w:pStyle w:val="TableContents"/>
              <w:spacing w:before="0" w:after="283"/>
              <w:jc w:val="center"/>
              <w:rPr/>
            </w:pPr>
            <w:r>
              <w:rPr/>
              <w:t>  </w:t>
            </w:r>
            <w:r>
              <w:rPr/>
              <w:t>$1.16</w:t>
            </w:r>
          </w:p>
        </w:tc>
        <w:tc>
          <w:tcPr>
            <w:tcW w:w="72" w:type="dxa"/>
            <w:tcBorders>
              <w:left w:val="single" w:sz="6" w:space="0" w:color="000000"/>
            </w:tcBorders>
            <w:shd w:fill="auto" w:val="clear"/>
            <w:tcMar>
              <w:left w:w="28" w:type="dxa"/>
            </w:tcMar>
            <w:vAlign w:val="center"/>
          </w:tcPr>
          <w:p>
            <w:pPr>
              <w:pStyle w:val="TableContents"/>
              <w:spacing w:before="0" w:after="283"/>
              <w:rPr/>
            </w:pPr>
            <w:r>
              <w:rPr/>
              <w:t> </w:t>
            </w:r>
          </w:p>
        </w:tc>
        <w:tc>
          <w:tcPr>
            <w:tcW w:w="1094" w:type="dxa"/>
            <w:tcBorders>
              <w:right w:val="single" w:sz="6" w:space="0" w:color="000000"/>
            </w:tcBorders>
            <w:shd w:fill="auto" w:val="clear"/>
            <w:tcMar>
              <w:right w:w="28" w:type="dxa"/>
            </w:tcMar>
            <w:vAlign w:val="center"/>
          </w:tcPr>
          <w:p>
            <w:pPr>
              <w:pStyle w:val="TableContents"/>
              <w:spacing w:before="0" w:after="283"/>
              <w:jc w:val="center"/>
              <w:rPr/>
            </w:pPr>
            <w:r>
              <w:rPr/>
              <w:t>  </w:t>
            </w:r>
            <w:r>
              <w:rPr/>
              <w:t>75%</w:t>
            </w:r>
          </w:p>
        </w:tc>
        <w:tc>
          <w:tcPr>
            <w:tcW w:w="72" w:type="dxa"/>
            <w:tcBorders/>
            <w:shd w:fill="auto" w:val="clear"/>
            <w:vAlign w:val="center"/>
          </w:tcPr>
          <w:p>
            <w:pPr>
              <w:pStyle w:val="TableContents"/>
              <w:spacing w:before="0" w:after="283"/>
              <w:rPr/>
            </w:pPr>
            <w:r>
              <w:rPr/>
              <w:t> </w:t>
            </w:r>
          </w:p>
        </w:tc>
        <w:tc>
          <w:tcPr>
            <w:tcW w:w="967" w:type="dxa"/>
            <w:tcBorders/>
            <w:shd w:fill="auto" w:val="clear"/>
            <w:vAlign w:val="center"/>
          </w:tcPr>
          <w:p>
            <w:pPr>
              <w:pStyle w:val="TableContents"/>
              <w:spacing w:before="0" w:after="283"/>
              <w:rPr>
                <w:sz w:val="4"/>
                <w:szCs w:val="4"/>
              </w:rPr>
            </w:pPr>
            <w:r>
              <w:rPr>
                <w:sz w:val="4"/>
                <w:szCs w:val="4"/>
              </w:rPr>
            </w:r>
          </w:p>
        </w:tc>
      </w:tr>
      <w:tr>
        <w:trPr/>
        <w:tc>
          <w:tcPr>
            <w:tcW w:w="2265" w:type="dxa"/>
            <w:tcBorders>
              <w:left w:val="single" w:sz="6" w:space="0" w:color="000000"/>
            </w:tcBorders>
            <w:shd w:fill="auto" w:val="clear"/>
            <w:tcMar>
              <w:left w:w="160" w:type="dxa"/>
            </w:tcMar>
            <w:vAlign w:val="center"/>
          </w:tcPr>
          <w:p>
            <w:pPr>
              <w:pStyle w:val="TableContents"/>
              <w:spacing w:before="0" w:after="0"/>
              <w:jc w:val="center"/>
              <w:rPr/>
            </w:pPr>
            <w:r>
              <w:rPr/>
              <w:t>  </w:t>
            </w:r>
            <w:r>
              <w:rPr>
                <w:rFonts w:ascii="ARIAL" w:hAnsi="ARIAL"/>
                <w:sz w:val="20"/>
              </w:rPr>
              <w:t>0.00%</w:t>
            </w:r>
          </w:p>
        </w:tc>
        <w:tc>
          <w:tcPr>
            <w:tcW w:w="95" w:type="dxa"/>
            <w:tcBorders>
              <w:left w:val="single" w:sz="6" w:space="0" w:color="000000"/>
            </w:tcBorders>
            <w:shd w:fill="auto" w:val="clear"/>
            <w:tcMar>
              <w:left w:w="28" w:type="dxa"/>
            </w:tcMar>
            <w:vAlign w:val="center"/>
          </w:tcPr>
          <w:p>
            <w:pPr>
              <w:pStyle w:val="TableContents"/>
              <w:spacing w:before="0" w:after="283"/>
              <w:rPr/>
            </w:pPr>
            <w:r>
              <w:rPr/>
              <w:t> </w:t>
            </w:r>
          </w:p>
        </w:tc>
        <w:tc>
          <w:tcPr>
            <w:tcW w:w="1449" w:type="dxa"/>
            <w:tcBorders>
              <w:right w:val="single" w:sz="6" w:space="0" w:color="000000"/>
            </w:tcBorders>
            <w:shd w:fill="auto" w:val="clear"/>
            <w:tcMar>
              <w:right w:w="28" w:type="dxa"/>
            </w:tcMar>
            <w:vAlign w:val="center"/>
          </w:tcPr>
          <w:p>
            <w:pPr>
              <w:pStyle w:val="TableContents"/>
              <w:spacing w:before="0" w:after="283"/>
              <w:jc w:val="center"/>
              <w:rPr/>
            </w:pPr>
            <w:r>
              <w:rPr/>
              <w:t>    </w:t>
            </w:r>
            <w:r>
              <w:rPr/>
              <w:t>0%</w:t>
            </w:r>
          </w:p>
        </w:tc>
        <w:tc>
          <w:tcPr>
            <w:tcW w:w="95" w:type="dxa"/>
            <w:tcBorders/>
            <w:shd w:fill="auto" w:val="clear"/>
            <w:vAlign w:val="center"/>
          </w:tcPr>
          <w:p>
            <w:pPr>
              <w:pStyle w:val="TableContents"/>
              <w:spacing w:before="0" w:after="283"/>
              <w:rPr/>
            </w:pPr>
            <w:r>
              <w:rPr/>
              <w:t> </w:t>
            </w:r>
          </w:p>
        </w:tc>
        <w:tc>
          <w:tcPr>
            <w:tcW w:w="1259" w:type="dxa"/>
            <w:tcBorders>
              <w:right w:val="single" w:sz="6" w:space="0" w:color="000000"/>
            </w:tcBorders>
            <w:shd w:fill="auto" w:val="clear"/>
            <w:tcMar>
              <w:right w:w="28" w:type="dxa"/>
            </w:tcMar>
            <w:vAlign w:val="center"/>
          </w:tcPr>
          <w:p>
            <w:pPr>
              <w:pStyle w:val="TableContents"/>
              <w:spacing w:before="0" w:after="283"/>
              <w:jc w:val="center"/>
              <w:rPr/>
            </w:pPr>
            <w:r>
              <w:rPr/>
              <w:t>  </w:t>
            </w:r>
            <w:r>
              <w:rPr/>
              <w:t>50%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left w:val="single" w:sz="6" w:space="0" w:color="000000"/>
            </w:tcBorders>
            <w:shd w:fill="auto" w:val="clear"/>
            <w:tcMar>
              <w:left w:w="28" w:type="dxa"/>
            </w:tcMar>
            <w:vAlign w:val="center"/>
          </w:tcPr>
          <w:p>
            <w:pPr>
              <w:pStyle w:val="TableContents"/>
              <w:spacing w:before="0" w:after="283"/>
              <w:rPr/>
            </w:pPr>
            <w:r>
              <w:rPr/>
              <w:t> </w:t>
            </w:r>
          </w:p>
        </w:tc>
        <w:tc>
          <w:tcPr>
            <w:tcW w:w="1203" w:type="dxa"/>
            <w:tcBorders/>
            <w:shd w:fill="auto" w:val="clear"/>
            <w:vAlign w:val="center"/>
          </w:tcPr>
          <w:p>
            <w:pPr>
              <w:pStyle w:val="TableContents"/>
              <w:spacing w:before="0" w:after="283"/>
              <w:jc w:val="center"/>
              <w:rPr/>
            </w:pPr>
            <w:r>
              <w:rPr/>
              <w:t>  </w:t>
            </w:r>
            <w:r>
              <w:rPr/>
              <w:t>$1.06</w:t>
            </w:r>
          </w:p>
        </w:tc>
        <w:tc>
          <w:tcPr>
            <w:tcW w:w="72" w:type="dxa"/>
            <w:tcBorders>
              <w:left w:val="single" w:sz="6" w:space="0" w:color="000000"/>
            </w:tcBorders>
            <w:shd w:fill="auto" w:val="clear"/>
            <w:tcMar>
              <w:left w:w="28" w:type="dxa"/>
            </w:tcMar>
            <w:vAlign w:val="center"/>
          </w:tcPr>
          <w:p>
            <w:pPr>
              <w:pStyle w:val="TableContents"/>
              <w:spacing w:before="0" w:after="283"/>
              <w:rPr/>
            </w:pPr>
            <w:r>
              <w:rPr/>
              <w:t> </w:t>
            </w:r>
          </w:p>
        </w:tc>
        <w:tc>
          <w:tcPr>
            <w:tcW w:w="1094" w:type="dxa"/>
            <w:tcBorders>
              <w:right w:val="single" w:sz="6" w:space="0" w:color="000000"/>
            </w:tcBorders>
            <w:shd w:fill="auto" w:val="clear"/>
            <w:tcMar>
              <w:right w:w="28" w:type="dxa"/>
            </w:tcMar>
            <w:vAlign w:val="center"/>
          </w:tcPr>
          <w:p>
            <w:pPr>
              <w:pStyle w:val="TableContents"/>
              <w:spacing w:before="0" w:after="283"/>
              <w:jc w:val="center"/>
              <w:rPr/>
            </w:pPr>
            <w:r>
              <w:rPr/>
              <w:t>  </w:t>
            </w:r>
            <w:r>
              <w:rPr/>
              <w:t>50%</w:t>
            </w:r>
          </w:p>
        </w:tc>
        <w:tc>
          <w:tcPr>
            <w:tcW w:w="72" w:type="dxa"/>
            <w:tcBorders/>
            <w:shd w:fill="auto" w:val="clear"/>
            <w:vAlign w:val="center"/>
          </w:tcPr>
          <w:p>
            <w:pPr>
              <w:pStyle w:val="TableContents"/>
              <w:spacing w:before="0" w:after="283"/>
              <w:rPr/>
            </w:pPr>
            <w:r>
              <w:rPr/>
              <w:t> </w:t>
            </w:r>
          </w:p>
        </w:tc>
        <w:tc>
          <w:tcPr>
            <w:tcW w:w="967" w:type="dxa"/>
            <w:tcBorders/>
            <w:shd w:fill="auto" w:val="clear"/>
            <w:vAlign w:val="center"/>
          </w:tcPr>
          <w:p>
            <w:pPr>
              <w:pStyle w:val="TableContents"/>
              <w:spacing w:before="0" w:after="283"/>
              <w:rPr>
                <w:sz w:val="4"/>
                <w:szCs w:val="4"/>
              </w:rPr>
            </w:pPr>
            <w:r>
              <w:rPr>
                <w:sz w:val="4"/>
                <w:szCs w:val="4"/>
              </w:rPr>
            </w:r>
          </w:p>
        </w:tc>
      </w:tr>
      <w:tr>
        <w:trPr/>
        <w:tc>
          <w:tcPr>
            <w:tcW w:w="2265" w:type="dxa"/>
            <w:tcBorders>
              <w:left w:val="single" w:sz="6" w:space="0" w:color="000000"/>
              <w:bottom w:val="single" w:sz="6" w:space="0" w:color="000000"/>
            </w:tcBorders>
            <w:shd w:fill="auto" w:val="clear"/>
            <w:tcMar>
              <w:left w:w="160" w:type="dxa"/>
              <w:bottom w:w="28" w:type="dxa"/>
            </w:tcMar>
            <w:vAlign w:val="center"/>
          </w:tcPr>
          <w:p>
            <w:pPr>
              <w:pStyle w:val="TableContents"/>
              <w:spacing w:before="0" w:after="0"/>
              <w:jc w:val="center"/>
              <w:rPr>
                <w:rFonts w:ascii="ARIAL" w:hAnsi="ARIAL"/>
                <w:sz w:val="20"/>
              </w:rPr>
            </w:pPr>
            <w:r>
              <w:rPr>
                <w:rFonts w:ascii="ARIAL" w:hAnsi="ARIAL"/>
                <w:sz w:val="20"/>
              </w:rPr>
              <w:t>&lt;0.00%</w:t>
            </w:r>
          </w:p>
        </w:tc>
        <w:tc>
          <w:tcPr>
            <w:tcW w:w="95" w:type="dxa"/>
            <w:tcBorders>
              <w:left w:val="single" w:sz="6" w:space="0" w:color="000000"/>
              <w:bottom w:val="single" w:sz="6" w:space="0" w:color="000000"/>
            </w:tcBorders>
            <w:shd w:fill="auto" w:val="clear"/>
            <w:tcMar>
              <w:left w:w="28" w:type="dxa"/>
              <w:bottom w:w="28" w:type="dxa"/>
            </w:tcMar>
            <w:vAlign w:val="center"/>
          </w:tcPr>
          <w:p>
            <w:pPr>
              <w:pStyle w:val="TableContents"/>
              <w:spacing w:before="0" w:after="283"/>
              <w:rPr/>
            </w:pPr>
            <w:r>
              <w:rPr/>
              <w:t> </w:t>
            </w:r>
          </w:p>
        </w:tc>
        <w:tc>
          <w:tcPr>
            <w:tcW w:w="1449" w:type="dxa"/>
            <w:tcBorders>
              <w:bottom w:val="single" w:sz="6" w:space="0" w:color="000000"/>
              <w:right w:val="single" w:sz="6" w:space="0" w:color="000000"/>
            </w:tcBorders>
            <w:shd w:fill="auto" w:val="clear"/>
            <w:tcMar>
              <w:bottom w:w="28" w:type="dxa"/>
              <w:right w:w="28" w:type="dxa"/>
            </w:tcMar>
            <w:vAlign w:val="center"/>
          </w:tcPr>
          <w:p>
            <w:pPr>
              <w:pStyle w:val="TableContents"/>
              <w:spacing w:before="0" w:after="283"/>
              <w:jc w:val="center"/>
              <w:rPr/>
            </w:pPr>
            <w:r>
              <w:rPr/>
              <w:t>  </w:t>
            </w:r>
            <w:r>
              <w:rPr/>
              <w:t>&lt;0%</w:t>
            </w:r>
          </w:p>
        </w:tc>
        <w:tc>
          <w:tcPr>
            <w:tcW w:w="95" w:type="dxa"/>
            <w:tcBorders>
              <w:bottom w:val="single" w:sz="6" w:space="0" w:color="000000"/>
            </w:tcBorders>
            <w:shd w:fill="auto" w:val="clear"/>
            <w:tcMar>
              <w:bottom w:w="28" w:type="dxa"/>
            </w:tcMar>
            <w:vAlign w:val="center"/>
          </w:tcPr>
          <w:p>
            <w:pPr>
              <w:pStyle w:val="TableContents"/>
              <w:spacing w:before="0" w:after="283"/>
              <w:rPr/>
            </w:pPr>
            <w:r>
              <w:rPr/>
              <w:t> </w:t>
            </w:r>
          </w:p>
        </w:tc>
        <w:tc>
          <w:tcPr>
            <w:tcW w:w="1259" w:type="dxa"/>
            <w:tcBorders>
              <w:bottom w:val="single" w:sz="6" w:space="0" w:color="000000"/>
              <w:right w:val="single" w:sz="6" w:space="0" w:color="000000"/>
            </w:tcBorders>
            <w:shd w:fill="auto" w:val="clear"/>
            <w:tcMar>
              <w:bottom w:w="28" w:type="dxa"/>
              <w:right w:w="28" w:type="dxa"/>
            </w:tcMar>
            <w:vAlign w:val="center"/>
          </w:tcPr>
          <w:p>
            <w:pPr>
              <w:pStyle w:val="TableContents"/>
              <w:spacing w:before="0" w:after="283"/>
              <w:jc w:val="center"/>
              <w:rPr/>
            </w:pPr>
            <w:r>
              <w:rPr/>
              <w:t>    </w:t>
            </w:r>
            <w:r>
              <w:rPr/>
              <w:t>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left w:val="single" w:sz="6" w:space="0" w:color="000000"/>
              <w:bottom w:val="single" w:sz="6" w:space="0" w:color="000000"/>
            </w:tcBorders>
            <w:shd w:fill="auto" w:val="clear"/>
            <w:tcMar>
              <w:left w:w="28" w:type="dxa"/>
              <w:bottom w:w="28" w:type="dxa"/>
            </w:tcMar>
            <w:vAlign w:val="center"/>
          </w:tcPr>
          <w:p>
            <w:pPr>
              <w:pStyle w:val="TableContents"/>
              <w:spacing w:before="0" w:after="283"/>
              <w:rPr/>
            </w:pPr>
            <w:r>
              <w:rPr/>
              <w:t> </w:t>
            </w:r>
          </w:p>
        </w:tc>
        <w:tc>
          <w:tcPr>
            <w:tcW w:w="1203" w:type="dxa"/>
            <w:tcBorders>
              <w:bottom w:val="single" w:sz="6" w:space="0" w:color="000000"/>
            </w:tcBorders>
            <w:shd w:fill="auto" w:val="clear"/>
            <w:tcMar>
              <w:bottom w:w="28" w:type="dxa"/>
            </w:tcMar>
            <w:vAlign w:val="center"/>
          </w:tcPr>
          <w:p>
            <w:pPr>
              <w:pStyle w:val="TableContents"/>
              <w:spacing w:before="0" w:after="283"/>
              <w:jc w:val="center"/>
              <w:rPr/>
            </w:pPr>
            <w:r>
              <w:rPr/>
              <w:t>&lt;$1.06</w:t>
            </w:r>
          </w:p>
        </w:tc>
        <w:tc>
          <w:tcPr>
            <w:tcW w:w="72" w:type="dxa"/>
            <w:tcBorders>
              <w:left w:val="single" w:sz="6" w:space="0" w:color="000000"/>
              <w:bottom w:val="single" w:sz="6" w:space="0" w:color="000000"/>
            </w:tcBorders>
            <w:shd w:fill="auto" w:val="clear"/>
            <w:tcMar>
              <w:left w:w="28" w:type="dxa"/>
              <w:bottom w:w="28" w:type="dxa"/>
            </w:tcMar>
            <w:vAlign w:val="center"/>
          </w:tcPr>
          <w:p>
            <w:pPr>
              <w:pStyle w:val="TableContents"/>
              <w:spacing w:before="0" w:after="283"/>
              <w:rPr/>
            </w:pPr>
            <w:r>
              <w:rPr/>
              <w:t> </w:t>
            </w:r>
          </w:p>
        </w:tc>
        <w:tc>
          <w:tcPr>
            <w:tcW w:w="1094" w:type="dxa"/>
            <w:tcBorders>
              <w:bottom w:val="single" w:sz="6" w:space="0" w:color="000000"/>
              <w:right w:val="single" w:sz="6" w:space="0" w:color="000000"/>
            </w:tcBorders>
            <w:shd w:fill="auto" w:val="clear"/>
            <w:tcMar>
              <w:bottom w:w="28" w:type="dxa"/>
              <w:right w:w="28" w:type="dxa"/>
            </w:tcMar>
            <w:vAlign w:val="center"/>
          </w:tcPr>
          <w:p>
            <w:pPr>
              <w:pStyle w:val="TableContents"/>
              <w:spacing w:before="0" w:after="283"/>
              <w:jc w:val="center"/>
              <w:rPr/>
            </w:pPr>
            <w:r>
              <w:rPr/>
              <w:t>    </w:t>
            </w:r>
            <w:r>
              <w:rPr/>
              <w:t>0%</w:t>
            </w:r>
          </w:p>
        </w:tc>
        <w:tc>
          <w:tcPr>
            <w:tcW w:w="72" w:type="dxa"/>
            <w:tcBorders/>
            <w:shd w:fill="auto" w:val="clear"/>
            <w:vAlign w:val="center"/>
          </w:tcPr>
          <w:p>
            <w:pPr>
              <w:pStyle w:val="TableContents"/>
              <w:spacing w:before="0" w:after="283"/>
              <w:rPr/>
            </w:pPr>
            <w:r>
              <w:rPr/>
              <w:t> </w:t>
            </w:r>
          </w:p>
        </w:tc>
        <w:tc>
          <w:tcPr>
            <w:tcW w:w="967" w:type="dxa"/>
            <w:tcBorders/>
            <w:shd w:fill="auto" w:val="clear"/>
            <w:vAlign w:val="center"/>
          </w:tcPr>
          <w:p>
            <w:pPr>
              <w:pStyle w:val="TableContents"/>
              <w:spacing w:before="0" w:after="283"/>
              <w:rPr>
                <w:sz w:val="4"/>
                <w:szCs w:val="4"/>
              </w:rPr>
            </w:pPr>
            <w:r>
              <w:rPr>
                <w:sz w:val="4"/>
                <w:szCs w:val="4"/>
              </w:rPr>
            </w:r>
          </w:p>
        </w:tc>
      </w:tr>
      <w:tr>
        <w:trPr/>
        <w:tc>
          <w:tcPr>
            <w:tcW w:w="2265"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pPr>
            <w:r>
              <w:rPr/>
              <w:t> </w:t>
            </w:r>
          </w:p>
        </w:tc>
        <w:tc>
          <w:tcPr>
            <w:tcW w:w="1449"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pPr>
            <w:r>
              <w:rPr/>
              <w:t> </w:t>
            </w:r>
          </w:p>
        </w:tc>
        <w:tc>
          <w:tcPr>
            <w:tcW w:w="125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203" w:type="dxa"/>
            <w:tcBorders/>
            <w:shd w:fill="auto" w:val="clear"/>
            <w:vAlign w:val="center"/>
          </w:tcPr>
          <w:p>
            <w:pPr>
              <w:pStyle w:val="TableContents"/>
              <w:spacing w:before="0" w:after="283"/>
              <w:rPr>
                <w:sz w:val="4"/>
                <w:szCs w:val="4"/>
              </w:rPr>
            </w:pPr>
            <w:r>
              <w:rPr>
                <w:sz w:val="4"/>
                <w:szCs w:val="4"/>
              </w:rPr>
            </w:r>
          </w:p>
        </w:tc>
        <w:tc>
          <w:tcPr>
            <w:tcW w:w="72" w:type="dxa"/>
            <w:tcBorders/>
            <w:shd w:fill="auto" w:val="clear"/>
            <w:vAlign w:val="center"/>
          </w:tcPr>
          <w:p>
            <w:pPr>
              <w:pStyle w:val="TableContents"/>
              <w:spacing w:before="0" w:after="283"/>
              <w:rPr/>
            </w:pPr>
            <w:r>
              <w:rPr/>
              <w:t> </w:t>
            </w:r>
          </w:p>
        </w:tc>
        <w:tc>
          <w:tcPr>
            <w:tcW w:w="1094" w:type="dxa"/>
            <w:tcBorders/>
            <w:shd w:fill="auto" w:val="clear"/>
            <w:vAlign w:val="center"/>
          </w:tcPr>
          <w:p>
            <w:pPr>
              <w:pStyle w:val="TableContents"/>
              <w:spacing w:before="0" w:after="283"/>
              <w:rPr>
                <w:sz w:val="4"/>
                <w:szCs w:val="4"/>
              </w:rPr>
            </w:pPr>
            <w:r>
              <w:rPr>
                <w:sz w:val="4"/>
                <w:szCs w:val="4"/>
              </w:rPr>
            </w:r>
          </w:p>
        </w:tc>
        <w:tc>
          <w:tcPr>
            <w:tcW w:w="72" w:type="dxa"/>
            <w:tcBorders/>
            <w:shd w:fill="auto" w:val="clear"/>
            <w:vAlign w:val="center"/>
          </w:tcPr>
          <w:p>
            <w:pPr>
              <w:pStyle w:val="TableContents"/>
              <w:spacing w:before="0" w:after="283"/>
              <w:rPr/>
            </w:pPr>
            <w:r>
              <w:rPr/>
              <w:t> </w:t>
            </w:r>
          </w:p>
        </w:tc>
        <w:tc>
          <w:tcPr>
            <w:tcW w:w="967" w:type="dxa"/>
            <w:tcBorders/>
            <w:shd w:fill="auto" w:val="clear"/>
            <w:vAlign w:val="center"/>
          </w:tcPr>
          <w:p>
            <w:pPr>
              <w:pStyle w:val="TableContents"/>
              <w:spacing w:before="0" w:after="283"/>
              <w:rPr>
                <w:sz w:val="4"/>
                <w:szCs w:val="4"/>
              </w:rPr>
            </w:pPr>
            <w:r>
              <w:rPr>
                <w:sz w:val="4"/>
                <w:szCs w:val="4"/>
              </w:rPr>
            </w:r>
          </w:p>
        </w:tc>
      </w:tr>
      <w:tr>
        <w:trPr/>
        <w:tc>
          <w:tcPr>
            <w:tcW w:w="5163" w:type="dxa"/>
            <w:gridSpan w:val="5"/>
            <w:tcBorders/>
            <w:shd w:fill="auto" w:val="clear"/>
            <w:vAlign w:val="center"/>
          </w:tcPr>
          <w:p>
            <w:pPr>
              <w:pStyle w:val="TableContents"/>
              <w:spacing w:before="0" w:after="0"/>
              <w:rPr/>
            </w:pPr>
            <w:r>
              <w:rPr/>
              <w:t> </w:t>
            </w:r>
          </w:p>
          <w:p>
            <w:pPr>
              <w:pStyle w:val="TableContents"/>
              <w:spacing w:before="0" w:after="20"/>
              <w:rPr>
                <w:rFonts w:ascii="ARIAL" w:hAnsi="ARIAL"/>
                <w:sz w:val="16"/>
              </w:rPr>
            </w:pPr>
            <w:r>
              <w:rPr>
                <w:rFonts w:ascii="ARIAL" w:hAnsi="ARIAL"/>
                <w:b/>
                <w:sz w:val="16"/>
              </w:rPr>
              <w:t xml:space="preserve">Overachievement Opportunity: </w:t>
            </w:r>
            <w:r>
              <w:rPr>
                <w:rFonts w:ascii="ARIAL" w:hAnsi="ARIAL"/>
                <w:sz w:val="16"/>
              </w:rPr>
              <w:t>1% of base</w:t>
              <w:br/>
              <w:t>salary for each 0.1% over the target up to an</w:t>
              <w:br/>
              <w:t>additional 20% for the then-EC and CEO and</w:t>
              <w:br/>
              <w:t>10% for the CFO and CMO, limited to the plan</w:t>
              <w:br/>
              <w:t>maximum. Regional Presidents are subject to a</w:t>
              <w:br/>
              <w:t>region-specific margin improvement goal.</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408" w:type="dxa"/>
            <w:gridSpan w:val="5"/>
            <w:tcBorders/>
            <w:shd w:fill="auto" w:val="clear"/>
            <w:vAlign w:val="center"/>
          </w:tcPr>
          <w:p>
            <w:pPr>
              <w:pStyle w:val="TableContents"/>
              <w:spacing w:before="0" w:after="0"/>
              <w:rPr/>
            </w:pPr>
            <w:r>
              <w:rPr/>
              <w:t> </w:t>
            </w:r>
          </w:p>
          <w:p>
            <w:pPr>
              <w:pStyle w:val="TableContents"/>
              <w:spacing w:before="0" w:after="20"/>
              <w:rPr>
                <w:rFonts w:ascii="ARIAL" w:hAnsi="ARIAL"/>
                <w:sz w:val="16"/>
              </w:rPr>
            </w:pPr>
            <w:r>
              <w:rPr>
                <w:rFonts w:ascii="ARIAL" w:hAnsi="ARIAL"/>
                <w:b/>
                <w:sz w:val="16"/>
              </w:rPr>
              <w:t>Overachievement Opportunity:</w:t>
              <w:br/>
            </w:r>
            <w:r>
              <w:rPr>
                <w:rFonts w:ascii="ARIAL" w:hAnsi="ARIAL"/>
                <w:sz w:val="16"/>
              </w:rPr>
              <w:t>0.5% of base salary for each</w:t>
              <w:br/>
              <w:t>$0.02 over the target up to an</w:t>
              <w:br/>
              <w:t>additional 10%, limited to the plan</w:t>
              <w:br/>
              <w:t>maximum. EPS is a component</w:t>
              <w:br/>
              <w:t>for the then-EC, CEO and CFO.</w:t>
            </w:r>
          </w:p>
        </w:tc>
      </w:tr>
    </w:tbl>
    <w:p>
      <w:pPr>
        <w:pStyle w:val="TextBody"/>
        <w:spacing w:before="240" w:after="0"/>
        <w:jc w:val="left"/>
        <w:rPr>
          <w:rFonts w:ascii="ARIAL" w:hAnsi="ARIAL"/>
          <w:i/>
          <w:sz w:val="20"/>
        </w:rPr>
      </w:pPr>
      <w:r>
        <w:rPr>
          <w:rFonts w:ascii="ARIAL" w:hAnsi="ARIAL"/>
          <w:i/>
          <w:sz w:val="20"/>
        </w:rPr>
        <w:t xml:space="preserve">Linear interpolation is used for performance between the points shown in the tables.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55"/>
        <w:gridCol w:w="10050"/>
      </w:tblGrid>
      <w:tr>
        <w:trPr/>
        <w:tc>
          <w:tcPr>
            <w:tcW w:w="155" w:type="dxa"/>
            <w:tcBorders/>
            <w:shd w:fill="auto" w:val="clear"/>
            <w:vAlign w:val="center"/>
          </w:tcPr>
          <w:p>
            <w:pPr>
              <w:pStyle w:val="TableContents"/>
              <w:spacing w:before="0" w:after="283"/>
              <w:jc w:val="left"/>
              <w:rPr/>
            </w:pPr>
            <w:r>
              <w:rPr/>
              <w:t>*</w:t>
            </w:r>
          </w:p>
        </w:tc>
        <w:tc>
          <w:tcPr>
            <w:tcW w:w="10050" w:type="dxa"/>
            <w:tcBorders/>
            <w:shd w:fill="auto" w:val="clear"/>
            <w:vAlign w:val="center"/>
          </w:tcPr>
          <w:p>
            <w:pPr>
              <w:pStyle w:val="TableContents"/>
              <w:spacing w:before="0" w:after="0"/>
              <w:jc w:val="left"/>
              <w:rPr>
                <w:rFonts w:ascii="ARIAL" w:hAnsi="ARIAL"/>
                <w:sz w:val="14"/>
              </w:rPr>
            </w:pPr>
            <w:r>
              <w:rPr>
                <w:rFonts w:ascii="ARIAL" w:hAnsi="ARIAL"/>
                <w:sz w:val="14"/>
              </w:rPr>
              <w:t xml:space="preserve">Adjusted EBITDA is a non-GAAP financial measure. For information regarding the manner in which Adjusted EBITDA is calculated from the Company’s consolidated financial statements, see Annex A to this Proxy Statement.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70"/>
        <w:gridCol w:w="10035"/>
      </w:tblGrid>
      <w:tr>
        <w:trPr/>
        <w:tc>
          <w:tcPr>
            <w:tcW w:w="170" w:type="dxa"/>
            <w:tcBorders/>
            <w:shd w:fill="auto" w:val="clear"/>
            <w:vAlign w:val="center"/>
          </w:tcPr>
          <w:p>
            <w:pPr>
              <w:pStyle w:val="TableContents"/>
              <w:spacing w:before="0" w:after="283"/>
              <w:jc w:val="left"/>
              <w:rPr/>
            </w:pPr>
            <w:r>
              <w:rPr/>
              <w:t>+</w:t>
            </w:r>
          </w:p>
        </w:tc>
        <w:tc>
          <w:tcPr>
            <w:tcW w:w="10035" w:type="dxa"/>
            <w:tcBorders/>
            <w:shd w:fill="auto" w:val="clear"/>
            <w:vAlign w:val="center"/>
          </w:tcPr>
          <w:p>
            <w:pPr>
              <w:pStyle w:val="TableContents"/>
              <w:spacing w:before="0" w:after="0"/>
              <w:jc w:val="left"/>
              <w:rPr>
                <w:rFonts w:ascii="ARIAL" w:hAnsi="ARIAL"/>
                <w:sz w:val="14"/>
              </w:rPr>
            </w:pPr>
            <w:r>
              <w:rPr>
                <w:rFonts w:ascii="ARIAL" w:hAnsi="ARIAL"/>
                <w:sz w:val="14"/>
              </w:rPr>
              <w:t xml:space="preserve">Adjusted EPS is a non-GAAP financial measure. For information regarding the manner in which Adjusted EPS is calculated from the Company’s consolidated financial statements, see Annex A to this Proxy Statement. </w:t>
            </w:r>
          </w:p>
        </w:tc>
      </w:tr>
    </w:tbl>
    <w:p>
      <w:pPr>
        <w:pStyle w:val="TextBody"/>
        <w:spacing w:before="240" w:after="0"/>
        <w:jc w:val="left"/>
        <w:rPr>
          <w:rFonts w:ascii="ARIAL" w:hAnsi="ARIAL"/>
          <w:sz w:val="20"/>
        </w:rPr>
      </w:pPr>
      <w:r>
        <w:rPr>
          <w:rFonts w:ascii="ARIAL" w:hAnsi="ARIAL"/>
          <w:sz w:val="20"/>
          <w:u w:val="single"/>
        </w:rPr>
        <w:t>Non-Financial Strategic and Operational Performance Improvement Goals</w:t>
      </w:r>
      <w:r>
        <w:rPr>
          <w:rFonts w:ascii="ARIAL" w:hAnsi="ARIAL"/>
          <w:sz w:val="20"/>
        </w:rPr>
        <w:t xml:space="preserve"> </w:t>
      </w:r>
    </w:p>
    <w:p>
      <w:pPr>
        <w:pStyle w:val="TextBody"/>
        <w:spacing w:before="240" w:after="0"/>
        <w:jc w:val="left"/>
        <w:rPr>
          <w:rFonts w:ascii="ARIAL" w:hAnsi="ARIAL"/>
          <w:sz w:val="20"/>
        </w:rPr>
      </w:pPr>
      <w:r>
        <w:rPr>
          <w:rFonts w:ascii="ARIAL" w:hAnsi="ARIAL"/>
          <w:sz w:val="20"/>
        </w:rPr>
        <w:t xml:space="preserve">The annual cash incentive compensation awards also continued to include non-financial strategic and operational performance improvement goals, which are intended to reward our named executive officers for progress on the Company’s key strategic priorities, including, for example, executing on the Company’s previously identified strategic imperatives and margin improvement initiatives, meeting provider recruitment objectives, maintaining and improving overall clinical compliance, and continuing to improve the Company’s capital structure. In addition, for 2022, continued advancement of the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48 </w:t>
      </w:r>
      <w:r>
        <w:br w:type="page"/>
      </w:r>
    </w:p>
    <w:p>
      <w:pPr>
        <w:pStyle w:val="HorizontalLine"/>
        <w:rPr/>
      </w:pPr>
      <w:r>
        <w:rPr/>
      </w:r>
    </w:p>
    <w:p>
      <w:pPr>
        <w:pStyle w:val="TextBody"/>
        <w:spacing w:before="0" w:after="0"/>
        <w:jc w:val="left"/>
        <w:rPr>
          <w:rFonts w:ascii="ARIAL" w:hAnsi="ARIAL"/>
          <w:sz w:val="20"/>
        </w:rPr>
      </w:pPr>
      <w:r>
        <w:rPr>
          <w:rFonts w:ascii="ARIAL" w:hAnsi="ARIAL"/>
          <w:sz w:val="20"/>
        </w:rPr>
        <w:t xml:space="preserve">Company’s diversity, equity, and inclusion objectives and other environmental, social and governance objectives, such as those set forth in its Community Impact Report and Environmental Sustainability Report was added as an additional non-financial performance objective. </w:t>
      </w:r>
    </w:p>
    <w:p>
      <w:pPr>
        <w:pStyle w:val="TextBody"/>
        <w:spacing w:before="240" w:after="0"/>
        <w:jc w:val="left"/>
        <w:rPr>
          <w:rFonts w:ascii="ARIAL" w:hAnsi="ARIAL"/>
          <w:sz w:val="20"/>
        </w:rPr>
      </w:pPr>
      <w:r>
        <w:rPr>
          <w:rFonts w:ascii="ARIAL" w:hAnsi="ARIAL"/>
          <w:sz w:val="20"/>
        </w:rPr>
        <w:t xml:space="preserve">In addition, the President of Clinical Operations and Chief Medical Officer’s and the Regional President’s annual incentive compensation awards included goals related to their specific functional area that are key to the Company’s overall success. For example, the President of Clinical Operations and Chief Medical Officer’s annual incentive compensation opportunity was based in part on improving margin for physician practice services, quality indicators and patient safety. The Regional President’s incentive compensation opportunity included fewer corporate-level financial goals but also included region-specific goals, including regional Adjusted EBITDA, regional Adjusted EBITDA margin improvement, and regional net revenues, as well as patient experience and employee engagement metrics. </w:t>
      </w:r>
    </w:p>
    <w:p>
      <w:pPr>
        <w:pStyle w:val="TextBody"/>
        <w:spacing w:before="240" w:after="0"/>
        <w:jc w:val="left"/>
        <w:rPr>
          <w:rFonts w:ascii="ARIAL" w:hAnsi="ARIAL"/>
          <w:sz w:val="20"/>
        </w:rPr>
      </w:pPr>
      <w:r>
        <w:rPr>
          <w:rFonts w:ascii="ARIAL" w:hAnsi="ARIAL"/>
          <w:sz w:val="20"/>
        </w:rPr>
        <w:t xml:space="preserve">Despite the challenging macroeconomic environment in 2022, the Company continued to make progress on many of its strategic goals, which we believe will result in a stronger organization as we progress into 2023 and beyond. During 2022, the Company continued to expand the scale of both inpatient and outpatient offerings, including through increasing bed capacity and constructing new surgical and procedural suites, as well as adding primary care practices, urgent care centers, free-standing emergency departments, ambulatory surgery centers, imaging and diagnostic centers and direct-to-consumer virtual health visits. The Company continued to manage supply and other non-labor expenses well despite inflationary pressures and expansion by way of new access points. In addition, strong provider recruitment efforts resulted in the recruitment of 5% more providers in 2022 compared to 2021 and 10% more providers in 2022 compared to our pre-pandemic baseline. Moreover, through the development and implementation of programs to support and monitor patient safety and quality of care, the Company continues to advance patient safety, as evidenced by a significant reduction in serious safety events since 2013. In addition, to further improve operating efficiency, the Company continued the execution of its margin improvement program, which contributed to additional cost savings during the year. The Company also continued to make progress on its capital structure during 2022 by refinancing a portion of its senior secured debt in February 2022, both extending the maturity and lowering the interest rate of the refinanced debt, as well as by repurchasing and retiring $645 million of its outstanding notes at a discount through a combination of open market and privately negotiated repurchases which will reduce the Company’s annual cash interest. Further, the Company continued to advance its diversity, equity and inclusion objectives during 2022 through, for example, implementing and expanding training and development programs, establishing internships, residencies and mentorship programs with a goal of recruiting, retaining and developing high potential employees and effort to increase supplier diversity. The Company’s progress in advancing its strategic goals is reflected in the achievement of the non-financial strategic and operational performance improvements target as set forth below. </w:t>
      </w:r>
    </w:p>
    <w:p>
      <w:pPr>
        <w:pStyle w:val="TextBody"/>
        <w:spacing w:before="240" w:after="0"/>
        <w:jc w:val="left"/>
        <w:rPr>
          <w:rFonts w:ascii="ARIAL" w:hAnsi="ARIAL"/>
          <w:sz w:val="20"/>
        </w:rPr>
      </w:pPr>
      <w:r>
        <w:rPr>
          <w:rFonts w:ascii="ARIAL" w:hAnsi="ARIAL"/>
          <w:sz w:val="20"/>
        </w:rPr>
        <w:t xml:space="preserve">However, given the challenging macroeconomic environment in 2022, the Company did not achieve several of its key financial goals for 2022. Consistent with our pay-for-performance philosophy, the cash incentive compensation paid to each of our named executive officers for 2022 was well below their target levels. For example, our Chief Executive Officer earned 26% of his target cash incentive award attainable for 2022 (compared to 130% of his target cash incentive award for 2021, when the Company achieved or exceeded many of its primary financial targets).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49 </w:t>
      </w:r>
      <w:r>
        <w:br w:type="page"/>
      </w:r>
    </w:p>
    <w:p>
      <w:pPr>
        <w:pStyle w:val="HorizontalLine"/>
        <w:rPr/>
      </w:pPr>
      <w:r>
        <w:rPr/>
      </w:r>
    </w:p>
    <w:p>
      <w:pPr>
        <w:pStyle w:val="TextBody"/>
        <w:spacing w:before="0" w:after="0"/>
        <w:jc w:val="left"/>
        <w:rPr>
          <w:rFonts w:ascii="ARIAL" w:hAnsi="ARIAL"/>
          <w:sz w:val="20"/>
        </w:rPr>
      </w:pPr>
      <w:r>
        <w:rPr>
          <w:rFonts w:ascii="ARIAL" w:hAnsi="ARIAL"/>
          <w:sz w:val="20"/>
        </w:rPr>
        <w:t xml:space="preserve">For each component of the annual cash incentive compensation, the targeted award and attained award, expressed as a percentage of base salary, for each named executive officer along with the maximum incentive award attainable, including non-financial strategic and operational performance improvements and overachievement of Company goals, are set forth in the following tables: </w:t>
      </w:r>
    </w:p>
    <w:p>
      <w:pPr>
        <w:pStyle w:val="TextBody"/>
        <w:spacing w:before="0" w:after="0"/>
        <w:jc w:val="left"/>
        <w:rPr/>
      </w:pPr>
      <w:r>
        <w:rPr/>
        <w:t> </w:t>
      </w:r>
    </w:p>
    <w:tbl>
      <w:tblPr>
        <w:tblW w:w="9315" w:type="dxa"/>
        <w:jc w:val="left"/>
        <w:tblInd w:w="0" w:type="dxa"/>
        <w:tblCellMar>
          <w:top w:w="0" w:type="dxa"/>
          <w:left w:w="0" w:type="dxa"/>
          <w:bottom w:w="0" w:type="dxa"/>
          <w:right w:w="0" w:type="dxa"/>
        </w:tblCellMar>
      </w:tblPr>
      <w:tblGrid>
        <w:gridCol w:w="890"/>
        <w:gridCol w:w="60"/>
        <w:gridCol w:w="144"/>
        <w:gridCol w:w="701"/>
        <w:gridCol w:w="60"/>
        <w:gridCol w:w="60"/>
        <w:gridCol w:w="312"/>
        <w:gridCol w:w="1043"/>
        <w:gridCol w:w="60"/>
        <w:gridCol w:w="60"/>
        <w:gridCol w:w="128"/>
        <w:gridCol w:w="717"/>
        <w:gridCol w:w="60"/>
        <w:gridCol w:w="60"/>
        <w:gridCol w:w="219"/>
        <w:gridCol w:w="731"/>
        <w:gridCol w:w="60"/>
        <w:gridCol w:w="60"/>
        <w:gridCol w:w="107"/>
        <w:gridCol w:w="603"/>
        <w:gridCol w:w="60"/>
        <w:gridCol w:w="60"/>
        <w:gridCol w:w="198"/>
        <w:gridCol w:w="662"/>
        <w:gridCol w:w="60"/>
        <w:gridCol w:w="60"/>
        <w:gridCol w:w="295"/>
        <w:gridCol w:w="985"/>
        <w:gridCol w:w="60"/>
        <w:gridCol w:w="120"/>
        <w:gridCol w:w="60"/>
        <w:gridCol w:w="485"/>
        <w:gridCol w:w="75"/>
      </w:tblGrid>
      <w:tr>
        <w:trPr/>
        <w:tc>
          <w:tcPr>
            <w:tcW w:w="8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70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104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71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73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7" w:type="dxa"/>
            <w:tcBorders/>
            <w:shd w:fill="auto" w:val="clear"/>
            <w:vAlign w:val="center"/>
          </w:tcPr>
          <w:p>
            <w:pPr>
              <w:pStyle w:val="TableContents"/>
              <w:spacing w:before="0" w:after="283"/>
              <w:rPr>
                <w:sz w:val="4"/>
                <w:szCs w:val="4"/>
              </w:rPr>
            </w:pPr>
            <w:r>
              <w:rPr>
                <w:sz w:val="4"/>
                <w:szCs w:val="4"/>
              </w:rPr>
            </w:r>
          </w:p>
        </w:tc>
        <w:tc>
          <w:tcPr>
            <w:tcW w:w="60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66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9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890" w:type="dxa"/>
            <w:tcBorders>
              <w:top w:val="single" w:sz="6" w:space="0" w:color="000000"/>
              <w:left w:val="single" w:sz="6" w:space="0" w:color="000000"/>
              <w:bottom w:val="single" w:sz="6" w:space="0" w:color="000000"/>
            </w:tcBorders>
            <w:shd w:fill="auto" w:val="clear"/>
            <w:tcMar>
              <w:top w:w="28" w:type="dxa"/>
              <w:left w:w="160" w:type="dxa"/>
              <w:bottom w:w="28" w:type="dxa"/>
            </w:tcMar>
            <w:vAlign w:val="center"/>
          </w:tcPr>
          <w:p>
            <w:pPr>
              <w:pStyle w:val="TableContents"/>
              <w:spacing w:before="0" w:after="283"/>
              <w:rPr/>
            </w:pPr>
            <w:r>
              <w:rPr/>
              <w:t>  </w:t>
            </w:r>
          </w:p>
        </w:tc>
        <w:tc>
          <w:tcPr>
            <w:tcW w:w="60" w:type="dxa"/>
            <w:tcBorders>
              <w:top w:val="single" w:sz="6" w:space="0" w:color="000000"/>
              <w:bottom w:val="single" w:sz="6" w:space="0" w:color="000000"/>
            </w:tcBorders>
            <w:shd w:fill="auto" w:val="clear"/>
            <w:tcMar>
              <w:top w:w="28" w:type="dxa"/>
              <w:bottom w:w="28" w:type="dxa"/>
            </w:tcMar>
            <w:vAlign w:val="center"/>
          </w:tcPr>
          <w:p>
            <w:pPr>
              <w:pStyle w:val="TableContents"/>
              <w:spacing w:before="0" w:after="283"/>
              <w:rPr/>
            </w:pPr>
            <w:r>
              <w:rPr/>
              <w:t> </w:t>
            </w:r>
          </w:p>
        </w:tc>
        <w:tc>
          <w:tcPr>
            <w:tcW w:w="845" w:type="dxa"/>
            <w:gridSpan w:val="2"/>
            <w:tcBorders>
              <w:top w:val="single" w:sz="6" w:space="0" w:color="000000"/>
              <w:bottom w:val="single" w:sz="6" w:space="0" w:color="000000"/>
            </w:tcBorders>
            <w:shd w:fill="auto" w:val="clear"/>
            <w:tcMar>
              <w:top w:w="28" w:type="dxa"/>
              <w:bottom w:w="28" w:type="dxa"/>
            </w:tcMar>
            <w:vAlign w:val="center"/>
          </w:tcPr>
          <w:p>
            <w:pPr>
              <w:pStyle w:val="TableContents"/>
              <w:spacing w:before="0" w:after="0"/>
              <w:jc w:val="center"/>
              <w:rPr>
                <w:rFonts w:ascii="ARIAL" w:hAnsi="ARIAL"/>
                <w:b/>
                <w:sz w:val="14"/>
              </w:rPr>
            </w:pPr>
            <w:r>
              <w:rPr>
                <w:rFonts w:ascii="ARIAL" w:hAnsi="ARIAL"/>
                <w:b/>
                <w:sz w:val="14"/>
              </w:rPr>
              <w:t>Consolidated</w:t>
            </w:r>
          </w:p>
          <w:p>
            <w:pPr>
              <w:pStyle w:val="TableContents"/>
              <w:spacing w:before="0" w:after="20"/>
              <w:jc w:val="center"/>
              <w:rPr>
                <w:rFonts w:ascii="ARIAL" w:hAnsi="ARIAL"/>
                <w:b/>
                <w:sz w:val="14"/>
              </w:rPr>
            </w:pPr>
            <w:r>
              <w:rPr>
                <w:rFonts w:ascii="ARIAL" w:hAnsi="ARIAL"/>
                <w:b/>
                <w:sz w:val="14"/>
              </w:rPr>
              <w:t>Adjusted</w:t>
              <w:br/>
              <w:t>EBITDA</w:t>
            </w:r>
          </w:p>
        </w:tc>
        <w:tc>
          <w:tcPr>
            <w:tcW w:w="60" w:type="dxa"/>
            <w:tcBorders>
              <w:top w:val="single" w:sz="6" w:space="0" w:color="000000"/>
              <w:bottom w:val="single" w:sz="6" w:space="0" w:color="000000"/>
            </w:tcBorders>
            <w:shd w:fill="auto" w:val="clear"/>
            <w:tcMar>
              <w:top w:w="28" w:type="dxa"/>
              <w:bottom w:w="28" w:type="dxa"/>
            </w:tcMar>
            <w:vAlign w:val="center"/>
          </w:tcPr>
          <w:p>
            <w:pPr>
              <w:pStyle w:val="TableContents"/>
              <w:spacing w:before="0" w:after="283"/>
              <w:rPr/>
            </w:pPr>
            <w:r>
              <w:rPr/>
              <w:t> </w:t>
            </w:r>
          </w:p>
        </w:tc>
        <w:tc>
          <w:tcPr>
            <w:tcW w:w="60" w:type="dxa"/>
            <w:tcBorders>
              <w:top w:val="single" w:sz="6" w:space="0" w:color="000000"/>
              <w:bottom w:val="single" w:sz="6" w:space="0" w:color="000000"/>
            </w:tcBorders>
            <w:shd w:fill="auto" w:val="clear"/>
            <w:tcMar>
              <w:top w:w="28" w:type="dxa"/>
              <w:bottom w:w="28" w:type="dxa"/>
            </w:tcMar>
            <w:vAlign w:val="center"/>
          </w:tcPr>
          <w:p>
            <w:pPr>
              <w:pStyle w:val="TableContents"/>
              <w:spacing w:before="0" w:after="283"/>
              <w:rPr/>
            </w:pPr>
            <w:r>
              <w:rPr/>
              <w:t> </w:t>
            </w:r>
          </w:p>
        </w:tc>
        <w:tc>
          <w:tcPr>
            <w:tcW w:w="1355" w:type="dxa"/>
            <w:gridSpan w:val="2"/>
            <w:tcBorders>
              <w:top w:val="single" w:sz="6" w:space="0" w:color="000000"/>
              <w:bottom w:val="single" w:sz="6" w:space="0" w:color="000000"/>
            </w:tcBorders>
            <w:shd w:fill="auto" w:val="clear"/>
            <w:tcMar>
              <w:top w:w="28" w:type="dxa"/>
              <w:bottom w:w="28" w:type="dxa"/>
            </w:tcMar>
            <w:vAlign w:val="center"/>
          </w:tcPr>
          <w:p>
            <w:pPr>
              <w:pStyle w:val="TableContents"/>
              <w:spacing w:before="0" w:after="283"/>
              <w:jc w:val="center"/>
              <w:rPr>
                <w:b/>
              </w:rPr>
            </w:pPr>
            <w:r>
              <w:rPr>
                <w:b/>
              </w:rPr>
              <w:t>Consolidated</w:t>
              <w:br/>
              <w:t>Adjusted</w:t>
              <w:br/>
              <w:t>EBITDA</w:t>
              <w:br/>
              <w:t>Margin</w:t>
              <w:br/>
              <w:t>Improve-</w:t>
              <w:br/>
              <w:t>ment</w:t>
            </w:r>
          </w:p>
        </w:tc>
        <w:tc>
          <w:tcPr>
            <w:tcW w:w="60" w:type="dxa"/>
            <w:tcBorders>
              <w:top w:val="single" w:sz="6" w:space="0" w:color="000000"/>
              <w:bottom w:val="single" w:sz="6" w:space="0" w:color="000000"/>
            </w:tcBorders>
            <w:shd w:fill="auto" w:val="clear"/>
            <w:tcMar>
              <w:top w:w="28" w:type="dxa"/>
              <w:bottom w:w="28" w:type="dxa"/>
            </w:tcMar>
            <w:vAlign w:val="center"/>
          </w:tcPr>
          <w:p>
            <w:pPr>
              <w:pStyle w:val="TableContents"/>
              <w:spacing w:before="0" w:after="283"/>
              <w:rPr/>
            </w:pPr>
            <w:r>
              <w:rPr/>
              <w:t> </w:t>
            </w:r>
          </w:p>
        </w:tc>
        <w:tc>
          <w:tcPr>
            <w:tcW w:w="60" w:type="dxa"/>
            <w:tcBorders>
              <w:top w:val="single" w:sz="6" w:space="0" w:color="000000"/>
              <w:bottom w:val="single" w:sz="6" w:space="0" w:color="000000"/>
            </w:tcBorders>
            <w:shd w:fill="auto" w:val="clear"/>
            <w:tcMar>
              <w:top w:w="28" w:type="dxa"/>
              <w:bottom w:w="28" w:type="dxa"/>
            </w:tcMar>
            <w:vAlign w:val="center"/>
          </w:tcPr>
          <w:p>
            <w:pPr>
              <w:pStyle w:val="TableContents"/>
              <w:spacing w:before="0" w:after="283"/>
              <w:rPr/>
            </w:pPr>
            <w:r>
              <w:rPr/>
              <w:t> </w:t>
            </w:r>
          </w:p>
        </w:tc>
        <w:tc>
          <w:tcPr>
            <w:tcW w:w="845" w:type="dxa"/>
            <w:gridSpan w:val="2"/>
            <w:tcBorders>
              <w:top w:val="single" w:sz="6" w:space="0" w:color="000000"/>
              <w:bottom w:val="single" w:sz="6" w:space="0" w:color="000000"/>
            </w:tcBorders>
            <w:shd w:fill="auto" w:val="clear"/>
            <w:tcMar>
              <w:top w:w="28" w:type="dxa"/>
              <w:bottom w:w="28" w:type="dxa"/>
            </w:tcMar>
            <w:vAlign w:val="center"/>
          </w:tcPr>
          <w:p>
            <w:pPr>
              <w:pStyle w:val="TableContents"/>
              <w:spacing w:before="0" w:after="0"/>
              <w:jc w:val="center"/>
              <w:rPr>
                <w:rFonts w:ascii="ARIAL" w:hAnsi="ARIAL"/>
                <w:b/>
                <w:sz w:val="14"/>
              </w:rPr>
            </w:pPr>
            <w:r>
              <w:rPr>
                <w:rFonts w:ascii="ARIAL" w:hAnsi="ARIAL"/>
                <w:b/>
                <w:sz w:val="14"/>
              </w:rPr>
              <w:t>Consolidated</w:t>
              <w:br/>
              <w:t>Net</w:t>
            </w:r>
          </w:p>
          <w:p>
            <w:pPr>
              <w:pStyle w:val="TableContents"/>
              <w:spacing w:before="0" w:after="20"/>
              <w:jc w:val="center"/>
              <w:rPr>
                <w:rFonts w:ascii="ARIAL" w:hAnsi="ARIAL"/>
                <w:b/>
                <w:sz w:val="14"/>
              </w:rPr>
            </w:pPr>
            <w:r>
              <w:rPr>
                <w:rFonts w:ascii="ARIAL" w:hAnsi="ARIAL"/>
                <w:b/>
                <w:sz w:val="14"/>
              </w:rPr>
              <w:t>Revenues</w:t>
            </w:r>
          </w:p>
        </w:tc>
        <w:tc>
          <w:tcPr>
            <w:tcW w:w="60" w:type="dxa"/>
            <w:tcBorders>
              <w:top w:val="single" w:sz="6" w:space="0" w:color="000000"/>
              <w:bottom w:val="single" w:sz="6" w:space="0" w:color="000000"/>
            </w:tcBorders>
            <w:shd w:fill="auto" w:val="clear"/>
            <w:tcMar>
              <w:top w:w="28" w:type="dxa"/>
              <w:bottom w:w="28" w:type="dxa"/>
            </w:tcMar>
            <w:vAlign w:val="center"/>
          </w:tcPr>
          <w:p>
            <w:pPr>
              <w:pStyle w:val="TableContents"/>
              <w:spacing w:before="0" w:after="283"/>
              <w:rPr/>
            </w:pPr>
            <w:r>
              <w:rPr/>
              <w:t> </w:t>
            </w:r>
          </w:p>
        </w:tc>
        <w:tc>
          <w:tcPr>
            <w:tcW w:w="60" w:type="dxa"/>
            <w:tcBorders>
              <w:top w:val="single" w:sz="6" w:space="0" w:color="000000"/>
              <w:bottom w:val="single" w:sz="6" w:space="0" w:color="000000"/>
            </w:tcBorders>
            <w:shd w:fill="auto" w:val="clear"/>
            <w:tcMar>
              <w:top w:w="28" w:type="dxa"/>
              <w:bottom w:w="28" w:type="dxa"/>
            </w:tcMar>
            <w:vAlign w:val="center"/>
          </w:tcPr>
          <w:p>
            <w:pPr>
              <w:pStyle w:val="TableContents"/>
              <w:spacing w:before="0" w:after="283"/>
              <w:rPr/>
            </w:pPr>
            <w:r>
              <w:rPr/>
              <w:t> </w:t>
            </w:r>
          </w:p>
        </w:tc>
        <w:tc>
          <w:tcPr>
            <w:tcW w:w="950" w:type="dxa"/>
            <w:gridSpan w:val="2"/>
            <w:tcBorders>
              <w:top w:val="single" w:sz="6" w:space="0" w:color="000000"/>
              <w:bottom w:val="single" w:sz="6" w:space="0" w:color="000000"/>
            </w:tcBorders>
            <w:shd w:fill="auto" w:val="clear"/>
            <w:tcMar>
              <w:top w:w="28" w:type="dxa"/>
              <w:bottom w:w="28" w:type="dxa"/>
            </w:tcMar>
            <w:vAlign w:val="center"/>
          </w:tcPr>
          <w:p>
            <w:pPr>
              <w:pStyle w:val="TableContents"/>
              <w:spacing w:before="0" w:after="283"/>
              <w:jc w:val="center"/>
              <w:rPr>
                <w:b/>
              </w:rPr>
            </w:pPr>
            <w:r>
              <w:rPr>
                <w:b/>
              </w:rPr>
              <w:t>Adjusted</w:t>
              <w:br/>
              <w:t>EPS</w:t>
            </w:r>
          </w:p>
        </w:tc>
        <w:tc>
          <w:tcPr>
            <w:tcW w:w="60" w:type="dxa"/>
            <w:tcBorders>
              <w:top w:val="single" w:sz="6" w:space="0" w:color="000000"/>
              <w:bottom w:val="single" w:sz="6" w:space="0" w:color="000000"/>
            </w:tcBorders>
            <w:shd w:fill="auto" w:val="clear"/>
            <w:tcMar>
              <w:top w:w="28" w:type="dxa"/>
              <w:bottom w:w="28" w:type="dxa"/>
            </w:tcMar>
            <w:vAlign w:val="center"/>
          </w:tcPr>
          <w:p>
            <w:pPr>
              <w:pStyle w:val="TableContents"/>
              <w:spacing w:before="0" w:after="283"/>
              <w:rPr/>
            </w:pPr>
            <w:r>
              <w:rPr/>
              <w:t> </w:t>
            </w:r>
          </w:p>
        </w:tc>
        <w:tc>
          <w:tcPr>
            <w:tcW w:w="60" w:type="dxa"/>
            <w:tcBorders>
              <w:top w:val="single" w:sz="6" w:space="0" w:color="000000"/>
              <w:bottom w:val="single" w:sz="6" w:space="0" w:color="000000"/>
            </w:tcBorders>
            <w:shd w:fill="auto" w:val="clear"/>
            <w:tcMar>
              <w:top w:w="28" w:type="dxa"/>
              <w:bottom w:w="28" w:type="dxa"/>
            </w:tcMar>
            <w:vAlign w:val="center"/>
          </w:tcPr>
          <w:p>
            <w:pPr>
              <w:pStyle w:val="TableContents"/>
              <w:spacing w:before="0" w:after="283"/>
              <w:rPr/>
            </w:pPr>
            <w:r>
              <w:rPr/>
              <w:t> </w:t>
            </w:r>
          </w:p>
        </w:tc>
        <w:tc>
          <w:tcPr>
            <w:tcW w:w="710" w:type="dxa"/>
            <w:gridSpan w:val="2"/>
            <w:tcBorders>
              <w:top w:val="single" w:sz="6" w:space="0" w:color="000000"/>
              <w:bottom w:val="single" w:sz="6" w:space="0" w:color="000000"/>
            </w:tcBorders>
            <w:shd w:fill="auto" w:val="clear"/>
            <w:tcMar>
              <w:top w:w="28" w:type="dxa"/>
              <w:bottom w:w="28" w:type="dxa"/>
            </w:tcMar>
            <w:vAlign w:val="center"/>
          </w:tcPr>
          <w:p>
            <w:pPr>
              <w:pStyle w:val="TableContents"/>
              <w:spacing w:before="0" w:after="283"/>
              <w:jc w:val="center"/>
              <w:rPr>
                <w:b/>
              </w:rPr>
            </w:pPr>
            <w:r>
              <w:rPr>
                <w:b/>
              </w:rPr>
              <w:t>Target</w:t>
            </w:r>
          </w:p>
        </w:tc>
        <w:tc>
          <w:tcPr>
            <w:tcW w:w="60" w:type="dxa"/>
            <w:tcBorders>
              <w:top w:val="single" w:sz="6" w:space="0" w:color="000000"/>
              <w:bottom w:val="single" w:sz="6" w:space="0" w:color="000000"/>
            </w:tcBorders>
            <w:shd w:fill="auto" w:val="clear"/>
            <w:tcMar>
              <w:top w:w="28" w:type="dxa"/>
              <w:bottom w:w="28" w:type="dxa"/>
            </w:tcMar>
            <w:vAlign w:val="center"/>
          </w:tcPr>
          <w:p>
            <w:pPr>
              <w:pStyle w:val="TableContents"/>
              <w:spacing w:before="0" w:after="283"/>
              <w:rPr/>
            </w:pPr>
            <w:r>
              <w:rPr/>
              <w:t> </w:t>
            </w:r>
          </w:p>
        </w:tc>
        <w:tc>
          <w:tcPr>
            <w:tcW w:w="60" w:type="dxa"/>
            <w:tcBorders>
              <w:top w:val="single" w:sz="6" w:space="0" w:color="000000"/>
              <w:bottom w:val="single" w:sz="6" w:space="0" w:color="000000"/>
            </w:tcBorders>
            <w:shd w:fill="auto" w:val="clear"/>
            <w:tcMar>
              <w:top w:w="28" w:type="dxa"/>
              <w:bottom w:w="28" w:type="dxa"/>
            </w:tcMar>
            <w:vAlign w:val="center"/>
          </w:tcPr>
          <w:p>
            <w:pPr>
              <w:pStyle w:val="TableContents"/>
              <w:spacing w:before="0" w:after="283"/>
              <w:rPr/>
            </w:pPr>
            <w:r>
              <w:rPr/>
              <w:t> </w:t>
            </w:r>
          </w:p>
        </w:tc>
        <w:tc>
          <w:tcPr>
            <w:tcW w:w="860" w:type="dxa"/>
            <w:gridSpan w:val="2"/>
            <w:tcBorders>
              <w:top w:val="single" w:sz="6" w:space="0" w:color="000000"/>
              <w:bottom w:val="single" w:sz="6" w:space="0" w:color="000000"/>
            </w:tcBorders>
            <w:shd w:fill="auto" w:val="clear"/>
            <w:tcMar>
              <w:top w:w="28" w:type="dxa"/>
              <w:bottom w:w="28" w:type="dxa"/>
            </w:tcMar>
            <w:vAlign w:val="center"/>
          </w:tcPr>
          <w:p>
            <w:pPr>
              <w:pStyle w:val="TableContents"/>
              <w:spacing w:before="0" w:after="0"/>
              <w:jc w:val="center"/>
              <w:rPr>
                <w:rFonts w:ascii="ARIAL" w:hAnsi="ARIAL"/>
                <w:b/>
                <w:sz w:val="14"/>
              </w:rPr>
            </w:pPr>
            <w:r>
              <w:rPr>
                <w:rFonts w:ascii="ARIAL" w:hAnsi="ARIAL"/>
                <w:b/>
                <w:sz w:val="14"/>
              </w:rPr>
              <w:t>Performance</w:t>
            </w:r>
          </w:p>
          <w:p>
            <w:pPr>
              <w:pStyle w:val="TableContents"/>
              <w:spacing w:before="0" w:after="20"/>
              <w:jc w:val="center"/>
              <w:rPr>
                <w:rFonts w:ascii="ARIAL" w:hAnsi="ARIAL"/>
                <w:b/>
                <w:sz w:val="14"/>
              </w:rPr>
            </w:pPr>
            <w:r>
              <w:rPr>
                <w:rFonts w:ascii="ARIAL" w:hAnsi="ARIAL"/>
                <w:b/>
                <w:sz w:val="14"/>
              </w:rPr>
              <w:t>Improvement</w:t>
            </w:r>
          </w:p>
        </w:tc>
        <w:tc>
          <w:tcPr>
            <w:tcW w:w="60" w:type="dxa"/>
            <w:tcBorders>
              <w:top w:val="single" w:sz="6" w:space="0" w:color="000000"/>
              <w:bottom w:val="single" w:sz="6" w:space="0" w:color="000000"/>
            </w:tcBorders>
            <w:shd w:fill="auto" w:val="clear"/>
            <w:tcMar>
              <w:top w:w="28" w:type="dxa"/>
              <w:bottom w:w="28" w:type="dxa"/>
            </w:tcMar>
            <w:vAlign w:val="center"/>
          </w:tcPr>
          <w:p>
            <w:pPr>
              <w:pStyle w:val="TableContents"/>
              <w:spacing w:before="0" w:after="283"/>
              <w:rPr/>
            </w:pPr>
            <w:r>
              <w:rPr/>
              <w:t> </w:t>
            </w:r>
          </w:p>
        </w:tc>
        <w:tc>
          <w:tcPr>
            <w:tcW w:w="60" w:type="dxa"/>
            <w:tcBorders>
              <w:top w:val="single" w:sz="6" w:space="0" w:color="000000"/>
              <w:bottom w:val="single" w:sz="6" w:space="0" w:color="000000"/>
            </w:tcBorders>
            <w:shd w:fill="auto" w:val="clear"/>
            <w:tcMar>
              <w:top w:w="28" w:type="dxa"/>
              <w:bottom w:w="28" w:type="dxa"/>
            </w:tcMar>
            <w:vAlign w:val="center"/>
          </w:tcPr>
          <w:p>
            <w:pPr>
              <w:pStyle w:val="TableContents"/>
              <w:spacing w:before="0" w:after="283"/>
              <w:rPr/>
            </w:pPr>
            <w:r>
              <w:rPr/>
              <w:t> </w:t>
            </w:r>
          </w:p>
        </w:tc>
        <w:tc>
          <w:tcPr>
            <w:tcW w:w="1280" w:type="dxa"/>
            <w:gridSpan w:val="2"/>
            <w:tcBorders>
              <w:top w:val="single" w:sz="6" w:space="0" w:color="000000"/>
              <w:bottom w:val="single" w:sz="6" w:space="0" w:color="000000"/>
            </w:tcBorders>
            <w:shd w:fill="auto" w:val="clear"/>
            <w:tcMar>
              <w:top w:w="28" w:type="dxa"/>
              <w:bottom w:w="28" w:type="dxa"/>
            </w:tcMar>
            <w:vAlign w:val="center"/>
          </w:tcPr>
          <w:p>
            <w:pPr>
              <w:pStyle w:val="TableContents"/>
              <w:spacing w:before="0" w:after="283"/>
              <w:jc w:val="center"/>
              <w:rPr>
                <w:b/>
              </w:rPr>
            </w:pPr>
            <w:r>
              <w:rPr>
                <w:b/>
              </w:rPr>
              <w:t>Over-</w:t>
              <w:br/>
              <w:t>achievement</w:t>
            </w:r>
          </w:p>
        </w:tc>
        <w:tc>
          <w:tcPr>
            <w:tcW w:w="60" w:type="dxa"/>
            <w:tcBorders>
              <w:top w:val="single" w:sz="6" w:space="0" w:color="000000"/>
              <w:bottom w:val="single" w:sz="6" w:space="0" w:color="000000"/>
            </w:tcBorders>
            <w:shd w:fill="auto" w:val="clear"/>
            <w:tcMar>
              <w:top w:w="28" w:type="dxa"/>
              <w:bottom w:w="28" w:type="dxa"/>
            </w:tcMar>
            <w:vAlign w:val="center"/>
          </w:tcPr>
          <w:p>
            <w:pPr>
              <w:pStyle w:val="TableContents"/>
              <w:spacing w:before="0" w:after="283"/>
              <w:rPr/>
            </w:pPr>
            <w:r>
              <w:rPr/>
              <w:t> </w:t>
            </w:r>
          </w:p>
        </w:tc>
        <w:tc>
          <w:tcPr>
            <w:tcW w:w="120" w:type="dxa"/>
            <w:tcBorders>
              <w:top w:val="single" w:sz="6" w:space="0" w:color="000000"/>
              <w:bottom w:val="single" w:sz="6" w:space="0" w:color="000000"/>
            </w:tcBorders>
            <w:shd w:fill="auto" w:val="clear"/>
            <w:tcMar>
              <w:top w:w="28" w:type="dxa"/>
              <w:bottom w:w="28" w:type="dxa"/>
            </w:tcMar>
            <w:vAlign w:val="center"/>
          </w:tcPr>
          <w:p>
            <w:pPr>
              <w:pStyle w:val="TableContents"/>
              <w:spacing w:before="0" w:after="283"/>
              <w:rPr/>
            </w:pPr>
            <w:r>
              <w:rPr/>
              <w:t>  </w:t>
            </w:r>
          </w:p>
        </w:tc>
        <w:tc>
          <w:tcPr>
            <w:tcW w:w="545" w:type="dxa"/>
            <w:gridSpan w:val="2"/>
            <w:tcBorders>
              <w:top w:val="single" w:sz="6" w:space="0" w:color="000000"/>
              <w:bottom w:val="single" w:sz="6" w:space="0" w:color="000000"/>
            </w:tcBorders>
            <w:shd w:fill="auto" w:val="clear"/>
            <w:tcMar>
              <w:top w:w="28" w:type="dxa"/>
              <w:bottom w:w="28" w:type="dxa"/>
            </w:tcMar>
            <w:vAlign w:val="center"/>
          </w:tcPr>
          <w:p>
            <w:pPr>
              <w:pStyle w:val="TableContents"/>
              <w:spacing w:before="0" w:after="283"/>
              <w:jc w:val="center"/>
              <w:rPr>
                <w:b/>
              </w:rPr>
            </w:pPr>
            <w:r>
              <w:rPr>
                <w:b/>
              </w:rPr>
              <w:t>Max</w:t>
            </w:r>
          </w:p>
        </w:tc>
        <w:tc>
          <w:tcPr>
            <w:tcW w:w="75" w:type="dxa"/>
            <w:tcBorders>
              <w:top w:val="single" w:sz="6" w:space="0" w:color="000000"/>
              <w:bottom w:val="single" w:sz="6" w:space="0" w:color="000000"/>
              <w:right w:val="single" w:sz="6" w:space="0" w:color="000000"/>
            </w:tcBorders>
            <w:shd w:fill="auto" w:val="clear"/>
            <w:tcMar>
              <w:top w:w="28" w:type="dxa"/>
              <w:bottom w:w="28" w:type="dxa"/>
              <w:right w:w="40" w:type="dxa"/>
            </w:tcMar>
            <w:vAlign w:val="center"/>
          </w:tcPr>
          <w:p>
            <w:pPr>
              <w:pStyle w:val="TableContents"/>
              <w:spacing w:before="0" w:after="283"/>
              <w:rPr/>
            </w:pPr>
            <w:r>
              <w:rPr/>
              <w:t> </w:t>
            </w:r>
          </w:p>
        </w:tc>
      </w:tr>
      <w:tr>
        <w:trPr/>
        <w:tc>
          <w:tcPr>
            <w:tcW w:w="1795" w:type="dxa"/>
            <w:gridSpan w:val="4"/>
            <w:tcBorders>
              <w:left w:val="single" w:sz="6" w:space="0" w:color="000000"/>
            </w:tcBorders>
            <w:shd w:fill="D8D8D8" w:val="clear"/>
            <w:tcMar>
              <w:left w:w="160" w:type="dxa"/>
            </w:tcMar>
            <w:vAlign w:val="center"/>
          </w:tcPr>
          <w:p>
            <w:pPr>
              <w:pStyle w:val="TableContents"/>
              <w:spacing w:lineRule="atLeast" w:line="280" w:before="0" w:after="0"/>
              <w:rPr>
                <w:rFonts w:ascii="ARIAL" w:hAnsi="ARIAL"/>
                <w:b/>
                <w:sz w:val="16"/>
              </w:rPr>
            </w:pPr>
            <w:r>
              <w:rPr>
                <w:rFonts w:ascii="ARIAL" w:hAnsi="ARIAL"/>
                <w:b/>
                <w:sz w:val="16"/>
              </w:rPr>
              <w:t>CEO (Hingtgen)</w:t>
            </w:r>
          </w:p>
        </w:tc>
        <w:tc>
          <w:tcPr>
            <w:tcW w:w="60" w:type="dxa"/>
            <w:tcBorders/>
            <w:shd w:fill="D8D8D8" w:val="clear"/>
            <w:vAlign w:val="center"/>
          </w:tcPr>
          <w:p>
            <w:pPr>
              <w:pStyle w:val="TableContents"/>
              <w:spacing w:lineRule="atLeast" w:line="280" w:before="0" w:after="0"/>
              <w:rPr/>
            </w:pPr>
            <w:r>
              <w:rPr/>
              <w:t> </w:t>
            </w:r>
          </w:p>
        </w:tc>
        <w:tc>
          <w:tcPr>
            <w:tcW w:w="60" w:type="dxa"/>
            <w:tcBorders/>
            <w:shd w:fill="D8D8D8" w:val="clear"/>
            <w:vAlign w:val="center"/>
          </w:tcPr>
          <w:p>
            <w:pPr>
              <w:pStyle w:val="TableContents"/>
              <w:spacing w:before="0" w:after="283"/>
              <w:rPr/>
            </w:pPr>
            <w:r>
              <w:rPr/>
              <w:t> </w:t>
            </w:r>
          </w:p>
        </w:tc>
        <w:tc>
          <w:tcPr>
            <w:tcW w:w="312" w:type="dxa"/>
            <w:tcBorders/>
            <w:shd w:fill="D8D8D8" w:val="clear"/>
            <w:vAlign w:val="center"/>
          </w:tcPr>
          <w:p>
            <w:pPr>
              <w:pStyle w:val="TableContents"/>
              <w:spacing w:before="0" w:after="283"/>
              <w:rPr>
                <w:sz w:val="4"/>
                <w:szCs w:val="4"/>
              </w:rPr>
            </w:pPr>
            <w:r>
              <w:rPr>
                <w:sz w:val="4"/>
                <w:szCs w:val="4"/>
              </w:rPr>
            </w:r>
          </w:p>
        </w:tc>
        <w:tc>
          <w:tcPr>
            <w:tcW w:w="1043" w:type="dxa"/>
            <w:tcBorders/>
            <w:shd w:fill="D8D8D8" w:val="clear"/>
            <w:vAlign w:val="center"/>
          </w:tcPr>
          <w:p>
            <w:pPr>
              <w:pStyle w:val="TableContents"/>
              <w:spacing w:before="0" w:after="283"/>
              <w:rPr>
                <w:sz w:val="4"/>
                <w:szCs w:val="4"/>
              </w:rPr>
            </w:pPr>
            <w:r>
              <w:rPr>
                <w:sz w:val="4"/>
                <w:szCs w:val="4"/>
              </w:rPr>
            </w:r>
          </w:p>
        </w:tc>
        <w:tc>
          <w:tcPr>
            <w:tcW w:w="60" w:type="dxa"/>
            <w:tcBorders/>
            <w:shd w:fill="D8D8D8" w:val="clear"/>
            <w:vAlign w:val="center"/>
          </w:tcPr>
          <w:p>
            <w:pPr>
              <w:pStyle w:val="TableContents"/>
              <w:spacing w:before="0" w:after="283"/>
              <w:rPr>
                <w:sz w:val="4"/>
                <w:szCs w:val="4"/>
              </w:rPr>
            </w:pPr>
            <w:r>
              <w:rPr>
                <w:sz w:val="4"/>
                <w:szCs w:val="4"/>
              </w:rPr>
            </w:r>
          </w:p>
        </w:tc>
        <w:tc>
          <w:tcPr>
            <w:tcW w:w="60" w:type="dxa"/>
            <w:tcBorders/>
            <w:shd w:fill="D8D8D8" w:val="clear"/>
            <w:vAlign w:val="center"/>
          </w:tcPr>
          <w:p>
            <w:pPr>
              <w:pStyle w:val="TableContents"/>
              <w:spacing w:before="0" w:after="283"/>
              <w:rPr/>
            </w:pPr>
            <w:r>
              <w:rPr/>
              <w:t> </w:t>
            </w:r>
          </w:p>
        </w:tc>
        <w:tc>
          <w:tcPr>
            <w:tcW w:w="128" w:type="dxa"/>
            <w:tcBorders/>
            <w:shd w:fill="D8D8D8" w:val="clear"/>
            <w:vAlign w:val="center"/>
          </w:tcPr>
          <w:p>
            <w:pPr>
              <w:pStyle w:val="TableContents"/>
              <w:spacing w:before="0" w:after="283"/>
              <w:rPr>
                <w:sz w:val="4"/>
                <w:szCs w:val="4"/>
              </w:rPr>
            </w:pPr>
            <w:r>
              <w:rPr>
                <w:sz w:val="4"/>
                <w:szCs w:val="4"/>
              </w:rPr>
            </w:r>
          </w:p>
        </w:tc>
        <w:tc>
          <w:tcPr>
            <w:tcW w:w="717" w:type="dxa"/>
            <w:tcBorders/>
            <w:shd w:fill="D8D8D8" w:val="clear"/>
            <w:vAlign w:val="center"/>
          </w:tcPr>
          <w:p>
            <w:pPr>
              <w:pStyle w:val="TableContents"/>
              <w:spacing w:before="0" w:after="283"/>
              <w:rPr>
                <w:sz w:val="4"/>
                <w:szCs w:val="4"/>
              </w:rPr>
            </w:pPr>
            <w:r>
              <w:rPr>
                <w:sz w:val="4"/>
                <w:szCs w:val="4"/>
              </w:rPr>
            </w:r>
          </w:p>
        </w:tc>
        <w:tc>
          <w:tcPr>
            <w:tcW w:w="60" w:type="dxa"/>
            <w:tcBorders/>
            <w:shd w:fill="D8D8D8" w:val="clear"/>
            <w:vAlign w:val="center"/>
          </w:tcPr>
          <w:p>
            <w:pPr>
              <w:pStyle w:val="TableContents"/>
              <w:spacing w:before="0" w:after="283"/>
              <w:rPr>
                <w:sz w:val="4"/>
                <w:szCs w:val="4"/>
              </w:rPr>
            </w:pPr>
            <w:r>
              <w:rPr>
                <w:sz w:val="4"/>
                <w:szCs w:val="4"/>
              </w:rPr>
            </w:r>
          </w:p>
        </w:tc>
        <w:tc>
          <w:tcPr>
            <w:tcW w:w="60" w:type="dxa"/>
            <w:tcBorders/>
            <w:shd w:fill="D8D8D8" w:val="clear"/>
            <w:vAlign w:val="center"/>
          </w:tcPr>
          <w:p>
            <w:pPr>
              <w:pStyle w:val="TableContents"/>
              <w:spacing w:before="0" w:after="283"/>
              <w:rPr/>
            </w:pPr>
            <w:r>
              <w:rPr/>
              <w:t> </w:t>
            </w:r>
          </w:p>
        </w:tc>
        <w:tc>
          <w:tcPr>
            <w:tcW w:w="219" w:type="dxa"/>
            <w:tcBorders/>
            <w:shd w:fill="D8D8D8" w:val="clear"/>
            <w:vAlign w:val="center"/>
          </w:tcPr>
          <w:p>
            <w:pPr>
              <w:pStyle w:val="TableContents"/>
              <w:spacing w:before="0" w:after="283"/>
              <w:rPr>
                <w:sz w:val="4"/>
                <w:szCs w:val="4"/>
              </w:rPr>
            </w:pPr>
            <w:r>
              <w:rPr>
                <w:sz w:val="4"/>
                <w:szCs w:val="4"/>
              </w:rPr>
            </w:r>
          </w:p>
        </w:tc>
        <w:tc>
          <w:tcPr>
            <w:tcW w:w="731" w:type="dxa"/>
            <w:tcBorders/>
            <w:shd w:fill="D8D8D8" w:val="clear"/>
            <w:vAlign w:val="center"/>
          </w:tcPr>
          <w:p>
            <w:pPr>
              <w:pStyle w:val="TableContents"/>
              <w:spacing w:before="0" w:after="283"/>
              <w:rPr>
                <w:sz w:val="4"/>
                <w:szCs w:val="4"/>
              </w:rPr>
            </w:pPr>
            <w:r>
              <w:rPr>
                <w:sz w:val="4"/>
                <w:szCs w:val="4"/>
              </w:rPr>
            </w:r>
          </w:p>
        </w:tc>
        <w:tc>
          <w:tcPr>
            <w:tcW w:w="60" w:type="dxa"/>
            <w:tcBorders/>
            <w:shd w:fill="D8D8D8" w:val="clear"/>
            <w:vAlign w:val="center"/>
          </w:tcPr>
          <w:p>
            <w:pPr>
              <w:pStyle w:val="TableContents"/>
              <w:spacing w:before="0" w:after="283"/>
              <w:rPr>
                <w:sz w:val="4"/>
                <w:szCs w:val="4"/>
              </w:rPr>
            </w:pPr>
            <w:r>
              <w:rPr>
                <w:sz w:val="4"/>
                <w:szCs w:val="4"/>
              </w:rPr>
            </w:r>
          </w:p>
        </w:tc>
        <w:tc>
          <w:tcPr>
            <w:tcW w:w="60" w:type="dxa"/>
            <w:tcBorders/>
            <w:shd w:fill="D8D8D8" w:val="clear"/>
            <w:vAlign w:val="center"/>
          </w:tcPr>
          <w:p>
            <w:pPr>
              <w:pStyle w:val="TableContents"/>
              <w:spacing w:before="0" w:after="283"/>
              <w:rPr/>
            </w:pPr>
            <w:r>
              <w:rPr/>
              <w:t> </w:t>
            </w:r>
          </w:p>
        </w:tc>
        <w:tc>
          <w:tcPr>
            <w:tcW w:w="107" w:type="dxa"/>
            <w:tcBorders/>
            <w:shd w:fill="D8D8D8" w:val="clear"/>
            <w:vAlign w:val="center"/>
          </w:tcPr>
          <w:p>
            <w:pPr>
              <w:pStyle w:val="TableContents"/>
              <w:spacing w:before="0" w:after="283"/>
              <w:rPr>
                <w:sz w:val="4"/>
                <w:szCs w:val="4"/>
              </w:rPr>
            </w:pPr>
            <w:r>
              <w:rPr>
                <w:sz w:val="4"/>
                <w:szCs w:val="4"/>
              </w:rPr>
            </w:r>
          </w:p>
        </w:tc>
        <w:tc>
          <w:tcPr>
            <w:tcW w:w="603" w:type="dxa"/>
            <w:tcBorders/>
            <w:shd w:fill="D8D8D8" w:val="clear"/>
            <w:vAlign w:val="center"/>
          </w:tcPr>
          <w:p>
            <w:pPr>
              <w:pStyle w:val="TableContents"/>
              <w:spacing w:before="0" w:after="283"/>
              <w:rPr>
                <w:sz w:val="4"/>
                <w:szCs w:val="4"/>
              </w:rPr>
            </w:pPr>
            <w:r>
              <w:rPr>
                <w:sz w:val="4"/>
                <w:szCs w:val="4"/>
              </w:rPr>
            </w:r>
          </w:p>
        </w:tc>
        <w:tc>
          <w:tcPr>
            <w:tcW w:w="60" w:type="dxa"/>
            <w:tcBorders/>
            <w:shd w:fill="D8D8D8" w:val="clear"/>
            <w:vAlign w:val="center"/>
          </w:tcPr>
          <w:p>
            <w:pPr>
              <w:pStyle w:val="TableContents"/>
              <w:spacing w:before="0" w:after="283"/>
              <w:rPr>
                <w:sz w:val="4"/>
                <w:szCs w:val="4"/>
              </w:rPr>
            </w:pPr>
            <w:r>
              <w:rPr>
                <w:sz w:val="4"/>
                <w:szCs w:val="4"/>
              </w:rPr>
            </w:r>
          </w:p>
        </w:tc>
        <w:tc>
          <w:tcPr>
            <w:tcW w:w="60" w:type="dxa"/>
            <w:tcBorders/>
            <w:shd w:fill="D8D8D8" w:val="clear"/>
            <w:vAlign w:val="center"/>
          </w:tcPr>
          <w:p>
            <w:pPr>
              <w:pStyle w:val="TableContents"/>
              <w:spacing w:before="0" w:after="283"/>
              <w:rPr/>
            </w:pPr>
            <w:r>
              <w:rPr/>
              <w:t> </w:t>
            </w:r>
          </w:p>
        </w:tc>
        <w:tc>
          <w:tcPr>
            <w:tcW w:w="198" w:type="dxa"/>
            <w:tcBorders/>
            <w:shd w:fill="D8D8D8" w:val="clear"/>
            <w:vAlign w:val="center"/>
          </w:tcPr>
          <w:p>
            <w:pPr>
              <w:pStyle w:val="TableContents"/>
              <w:spacing w:before="0" w:after="283"/>
              <w:rPr>
                <w:sz w:val="4"/>
                <w:szCs w:val="4"/>
              </w:rPr>
            </w:pPr>
            <w:r>
              <w:rPr>
                <w:sz w:val="4"/>
                <w:szCs w:val="4"/>
              </w:rPr>
            </w:r>
          </w:p>
        </w:tc>
        <w:tc>
          <w:tcPr>
            <w:tcW w:w="662" w:type="dxa"/>
            <w:tcBorders/>
            <w:shd w:fill="D8D8D8" w:val="clear"/>
            <w:vAlign w:val="center"/>
          </w:tcPr>
          <w:p>
            <w:pPr>
              <w:pStyle w:val="TableContents"/>
              <w:spacing w:before="0" w:after="283"/>
              <w:rPr>
                <w:sz w:val="4"/>
                <w:szCs w:val="4"/>
              </w:rPr>
            </w:pPr>
            <w:r>
              <w:rPr>
                <w:sz w:val="4"/>
                <w:szCs w:val="4"/>
              </w:rPr>
            </w:r>
          </w:p>
        </w:tc>
        <w:tc>
          <w:tcPr>
            <w:tcW w:w="60" w:type="dxa"/>
            <w:tcBorders/>
            <w:shd w:fill="D8D8D8" w:val="clear"/>
            <w:vAlign w:val="center"/>
          </w:tcPr>
          <w:p>
            <w:pPr>
              <w:pStyle w:val="TableContents"/>
              <w:spacing w:before="0" w:after="283"/>
              <w:rPr>
                <w:sz w:val="4"/>
                <w:szCs w:val="4"/>
              </w:rPr>
            </w:pPr>
            <w:r>
              <w:rPr>
                <w:sz w:val="4"/>
                <w:szCs w:val="4"/>
              </w:rPr>
            </w:r>
          </w:p>
        </w:tc>
        <w:tc>
          <w:tcPr>
            <w:tcW w:w="60" w:type="dxa"/>
            <w:tcBorders/>
            <w:shd w:fill="D8D8D8" w:val="clear"/>
            <w:vAlign w:val="center"/>
          </w:tcPr>
          <w:p>
            <w:pPr>
              <w:pStyle w:val="TableContents"/>
              <w:spacing w:before="0" w:after="283"/>
              <w:rPr/>
            </w:pPr>
            <w:r>
              <w:rPr/>
              <w:t> </w:t>
            </w:r>
          </w:p>
        </w:tc>
        <w:tc>
          <w:tcPr>
            <w:tcW w:w="295" w:type="dxa"/>
            <w:tcBorders/>
            <w:shd w:fill="D8D8D8" w:val="clear"/>
            <w:vAlign w:val="center"/>
          </w:tcPr>
          <w:p>
            <w:pPr>
              <w:pStyle w:val="TableContents"/>
              <w:spacing w:before="0" w:after="283"/>
              <w:rPr>
                <w:sz w:val="4"/>
                <w:szCs w:val="4"/>
              </w:rPr>
            </w:pPr>
            <w:r>
              <w:rPr>
                <w:sz w:val="4"/>
                <w:szCs w:val="4"/>
              </w:rPr>
            </w:r>
          </w:p>
        </w:tc>
        <w:tc>
          <w:tcPr>
            <w:tcW w:w="985" w:type="dxa"/>
            <w:tcBorders/>
            <w:shd w:fill="D8D8D8" w:val="clear"/>
            <w:vAlign w:val="center"/>
          </w:tcPr>
          <w:p>
            <w:pPr>
              <w:pStyle w:val="TableContents"/>
              <w:spacing w:before="0" w:after="283"/>
              <w:rPr>
                <w:sz w:val="4"/>
                <w:szCs w:val="4"/>
              </w:rPr>
            </w:pPr>
            <w:r>
              <w:rPr>
                <w:sz w:val="4"/>
                <w:szCs w:val="4"/>
              </w:rPr>
            </w:r>
          </w:p>
        </w:tc>
        <w:tc>
          <w:tcPr>
            <w:tcW w:w="60" w:type="dxa"/>
            <w:tcBorders/>
            <w:shd w:fill="D8D8D8" w:val="clear"/>
            <w:vAlign w:val="center"/>
          </w:tcPr>
          <w:p>
            <w:pPr>
              <w:pStyle w:val="TableContents"/>
              <w:spacing w:before="0" w:after="283"/>
              <w:rPr>
                <w:sz w:val="4"/>
                <w:szCs w:val="4"/>
              </w:rPr>
            </w:pPr>
            <w:r>
              <w:rPr>
                <w:sz w:val="4"/>
                <w:szCs w:val="4"/>
              </w:rPr>
            </w:r>
          </w:p>
        </w:tc>
        <w:tc>
          <w:tcPr>
            <w:tcW w:w="120" w:type="dxa"/>
            <w:tcBorders/>
            <w:shd w:fill="D8D8D8" w:val="clear"/>
            <w:vAlign w:val="center"/>
          </w:tcPr>
          <w:p>
            <w:pPr>
              <w:pStyle w:val="TableContents"/>
              <w:spacing w:before="0" w:after="283"/>
              <w:rPr/>
            </w:pPr>
            <w:r>
              <w:rPr/>
              <w:t>  </w:t>
            </w:r>
          </w:p>
        </w:tc>
        <w:tc>
          <w:tcPr>
            <w:tcW w:w="60" w:type="dxa"/>
            <w:tcBorders/>
            <w:shd w:fill="D8D8D8" w:val="clear"/>
            <w:vAlign w:val="center"/>
          </w:tcPr>
          <w:p>
            <w:pPr>
              <w:pStyle w:val="TableContents"/>
              <w:spacing w:before="0" w:after="283"/>
              <w:rPr>
                <w:sz w:val="4"/>
                <w:szCs w:val="4"/>
              </w:rPr>
            </w:pPr>
            <w:r>
              <w:rPr>
                <w:sz w:val="4"/>
                <w:szCs w:val="4"/>
              </w:rPr>
            </w:r>
          </w:p>
        </w:tc>
        <w:tc>
          <w:tcPr>
            <w:tcW w:w="485" w:type="dxa"/>
            <w:tcBorders/>
            <w:shd w:fill="D8D8D8" w:val="clear"/>
            <w:vAlign w:val="center"/>
          </w:tcPr>
          <w:p>
            <w:pPr>
              <w:pStyle w:val="TableContents"/>
              <w:spacing w:before="0" w:after="283"/>
              <w:rPr>
                <w:sz w:val="4"/>
                <w:szCs w:val="4"/>
              </w:rPr>
            </w:pPr>
            <w:r>
              <w:rPr>
                <w:sz w:val="4"/>
                <w:szCs w:val="4"/>
              </w:rPr>
            </w:r>
          </w:p>
        </w:tc>
        <w:tc>
          <w:tcPr>
            <w:tcW w:w="75" w:type="dxa"/>
            <w:tcBorders>
              <w:right w:val="single" w:sz="6" w:space="0" w:color="000000"/>
            </w:tcBorders>
            <w:shd w:fill="D8D8D8" w:val="clear"/>
            <w:tcMar>
              <w:right w:w="40" w:type="dxa"/>
            </w:tcMar>
            <w:vAlign w:val="center"/>
          </w:tcPr>
          <w:p>
            <w:pPr>
              <w:pStyle w:val="TableContents"/>
              <w:spacing w:before="0" w:after="283"/>
              <w:rPr/>
            </w:pPr>
            <w:r>
              <w:rPr/>
              <w:t> </w:t>
            </w:r>
          </w:p>
        </w:tc>
      </w:tr>
      <w:tr>
        <w:trPr/>
        <w:tc>
          <w:tcPr>
            <w:tcW w:w="890" w:type="dxa"/>
            <w:tcBorders>
              <w:left w:val="single" w:sz="6" w:space="0" w:color="000000"/>
              <w:bottom w:val="single" w:sz="6" w:space="0" w:color="000000"/>
            </w:tcBorders>
            <w:shd w:fill="auto" w:val="clear"/>
            <w:tcMar>
              <w:left w:w="160" w:type="dxa"/>
              <w:bottom w:w="28" w:type="dxa"/>
            </w:tcMar>
            <w:vAlign w:val="center"/>
          </w:tcPr>
          <w:p>
            <w:pPr>
              <w:pStyle w:val="TableContents"/>
              <w:spacing w:lineRule="atLeast" w:line="280" w:before="0" w:after="0"/>
              <w:rPr>
                <w:rFonts w:ascii="ARIAL" w:hAnsi="ARIAL"/>
                <w:sz w:val="16"/>
              </w:rPr>
            </w:pPr>
            <w:r>
              <w:rPr>
                <w:rFonts w:ascii="ARIAL" w:hAnsi="ARIAL"/>
                <w:sz w:val="16"/>
              </w:rPr>
              <w:t>Opportunity</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144" w:type="dxa"/>
            <w:tcBorders>
              <w:bottom w:val="single" w:sz="6" w:space="0" w:color="000000"/>
            </w:tcBorders>
            <w:shd w:fill="auto" w:val="clear"/>
            <w:tcMar>
              <w:bottom w:w="28" w:type="dxa"/>
            </w:tcMar>
            <w:vAlign w:val="center"/>
          </w:tcPr>
          <w:p>
            <w:pPr>
              <w:pStyle w:val="TableContents"/>
              <w:spacing w:lineRule="atLeast" w:line="280" w:before="0" w:after="0"/>
              <w:rPr/>
            </w:pPr>
            <w:r>
              <w:rPr/>
              <w:t> </w:t>
            </w:r>
          </w:p>
        </w:tc>
        <w:tc>
          <w:tcPr>
            <w:tcW w:w="701" w:type="dxa"/>
            <w:tcBorders>
              <w:bottom w:val="single" w:sz="6" w:space="0" w:color="000000"/>
            </w:tcBorders>
            <w:shd w:fill="auto" w:val="clear"/>
            <w:tcMar>
              <w:bottom w:w="28" w:type="dxa"/>
            </w:tcMar>
            <w:vAlign w:val="center"/>
          </w:tcPr>
          <w:p>
            <w:pPr>
              <w:pStyle w:val="TableContents"/>
              <w:spacing w:lineRule="atLeast" w:line="280" w:before="0" w:after="0"/>
              <w:jc w:val="right"/>
              <w:rPr>
                <w:rFonts w:ascii="ARIAL" w:hAnsi="ARIAL"/>
                <w:sz w:val="16"/>
              </w:rPr>
            </w:pPr>
            <w:r>
              <w:rPr>
                <w:rFonts w:ascii="ARIAL" w:hAnsi="ARIAL"/>
                <w:sz w:val="16"/>
              </w:rPr>
              <w:t>160%</w:t>
            </w:r>
          </w:p>
        </w:tc>
        <w:tc>
          <w:tcPr>
            <w:tcW w:w="60" w:type="dxa"/>
            <w:tcBorders>
              <w:bottom w:val="single" w:sz="6" w:space="0" w:color="000000"/>
            </w:tcBorders>
            <w:shd w:fill="auto" w:val="clear"/>
            <w:tcMar>
              <w:bottom w:w="28" w:type="dxa"/>
            </w:tcMar>
            <w:vAlign w:val="center"/>
          </w:tcPr>
          <w:p>
            <w:pPr>
              <w:pStyle w:val="TableContents"/>
              <w:spacing w:lineRule="atLeast" w:line="280" w:before="0" w:after="0"/>
              <w:rPr/>
            </w:pPr>
            <w:r>
              <w:rPr/>
              <w:t> </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312" w:type="dxa"/>
            <w:tcBorders>
              <w:bottom w:val="single" w:sz="6" w:space="0" w:color="000000"/>
            </w:tcBorders>
            <w:shd w:fill="auto" w:val="clear"/>
            <w:tcMar>
              <w:bottom w:w="28" w:type="dxa"/>
            </w:tcMar>
            <w:vAlign w:val="center"/>
          </w:tcPr>
          <w:p>
            <w:pPr>
              <w:pStyle w:val="TableContents"/>
              <w:spacing w:lineRule="atLeast" w:line="280" w:before="0" w:after="0"/>
              <w:rPr/>
            </w:pPr>
            <w:r>
              <w:rPr/>
              <w:t> </w:t>
            </w:r>
          </w:p>
        </w:tc>
        <w:tc>
          <w:tcPr>
            <w:tcW w:w="1043" w:type="dxa"/>
            <w:tcBorders>
              <w:bottom w:val="single" w:sz="6" w:space="0" w:color="000000"/>
            </w:tcBorders>
            <w:shd w:fill="auto" w:val="clear"/>
            <w:tcMar>
              <w:bottom w:w="28" w:type="dxa"/>
            </w:tcMar>
            <w:vAlign w:val="center"/>
          </w:tcPr>
          <w:p>
            <w:pPr>
              <w:pStyle w:val="TableContents"/>
              <w:spacing w:lineRule="atLeast" w:line="280" w:before="0" w:after="0"/>
              <w:jc w:val="right"/>
              <w:rPr>
                <w:rFonts w:ascii="ARIAL" w:hAnsi="ARIAL"/>
                <w:sz w:val="16"/>
              </w:rPr>
            </w:pPr>
            <w:r>
              <w:rPr>
                <w:rFonts w:ascii="ARIAL" w:hAnsi="ARIAL"/>
                <w:sz w:val="16"/>
              </w:rPr>
              <w:t>30%</w:t>
            </w:r>
          </w:p>
        </w:tc>
        <w:tc>
          <w:tcPr>
            <w:tcW w:w="60" w:type="dxa"/>
            <w:tcBorders>
              <w:bottom w:val="single" w:sz="6" w:space="0" w:color="000000"/>
            </w:tcBorders>
            <w:shd w:fill="auto" w:val="clear"/>
            <w:tcMar>
              <w:bottom w:w="28" w:type="dxa"/>
            </w:tcMar>
            <w:vAlign w:val="center"/>
          </w:tcPr>
          <w:p>
            <w:pPr>
              <w:pStyle w:val="TableContents"/>
              <w:spacing w:lineRule="atLeast" w:line="280" w:before="0" w:after="0"/>
              <w:rPr/>
            </w:pPr>
            <w:r>
              <w:rPr/>
              <w:t> </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128" w:type="dxa"/>
            <w:tcBorders>
              <w:bottom w:val="single" w:sz="6" w:space="0" w:color="000000"/>
            </w:tcBorders>
            <w:shd w:fill="auto" w:val="clear"/>
            <w:tcMar>
              <w:bottom w:w="28" w:type="dxa"/>
            </w:tcMar>
            <w:vAlign w:val="center"/>
          </w:tcPr>
          <w:p>
            <w:pPr>
              <w:pStyle w:val="TableContents"/>
              <w:spacing w:lineRule="atLeast" w:line="280" w:before="0" w:after="0"/>
              <w:rPr/>
            </w:pPr>
            <w:r>
              <w:rPr/>
              <w:t> </w:t>
            </w:r>
          </w:p>
        </w:tc>
        <w:tc>
          <w:tcPr>
            <w:tcW w:w="717" w:type="dxa"/>
            <w:tcBorders>
              <w:bottom w:val="single" w:sz="6" w:space="0" w:color="000000"/>
            </w:tcBorders>
            <w:shd w:fill="auto" w:val="clear"/>
            <w:tcMar>
              <w:bottom w:w="28" w:type="dxa"/>
            </w:tcMar>
            <w:vAlign w:val="center"/>
          </w:tcPr>
          <w:p>
            <w:pPr>
              <w:pStyle w:val="TableContents"/>
              <w:spacing w:lineRule="atLeast" w:line="280" w:before="0" w:after="0"/>
              <w:jc w:val="right"/>
              <w:rPr>
                <w:rFonts w:ascii="ARIAL" w:hAnsi="ARIAL"/>
                <w:sz w:val="16"/>
              </w:rPr>
            </w:pPr>
            <w:r>
              <w:rPr>
                <w:rFonts w:ascii="ARIAL" w:hAnsi="ARIAL"/>
                <w:sz w:val="16"/>
              </w:rPr>
              <w:t>25%</w:t>
            </w:r>
          </w:p>
        </w:tc>
        <w:tc>
          <w:tcPr>
            <w:tcW w:w="60" w:type="dxa"/>
            <w:tcBorders>
              <w:bottom w:val="single" w:sz="6" w:space="0" w:color="000000"/>
            </w:tcBorders>
            <w:shd w:fill="auto" w:val="clear"/>
            <w:tcMar>
              <w:bottom w:w="28" w:type="dxa"/>
            </w:tcMar>
            <w:vAlign w:val="center"/>
          </w:tcPr>
          <w:p>
            <w:pPr>
              <w:pStyle w:val="TableContents"/>
              <w:spacing w:lineRule="atLeast" w:line="280" w:before="0" w:after="0"/>
              <w:rPr/>
            </w:pPr>
            <w:r>
              <w:rPr/>
              <w:t> </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219" w:type="dxa"/>
            <w:tcBorders>
              <w:bottom w:val="single" w:sz="6" w:space="0" w:color="000000"/>
            </w:tcBorders>
            <w:shd w:fill="auto" w:val="clear"/>
            <w:tcMar>
              <w:bottom w:w="28" w:type="dxa"/>
            </w:tcMar>
            <w:vAlign w:val="center"/>
          </w:tcPr>
          <w:p>
            <w:pPr>
              <w:pStyle w:val="TableContents"/>
              <w:spacing w:lineRule="atLeast" w:line="280" w:before="0" w:after="0"/>
              <w:rPr/>
            </w:pPr>
            <w:r>
              <w:rPr/>
              <w:t> </w:t>
            </w:r>
          </w:p>
        </w:tc>
        <w:tc>
          <w:tcPr>
            <w:tcW w:w="731" w:type="dxa"/>
            <w:tcBorders>
              <w:bottom w:val="single" w:sz="6" w:space="0" w:color="000000"/>
            </w:tcBorders>
            <w:shd w:fill="auto" w:val="clear"/>
            <w:tcMar>
              <w:bottom w:w="28" w:type="dxa"/>
            </w:tcMar>
            <w:vAlign w:val="center"/>
          </w:tcPr>
          <w:p>
            <w:pPr>
              <w:pStyle w:val="TableContents"/>
              <w:spacing w:lineRule="atLeast" w:line="280" w:before="0" w:after="0"/>
              <w:jc w:val="right"/>
              <w:rPr>
                <w:rFonts w:ascii="ARIAL" w:hAnsi="ARIAL"/>
                <w:sz w:val="16"/>
              </w:rPr>
            </w:pPr>
            <w:r>
              <w:rPr>
                <w:rFonts w:ascii="ARIAL" w:hAnsi="ARIAL"/>
                <w:sz w:val="16"/>
              </w:rPr>
              <w:t>10%</w:t>
            </w:r>
          </w:p>
        </w:tc>
        <w:tc>
          <w:tcPr>
            <w:tcW w:w="60" w:type="dxa"/>
            <w:tcBorders>
              <w:bottom w:val="single" w:sz="6" w:space="0" w:color="000000"/>
            </w:tcBorders>
            <w:shd w:fill="auto" w:val="clear"/>
            <w:tcMar>
              <w:bottom w:w="28" w:type="dxa"/>
            </w:tcMar>
            <w:vAlign w:val="center"/>
          </w:tcPr>
          <w:p>
            <w:pPr>
              <w:pStyle w:val="TableContents"/>
              <w:spacing w:lineRule="atLeast" w:line="280" w:before="0" w:after="0"/>
              <w:rPr/>
            </w:pPr>
            <w:r>
              <w:rPr/>
              <w:t> </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107" w:type="dxa"/>
            <w:tcBorders>
              <w:bottom w:val="single" w:sz="6" w:space="0" w:color="000000"/>
            </w:tcBorders>
            <w:shd w:fill="auto" w:val="clear"/>
            <w:tcMar>
              <w:bottom w:w="28" w:type="dxa"/>
            </w:tcMar>
            <w:vAlign w:val="center"/>
          </w:tcPr>
          <w:p>
            <w:pPr>
              <w:pStyle w:val="TableContents"/>
              <w:spacing w:lineRule="atLeast" w:line="280" w:before="0" w:after="0"/>
              <w:rPr/>
            </w:pPr>
            <w:r>
              <w:rPr/>
              <w:t> </w:t>
            </w:r>
          </w:p>
        </w:tc>
        <w:tc>
          <w:tcPr>
            <w:tcW w:w="603" w:type="dxa"/>
            <w:tcBorders>
              <w:bottom w:val="single" w:sz="6" w:space="0" w:color="000000"/>
            </w:tcBorders>
            <w:shd w:fill="auto" w:val="clear"/>
            <w:tcMar>
              <w:bottom w:w="28" w:type="dxa"/>
            </w:tcMar>
            <w:vAlign w:val="center"/>
          </w:tcPr>
          <w:p>
            <w:pPr>
              <w:pStyle w:val="TableContents"/>
              <w:spacing w:lineRule="atLeast" w:line="280" w:before="0" w:after="0"/>
              <w:jc w:val="right"/>
              <w:rPr>
                <w:rFonts w:ascii="ARIAL" w:hAnsi="ARIAL"/>
                <w:sz w:val="16"/>
              </w:rPr>
            </w:pPr>
            <w:r>
              <w:rPr>
                <w:rFonts w:ascii="ARIAL" w:hAnsi="ARIAL"/>
                <w:sz w:val="16"/>
              </w:rPr>
              <w:t>225%</w:t>
            </w:r>
          </w:p>
        </w:tc>
        <w:tc>
          <w:tcPr>
            <w:tcW w:w="60" w:type="dxa"/>
            <w:tcBorders>
              <w:bottom w:val="single" w:sz="6" w:space="0" w:color="000000"/>
            </w:tcBorders>
            <w:shd w:fill="auto" w:val="clear"/>
            <w:tcMar>
              <w:bottom w:w="28" w:type="dxa"/>
            </w:tcMar>
            <w:vAlign w:val="center"/>
          </w:tcPr>
          <w:p>
            <w:pPr>
              <w:pStyle w:val="TableContents"/>
              <w:spacing w:lineRule="atLeast" w:line="280" w:before="0" w:after="0"/>
              <w:rPr/>
            </w:pPr>
            <w:r>
              <w:rPr/>
              <w:t> </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198" w:type="dxa"/>
            <w:tcBorders>
              <w:bottom w:val="single" w:sz="6" w:space="0" w:color="000000"/>
            </w:tcBorders>
            <w:shd w:fill="auto" w:val="clear"/>
            <w:tcMar>
              <w:bottom w:w="28" w:type="dxa"/>
            </w:tcMar>
            <w:vAlign w:val="center"/>
          </w:tcPr>
          <w:p>
            <w:pPr>
              <w:pStyle w:val="TableContents"/>
              <w:spacing w:lineRule="atLeast" w:line="280" w:before="0" w:after="0"/>
              <w:rPr/>
            </w:pPr>
            <w:r>
              <w:rPr/>
              <w:t> </w:t>
            </w:r>
          </w:p>
        </w:tc>
        <w:tc>
          <w:tcPr>
            <w:tcW w:w="662" w:type="dxa"/>
            <w:tcBorders>
              <w:bottom w:val="single" w:sz="6" w:space="0" w:color="000000"/>
            </w:tcBorders>
            <w:shd w:fill="auto" w:val="clear"/>
            <w:tcMar>
              <w:bottom w:w="28" w:type="dxa"/>
            </w:tcMar>
            <w:vAlign w:val="center"/>
          </w:tcPr>
          <w:p>
            <w:pPr>
              <w:pStyle w:val="TableContents"/>
              <w:spacing w:lineRule="atLeast" w:line="280" w:before="0" w:after="0"/>
              <w:jc w:val="right"/>
              <w:rPr>
                <w:rFonts w:ascii="ARIAL" w:hAnsi="ARIAL"/>
                <w:sz w:val="16"/>
              </w:rPr>
            </w:pPr>
            <w:r>
              <w:rPr>
                <w:rFonts w:ascii="ARIAL" w:hAnsi="ARIAL"/>
                <w:sz w:val="16"/>
              </w:rPr>
              <w:t>40%</w:t>
            </w:r>
          </w:p>
        </w:tc>
        <w:tc>
          <w:tcPr>
            <w:tcW w:w="60" w:type="dxa"/>
            <w:tcBorders>
              <w:bottom w:val="single" w:sz="6" w:space="0" w:color="000000"/>
            </w:tcBorders>
            <w:shd w:fill="auto" w:val="clear"/>
            <w:tcMar>
              <w:bottom w:w="28" w:type="dxa"/>
            </w:tcMar>
            <w:vAlign w:val="center"/>
          </w:tcPr>
          <w:p>
            <w:pPr>
              <w:pStyle w:val="TableContents"/>
              <w:spacing w:lineRule="atLeast" w:line="280" w:before="0" w:after="0"/>
              <w:rPr/>
            </w:pPr>
            <w:r>
              <w:rPr/>
              <w:t> </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295" w:type="dxa"/>
            <w:tcBorders>
              <w:bottom w:val="single" w:sz="6" w:space="0" w:color="000000"/>
            </w:tcBorders>
            <w:shd w:fill="auto" w:val="clear"/>
            <w:tcMar>
              <w:bottom w:w="28" w:type="dxa"/>
            </w:tcMar>
            <w:vAlign w:val="center"/>
          </w:tcPr>
          <w:p>
            <w:pPr>
              <w:pStyle w:val="TableContents"/>
              <w:spacing w:lineRule="atLeast" w:line="280" w:before="0" w:after="0"/>
              <w:rPr/>
            </w:pPr>
            <w:r>
              <w:rPr/>
              <w:t> </w:t>
            </w:r>
          </w:p>
        </w:tc>
        <w:tc>
          <w:tcPr>
            <w:tcW w:w="985" w:type="dxa"/>
            <w:tcBorders>
              <w:bottom w:val="single" w:sz="6" w:space="0" w:color="000000"/>
            </w:tcBorders>
            <w:shd w:fill="auto" w:val="clear"/>
            <w:tcMar>
              <w:bottom w:w="28" w:type="dxa"/>
            </w:tcMar>
            <w:vAlign w:val="center"/>
          </w:tcPr>
          <w:p>
            <w:pPr>
              <w:pStyle w:val="TableContents"/>
              <w:spacing w:lineRule="atLeast" w:line="280" w:before="0" w:after="0"/>
              <w:jc w:val="right"/>
              <w:rPr>
                <w:rFonts w:ascii="ARIAL" w:hAnsi="ARIAL"/>
                <w:sz w:val="16"/>
              </w:rPr>
            </w:pPr>
            <w:r>
              <w:rPr>
                <w:rFonts w:ascii="ARIAL" w:hAnsi="ARIAL"/>
                <w:sz w:val="16"/>
              </w:rPr>
              <w:t>35%</w:t>
            </w:r>
          </w:p>
        </w:tc>
        <w:tc>
          <w:tcPr>
            <w:tcW w:w="60" w:type="dxa"/>
            <w:tcBorders>
              <w:bottom w:val="single" w:sz="6" w:space="0" w:color="000000"/>
            </w:tcBorders>
            <w:shd w:fill="auto" w:val="clear"/>
            <w:tcMar>
              <w:bottom w:w="28" w:type="dxa"/>
            </w:tcMar>
            <w:vAlign w:val="center"/>
          </w:tcPr>
          <w:p>
            <w:pPr>
              <w:pStyle w:val="TableContents"/>
              <w:spacing w:lineRule="atLeast" w:line="280" w:before="0" w:after="0"/>
              <w:rPr/>
            </w:pPr>
            <w:r>
              <w:rPr/>
              <w:t> </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60" w:type="dxa"/>
            <w:tcBorders>
              <w:bottom w:val="single" w:sz="6" w:space="0" w:color="000000"/>
            </w:tcBorders>
            <w:shd w:fill="auto" w:val="clear"/>
            <w:tcMar>
              <w:bottom w:w="28" w:type="dxa"/>
            </w:tcMar>
            <w:vAlign w:val="center"/>
          </w:tcPr>
          <w:p>
            <w:pPr>
              <w:pStyle w:val="TableContents"/>
              <w:spacing w:lineRule="atLeast" w:line="280" w:before="0" w:after="0"/>
              <w:rPr/>
            </w:pPr>
            <w:r>
              <w:rPr/>
              <w:t> </w:t>
            </w:r>
          </w:p>
        </w:tc>
        <w:tc>
          <w:tcPr>
            <w:tcW w:w="485" w:type="dxa"/>
            <w:tcBorders>
              <w:bottom w:val="single" w:sz="6" w:space="0" w:color="000000"/>
            </w:tcBorders>
            <w:shd w:fill="auto" w:val="clear"/>
            <w:tcMar>
              <w:bottom w:w="28" w:type="dxa"/>
            </w:tcMar>
            <w:vAlign w:val="center"/>
          </w:tcPr>
          <w:p>
            <w:pPr>
              <w:pStyle w:val="TableContents"/>
              <w:spacing w:lineRule="atLeast" w:line="280" w:before="0" w:after="0"/>
              <w:jc w:val="right"/>
              <w:rPr>
                <w:rFonts w:ascii="ARIAL" w:hAnsi="ARIAL"/>
                <w:sz w:val="16"/>
              </w:rPr>
            </w:pPr>
            <w:r>
              <w:rPr>
                <w:rFonts w:ascii="ARIAL" w:hAnsi="ARIAL"/>
                <w:sz w:val="16"/>
              </w:rPr>
              <w:t>300%</w:t>
            </w:r>
          </w:p>
        </w:tc>
        <w:tc>
          <w:tcPr>
            <w:tcW w:w="75" w:type="dxa"/>
            <w:tcBorders>
              <w:bottom w:val="single" w:sz="6" w:space="0" w:color="000000"/>
              <w:right w:val="single" w:sz="6" w:space="0" w:color="000000"/>
            </w:tcBorders>
            <w:shd w:fill="auto" w:val="clear"/>
            <w:tcMar>
              <w:bottom w:w="28" w:type="dxa"/>
              <w:right w:w="40" w:type="dxa"/>
            </w:tcMar>
            <w:vAlign w:val="center"/>
          </w:tcPr>
          <w:p>
            <w:pPr>
              <w:pStyle w:val="TableContents"/>
              <w:spacing w:lineRule="atLeast" w:line="280" w:before="0" w:after="0"/>
              <w:rPr/>
            </w:pPr>
            <w:r>
              <w:rPr/>
              <w:t> </w:t>
            </w:r>
          </w:p>
        </w:tc>
      </w:tr>
      <w:tr>
        <w:trPr/>
        <w:tc>
          <w:tcPr>
            <w:tcW w:w="890" w:type="dxa"/>
            <w:tcBorders>
              <w:left w:val="single" w:sz="6" w:space="0" w:color="000000"/>
              <w:bottom w:val="single" w:sz="6" w:space="0" w:color="000000"/>
            </w:tcBorders>
            <w:shd w:fill="auto" w:val="clear"/>
            <w:tcMar>
              <w:left w:w="160" w:type="dxa"/>
              <w:bottom w:w="28" w:type="dxa"/>
            </w:tcMar>
            <w:vAlign w:val="center"/>
          </w:tcPr>
          <w:p>
            <w:pPr>
              <w:pStyle w:val="TableContents"/>
              <w:spacing w:lineRule="atLeast" w:line="280" w:before="0" w:after="0"/>
              <w:rPr>
                <w:rFonts w:ascii="ARIAL" w:hAnsi="ARIAL"/>
                <w:sz w:val="16"/>
              </w:rPr>
            </w:pPr>
            <w:r>
              <w:rPr>
                <w:rFonts w:ascii="ARIAL" w:hAnsi="ARIAL"/>
                <w:sz w:val="16"/>
              </w:rPr>
              <w:t>Attainment</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144" w:type="dxa"/>
            <w:tcBorders>
              <w:bottom w:val="single" w:sz="6" w:space="0" w:color="000000"/>
            </w:tcBorders>
            <w:shd w:fill="auto" w:val="clear"/>
            <w:tcMar>
              <w:bottom w:w="28" w:type="dxa"/>
            </w:tcMar>
            <w:vAlign w:val="center"/>
          </w:tcPr>
          <w:p>
            <w:pPr>
              <w:pStyle w:val="TableContents"/>
              <w:spacing w:lineRule="atLeast" w:line="280" w:before="0" w:after="0"/>
              <w:rPr/>
            </w:pPr>
            <w:r>
              <w:rPr/>
              <w:t> </w:t>
            </w:r>
          </w:p>
        </w:tc>
        <w:tc>
          <w:tcPr>
            <w:tcW w:w="701" w:type="dxa"/>
            <w:tcBorders>
              <w:bottom w:val="single" w:sz="6" w:space="0" w:color="000000"/>
            </w:tcBorders>
            <w:shd w:fill="auto" w:val="clear"/>
            <w:tcMar>
              <w:bottom w:w="28" w:type="dxa"/>
            </w:tcMar>
            <w:vAlign w:val="center"/>
          </w:tcPr>
          <w:p>
            <w:pPr>
              <w:pStyle w:val="TableContents"/>
              <w:spacing w:lineRule="atLeast" w:line="280" w:before="0" w:after="0"/>
              <w:jc w:val="right"/>
              <w:rPr>
                <w:rFonts w:ascii="ARIAL" w:hAnsi="ARIAL"/>
                <w:sz w:val="16"/>
              </w:rPr>
            </w:pPr>
            <w:r>
              <w:rPr>
                <w:rFonts w:ascii="ARIAL" w:hAnsi="ARIAL"/>
                <w:sz w:val="16"/>
              </w:rPr>
              <w:t>0%</w:t>
            </w:r>
          </w:p>
        </w:tc>
        <w:tc>
          <w:tcPr>
            <w:tcW w:w="60" w:type="dxa"/>
            <w:tcBorders>
              <w:bottom w:val="single" w:sz="6" w:space="0" w:color="000000"/>
            </w:tcBorders>
            <w:shd w:fill="auto" w:val="clear"/>
            <w:tcMar>
              <w:bottom w:w="28" w:type="dxa"/>
            </w:tcMar>
            <w:vAlign w:val="center"/>
          </w:tcPr>
          <w:p>
            <w:pPr>
              <w:pStyle w:val="TableContents"/>
              <w:spacing w:lineRule="atLeast" w:line="280" w:before="0" w:after="0"/>
              <w:rPr/>
            </w:pPr>
            <w:r>
              <w:rPr/>
              <w:t> </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312" w:type="dxa"/>
            <w:tcBorders>
              <w:bottom w:val="single" w:sz="6" w:space="0" w:color="000000"/>
            </w:tcBorders>
            <w:shd w:fill="auto" w:val="clear"/>
            <w:tcMar>
              <w:bottom w:w="28" w:type="dxa"/>
            </w:tcMar>
            <w:vAlign w:val="center"/>
          </w:tcPr>
          <w:p>
            <w:pPr>
              <w:pStyle w:val="TableContents"/>
              <w:spacing w:lineRule="atLeast" w:line="280" w:before="0" w:after="0"/>
              <w:rPr/>
            </w:pPr>
            <w:r>
              <w:rPr/>
              <w:t> </w:t>
            </w:r>
          </w:p>
        </w:tc>
        <w:tc>
          <w:tcPr>
            <w:tcW w:w="1043" w:type="dxa"/>
            <w:tcBorders>
              <w:bottom w:val="single" w:sz="6" w:space="0" w:color="000000"/>
            </w:tcBorders>
            <w:shd w:fill="auto" w:val="clear"/>
            <w:tcMar>
              <w:bottom w:w="28" w:type="dxa"/>
            </w:tcMar>
            <w:vAlign w:val="center"/>
          </w:tcPr>
          <w:p>
            <w:pPr>
              <w:pStyle w:val="TableContents"/>
              <w:spacing w:lineRule="atLeast" w:line="280" w:before="0" w:after="0"/>
              <w:jc w:val="right"/>
              <w:rPr>
                <w:rFonts w:ascii="ARIAL" w:hAnsi="ARIAL"/>
                <w:sz w:val="16"/>
              </w:rPr>
            </w:pPr>
            <w:r>
              <w:rPr>
                <w:rFonts w:ascii="ARIAL" w:hAnsi="ARIAL"/>
                <w:sz w:val="16"/>
              </w:rPr>
              <w:t>0%</w:t>
            </w:r>
          </w:p>
        </w:tc>
        <w:tc>
          <w:tcPr>
            <w:tcW w:w="60" w:type="dxa"/>
            <w:tcBorders>
              <w:bottom w:val="single" w:sz="6" w:space="0" w:color="000000"/>
            </w:tcBorders>
            <w:shd w:fill="auto" w:val="clear"/>
            <w:tcMar>
              <w:bottom w:w="28" w:type="dxa"/>
            </w:tcMar>
            <w:vAlign w:val="center"/>
          </w:tcPr>
          <w:p>
            <w:pPr>
              <w:pStyle w:val="TableContents"/>
              <w:spacing w:lineRule="atLeast" w:line="280" w:before="0" w:after="0"/>
              <w:rPr/>
            </w:pPr>
            <w:r>
              <w:rPr/>
              <w:t> </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128" w:type="dxa"/>
            <w:tcBorders>
              <w:bottom w:val="single" w:sz="6" w:space="0" w:color="000000"/>
            </w:tcBorders>
            <w:shd w:fill="auto" w:val="clear"/>
            <w:tcMar>
              <w:bottom w:w="28" w:type="dxa"/>
            </w:tcMar>
            <w:vAlign w:val="center"/>
          </w:tcPr>
          <w:p>
            <w:pPr>
              <w:pStyle w:val="TableContents"/>
              <w:spacing w:lineRule="atLeast" w:line="280" w:before="0" w:after="0"/>
              <w:rPr/>
            </w:pPr>
            <w:r>
              <w:rPr/>
              <w:t> </w:t>
            </w:r>
          </w:p>
        </w:tc>
        <w:tc>
          <w:tcPr>
            <w:tcW w:w="717" w:type="dxa"/>
            <w:tcBorders>
              <w:bottom w:val="single" w:sz="6" w:space="0" w:color="000000"/>
            </w:tcBorders>
            <w:shd w:fill="auto" w:val="clear"/>
            <w:tcMar>
              <w:bottom w:w="28" w:type="dxa"/>
            </w:tcMar>
            <w:vAlign w:val="center"/>
          </w:tcPr>
          <w:p>
            <w:pPr>
              <w:pStyle w:val="TableContents"/>
              <w:spacing w:lineRule="atLeast" w:line="280" w:before="0" w:after="0"/>
              <w:jc w:val="right"/>
              <w:rPr>
                <w:rFonts w:ascii="ARIAL" w:hAnsi="ARIAL"/>
                <w:sz w:val="16"/>
              </w:rPr>
            </w:pPr>
            <w:r>
              <w:rPr>
                <w:rFonts w:ascii="ARIAL" w:hAnsi="ARIAL"/>
                <w:sz w:val="16"/>
              </w:rPr>
              <w:t>18.8%</w:t>
            </w:r>
          </w:p>
        </w:tc>
        <w:tc>
          <w:tcPr>
            <w:tcW w:w="60" w:type="dxa"/>
            <w:tcBorders>
              <w:bottom w:val="single" w:sz="6" w:space="0" w:color="000000"/>
            </w:tcBorders>
            <w:shd w:fill="auto" w:val="clear"/>
            <w:tcMar>
              <w:bottom w:w="28" w:type="dxa"/>
            </w:tcMar>
            <w:vAlign w:val="center"/>
          </w:tcPr>
          <w:p>
            <w:pPr>
              <w:pStyle w:val="TableContents"/>
              <w:spacing w:lineRule="atLeast" w:line="280" w:before="0" w:after="0"/>
              <w:rPr/>
            </w:pPr>
            <w:r>
              <w:rPr/>
              <w:t> </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219" w:type="dxa"/>
            <w:tcBorders>
              <w:bottom w:val="single" w:sz="6" w:space="0" w:color="000000"/>
            </w:tcBorders>
            <w:shd w:fill="auto" w:val="clear"/>
            <w:tcMar>
              <w:bottom w:w="28" w:type="dxa"/>
            </w:tcMar>
            <w:vAlign w:val="center"/>
          </w:tcPr>
          <w:p>
            <w:pPr>
              <w:pStyle w:val="TableContents"/>
              <w:spacing w:lineRule="atLeast" w:line="280" w:before="0" w:after="0"/>
              <w:rPr/>
            </w:pPr>
            <w:r>
              <w:rPr/>
              <w:t> </w:t>
            </w:r>
          </w:p>
        </w:tc>
        <w:tc>
          <w:tcPr>
            <w:tcW w:w="731" w:type="dxa"/>
            <w:tcBorders>
              <w:bottom w:val="single" w:sz="6" w:space="0" w:color="000000"/>
            </w:tcBorders>
            <w:shd w:fill="auto" w:val="clear"/>
            <w:tcMar>
              <w:bottom w:w="28" w:type="dxa"/>
            </w:tcMar>
            <w:vAlign w:val="center"/>
          </w:tcPr>
          <w:p>
            <w:pPr>
              <w:pStyle w:val="TableContents"/>
              <w:spacing w:lineRule="atLeast" w:line="280" w:before="0" w:after="0"/>
              <w:jc w:val="right"/>
              <w:rPr>
                <w:rFonts w:ascii="ARIAL" w:hAnsi="ARIAL"/>
                <w:sz w:val="16"/>
              </w:rPr>
            </w:pPr>
            <w:r>
              <w:rPr>
                <w:rFonts w:ascii="ARIAL" w:hAnsi="ARIAL"/>
                <w:sz w:val="16"/>
              </w:rPr>
              <w:t>0%</w:t>
            </w:r>
          </w:p>
        </w:tc>
        <w:tc>
          <w:tcPr>
            <w:tcW w:w="60" w:type="dxa"/>
            <w:tcBorders>
              <w:bottom w:val="single" w:sz="6" w:space="0" w:color="000000"/>
            </w:tcBorders>
            <w:shd w:fill="auto" w:val="clear"/>
            <w:tcMar>
              <w:bottom w:w="28" w:type="dxa"/>
            </w:tcMar>
            <w:vAlign w:val="center"/>
          </w:tcPr>
          <w:p>
            <w:pPr>
              <w:pStyle w:val="TableContents"/>
              <w:spacing w:lineRule="atLeast" w:line="280" w:before="0" w:after="0"/>
              <w:rPr/>
            </w:pPr>
            <w:r>
              <w:rPr/>
              <w:t> </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107" w:type="dxa"/>
            <w:tcBorders>
              <w:bottom w:val="single" w:sz="6" w:space="0" w:color="000000"/>
            </w:tcBorders>
            <w:shd w:fill="auto" w:val="clear"/>
            <w:tcMar>
              <w:bottom w:w="28" w:type="dxa"/>
            </w:tcMar>
            <w:vAlign w:val="center"/>
          </w:tcPr>
          <w:p>
            <w:pPr>
              <w:pStyle w:val="TableContents"/>
              <w:spacing w:lineRule="atLeast" w:line="280" w:before="0" w:after="0"/>
              <w:rPr/>
            </w:pPr>
            <w:r>
              <w:rPr/>
              <w:t> </w:t>
            </w:r>
          </w:p>
        </w:tc>
        <w:tc>
          <w:tcPr>
            <w:tcW w:w="603" w:type="dxa"/>
            <w:tcBorders>
              <w:bottom w:val="single" w:sz="6" w:space="0" w:color="000000"/>
            </w:tcBorders>
            <w:shd w:fill="auto" w:val="clear"/>
            <w:tcMar>
              <w:bottom w:w="28" w:type="dxa"/>
            </w:tcMar>
            <w:vAlign w:val="center"/>
          </w:tcPr>
          <w:p>
            <w:pPr>
              <w:pStyle w:val="TableContents"/>
              <w:spacing w:lineRule="atLeast" w:line="280" w:before="0" w:after="0"/>
              <w:jc w:val="right"/>
              <w:rPr>
                <w:rFonts w:ascii="ARIAL" w:hAnsi="ARIAL"/>
                <w:sz w:val="16"/>
              </w:rPr>
            </w:pPr>
            <w:r>
              <w:rPr>
                <w:rFonts w:ascii="ARIAL" w:hAnsi="ARIAL"/>
                <w:sz w:val="16"/>
              </w:rPr>
              <w:t>18.8%</w:t>
            </w:r>
          </w:p>
        </w:tc>
        <w:tc>
          <w:tcPr>
            <w:tcW w:w="60" w:type="dxa"/>
            <w:tcBorders>
              <w:bottom w:val="single" w:sz="6" w:space="0" w:color="000000"/>
            </w:tcBorders>
            <w:shd w:fill="auto" w:val="clear"/>
            <w:tcMar>
              <w:bottom w:w="28" w:type="dxa"/>
            </w:tcMar>
            <w:vAlign w:val="center"/>
          </w:tcPr>
          <w:p>
            <w:pPr>
              <w:pStyle w:val="TableContents"/>
              <w:spacing w:lineRule="atLeast" w:line="280" w:before="0" w:after="0"/>
              <w:rPr/>
            </w:pPr>
            <w:r>
              <w:rPr/>
              <w:t> </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198" w:type="dxa"/>
            <w:tcBorders>
              <w:bottom w:val="single" w:sz="6" w:space="0" w:color="000000"/>
            </w:tcBorders>
            <w:shd w:fill="auto" w:val="clear"/>
            <w:tcMar>
              <w:bottom w:w="28" w:type="dxa"/>
            </w:tcMar>
            <w:vAlign w:val="center"/>
          </w:tcPr>
          <w:p>
            <w:pPr>
              <w:pStyle w:val="TableContents"/>
              <w:spacing w:lineRule="atLeast" w:line="280" w:before="0" w:after="0"/>
              <w:rPr/>
            </w:pPr>
            <w:r>
              <w:rPr/>
              <w:t> </w:t>
            </w:r>
          </w:p>
        </w:tc>
        <w:tc>
          <w:tcPr>
            <w:tcW w:w="662" w:type="dxa"/>
            <w:tcBorders>
              <w:bottom w:val="single" w:sz="6" w:space="0" w:color="000000"/>
            </w:tcBorders>
            <w:shd w:fill="auto" w:val="clear"/>
            <w:tcMar>
              <w:bottom w:w="28" w:type="dxa"/>
            </w:tcMar>
            <w:vAlign w:val="center"/>
          </w:tcPr>
          <w:p>
            <w:pPr>
              <w:pStyle w:val="TableContents"/>
              <w:spacing w:lineRule="atLeast" w:line="280" w:before="0" w:after="0"/>
              <w:jc w:val="right"/>
              <w:rPr>
                <w:rFonts w:ascii="ARIAL" w:hAnsi="ARIAL"/>
                <w:sz w:val="16"/>
              </w:rPr>
            </w:pPr>
            <w:r>
              <w:rPr>
                <w:rFonts w:ascii="ARIAL" w:hAnsi="ARIAL"/>
                <w:sz w:val="16"/>
              </w:rPr>
              <w:t>40%</w:t>
            </w:r>
          </w:p>
        </w:tc>
        <w:tc>
          <w:tcPr>
            <w:tcW w:w="60" w:type="dxa"/>
            <w:tcBorders>
              <w:bottom w:val="single" w:sz="6" w:space="0" w:color="000000"/>
            </w:tcBorders>
            <w:shd w:fill="auto" w:val="clear"/>
            <w:tcMar>
              <w:bottom w:w="28" w:type="dxa"/>
            </w:tcMar>
            <w:vAlign w:val="center"/>
          </w:tcPr>
          <w:p>
            <w:pPr>
              <w:pStyle w:val="TableContents"/>
              <w:spacing w:lineRule="atLeast" w:line="280" w:before="0" w:after="0"/>
              <w:rPr/>
            </w:pPr>
            <w:r>
              <w:rPr/>
              <w:t> </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295" w:type="dxa"/>
            <w:tcBorders>
              <w:bottom w:val="single" w:sz="6" w:space="0" w:color="000000"/>
            </w:tcBorders>
            <w:shd w:fill="auto" w:val="clear"/>
            <w:tcMar>
              <w:bottom w:w="28" w:type="dxa"/>
            </w:tcMar>
            <w:vAlign w:val="center"/>
          </w:tcPr>
          <w:p>
            <w:pPr>
              <w:pStyle w:val="TableContents"/>
              <w:spacing w:lineRule="atLeast" w:line="280" w:before="0" w:after="0"/>
              <w:rPr/>
            </w:pPr>
            <w:r>
              <w:rPr/>
              <w:t> </w:t>
            </w:r>
          </w:p>
        </w:tc>
        <w:tc>
          <w:tcPr>
            <w:tcW w:w="985" w:type="dxa"/>
            <w:tcBorders>
              <w:bottom w:val="single" w:sz="6" w:space="0" w:color="000000"/>
            </w:tcBorders>
            <w:shd w:fill="auto" w:val="clear"/>
            <w:tcMar>
              <w:bottom w:w="28" w:type="dxa"/>
            </w:tcMar>
            <w:vAlign w:val="center"/>
          </w:tcPr>
          <w:p>
            <w:pPr>
              <w:pStyle w:val="TableContents"/>
              <w:spacing w:lineRule="atLeast" w:line="280" w:before="0" w:after="0"/>
              <w:jc w:val="right"/>
              <w:rPr>
                <w:rFonts w:ascii="ARIAL" w:hAnsi="ARIAL"/>
                <w:sz w:val="16"/>
              </w:rPr>
            </w:pPr>
            <w:r>
              <w:rPr>
                <w:rFonts w:ascii="ARIAL" w:hAnsi="ARIAL"/>
                <w:sz w:val="16"/>
              </w:rPr>
              <w:t>0%</w:t>
            </w:r>
          </w:p>
        </w:tc>
        <w:tc>
          <w:tcPr>
            <w:tcW w:w="60" w:type="dxa"/>
            <w:tcBorders>
              <w:bottom w:val="single" w:sz="6" w:space="0" w:color="000000"/>
            </w:tcBorders>
            <w:shd w:fill="auto" w:val="clear"/>
            <w:tcMar>
              <w:bottom w:w="28" w:type="dxa"/>
            </w:tcMar>
            <w:vAlign w:val="center"/>
          </w:tcPr>
          <w:p>
            <w:pPr>
              <w:pStyle w:val="TableContents"/>
              <w:spacing w:lineRule="atLeast" w:line="280" w:before="0" w:after="0"/>
              <w:rPr/>
            </w:pPr>
            <w:r>
              <w:rPr/>
              <w:t> </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60" w:type="dxa"/>
            <w:tcBorders>
              <w:bottom w:val="single" w:sz="6" w:space="0" w:color="000000"/>
            </w:tcBorders>
            <w:shd w:fill="auto" w:val="clear"/>
            <w:tcMar>
              <w:bottom w:w="28" w:type="dxa"/>
            </w:tcMar>
            <w:vAlign w:val="center"/>
          </w:tcPr>
          <w:p>
            <w:pPr>
              <w:pStyle w:val="TableContents"/>
              <w:spacing w:lineRule="atLeast" w:line="280" w:before="0" w:after="0"/>
              <w:rPr/>
            </w:pPr>
            <w:r>
              <w:rPr/>
              <w:t> </w:t>
            </w:r>
          </w:p>
        </w:tc>
        <w:tc>
          <w:tcPr>
            <w:tcW w:w="485" w:type="dxa"/>
            <w:tcBorders>
              <w:bottom w:val="single" w:sz="6" w:space="0" w:color="000000"/>
            </w:tcBorders>
            <w:shd w:fill="auto" w:val="clear"/>
            <w:tcMar>
              <w:bottom w:w="28" w:type="dxa"/>
            </w:tcMar>
            <w:vAlign w:val="center"/>
          </w:tcPr>
          <w:p>
            <w:pPr>
              <w:pStyle w:val="TableContents"/>
              <w:spacing w:lineRule="atLeast" w:line="280" w:before="0" w:after="0"/>
              <w:jc w:val="right"/>
              <w:rPr>
                <w:rFonts w:ascii="ARIAL" w:hAnsi="ARIAL"/>
                <w:sz w:val="16"/>
              </w:rPr>
            </w:pPr>
            <w:r>
              <w:rPr>
                <w:rFonts w:ascii="ARIAL" w:hAnsi="ARIAL"/>
                <w:sz w:val="16"/>
              </w:rPr>
              <w:t>58.8%</w:t>
            </w:r>
          </w:p>
        </w:tc>
        <w:tc>
          <w:tcPr>
            <w:tcW w:w="75" w:type="dxa"/>
            <w:tcBorders>
              <w:bottom w:val="single" w:sz="6" w:space="0" w:color="000000"/>
              <w:right w:val="single" w:sz="6" w:space="0" w:color="000000"/>
            </w:tcBorders>
            <w:shd w:fill="auto" w:val="clear"/>
            <w:tcMar>
              <w:bottom w:w="28" w:type="dxa"/>
              <w:right w:w="40" w:type="dxa"/>
            </w:tcMar>
            <w:vAlign w:val="center"/>
          </w:tcPr>
          <w:p>
            <w:pPr>
              <w:pStyle w:val="TableContents"/>
              <w:spacing w:lineRule="atLeast" w:line="280" w:before="0" w:after="0"/>
              <w:rPr/>
            </w:pPr>
            <w:r>
              <w:rPr/>
              <w:t> </w:t>
            </w:r>
          </w:p>
        </w:tc>
      </w:tr>
      <w:tr>
        <w:trPr/>
        <w:tc>
          <w:tcPr>
            <w:tcW w:w="9240" w:type="dxa"/>
            <w:gridSpan w:val="32"/>
            <w:tcBorders>
              <w:left w:val="single" w:sz="6" w:space="0" w:color="000000"/>
            </w:tcBorders>
            <w:shd w:fill="D8D8D8" w:val="clear"/>
            <w:tcMar>
              <w:left w:w="160" w:type="dxa"/>
            </w:tcMar>
            <w:vAlign w:val="center"/>
          </w:tcPr>
          <w:p>
            <w:pPr>
              <w:pStyle w:val="TableContents"/>
              <w:spacing w:lineRule="atLeast" w:line="280" w:before="0" w:after="0"/>
              <w:rPr>
                <w:rFonts w:ascii="ARIAL" w:hAnsi="ARIAL"/>
                <w:b/>
                <w:sz w:val="16"/>
              </w:rPr>
            </w:pPr>
            <w:r>
              <w:rPr>
                <w:rFonts w:ascii="ARIAL" w:hAnsi="ARIAL"/>
                <w:b/>
                <w:sz w:val="16"/>
              </w:rPr>
              <w:t>President/CFO (Hammons)</w:t>
            </w:r>
          </w:p>
        </w:tc>
        <w:tc>
          <w:tcPr>
            <w:tcW w:w="75" w:type="dxa"/>
            <w:tcBorders>
              <w:right w:val="single" w:sz="6" w:space="0" w:color="000000"/>
            </w:tcBorders>
            <w:shd w:fill="D8D8D8" w:val="clear"/>
            <w:tcMar>
              <w:right w:w="40" w:type="dxa"/>
            </w:tcMar>
            <w:vAlign w:val="center"/>
          </w:tcPr>
          <w:p>
            <w:pPr>
              <w:pStyle w:val="TableContents"/>
              <w:spacing w:lineRule="atLeast" w:line="280" w:before="0" w:after="0"/>
              <w:rPr/>
            </w:pPr>
            <w:r>
              <w:rPr/>
              <w:t> </w:t>
            </w:r>
          </w:p>
        </w:tc>
      </w:tr>
      <w:tr>
        <w:trPr/>
        <w:tc>
          <w:tcPr>
            <w:tcW w:w="890" w:type="dxa"/>
            <w:tcBorders>
              <w:left w:val="single" w:sz="6" w:space="0" w:color="000000"/>
              <w:bottom w:val="single" w:sz="6" w:space="0" w:color="000000"/>
            </w:tcBorders>
            <w:shd w:fill="auto" w:val="clear"/>
            <w:tcMar>
              <w:left w:w="160" w:type="dxa"/>
              <w:bottom w:w="28" w:type="dxa"/>
            </w:tcMar>
            <w:vAlign w:val="center"/>
          </w:tcPr>
          <w:p>
            <w:pPr>
              <w:pStyle w:val="TableContents"/>
              <w:spacing w:lineRule="atLeast" w:line="280" w:before="0" w:after="0"/>
              <w:rPr>
                <w:rFonts w:ascii="ARIAL" w:hAnsi="ARIAL"/>
                <w:sz w:val="16"/>
              </w:rPr>
            </w:pPr>
            <w:r>
              <w:rPr>
                <w:rFonts w:ascii="ARIAL" w:hAnsi="ARIAL"/>
                <w:sz w:val="16"/>
              </w:rPr>
              <w:t>Opportunity</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144" w:type="dxa"/>
            <w:tcBorders>
              <w:bottom w:val="single" w:sz="6" w:space="0" w:color="000000"/>
            </w:tcBorders>
            <w:shd w:fill="auto" w:val="clear"/>
            <w:tcMar>
              <w:bottom w:w="28" w:type="dxa"/>
            </w:tcMar>
            <w:vAlign w:val="center"/>
          </w:tcPr>
          <w:p>
            <w:pPr>
              <w:pStyle w:val="TableContents"/>
              <w:spacing w:lineRule="atLeast" w:line="280" w:before="0" w:after="0"/>
              <w:rPr/>
            </w:pPr>
            <w:r>
              <w:rPr/>
              <w:t> </w:t>
            </w:r>
          </w:p>
        </w:tc>
        <w:tc>
          <w:tcPr>
            <w:tcW w:w="701" w:type="dxa"/>
            <w:tcBorders>
              <w:bottom w:val="single" w:sz="6" w:space="0" w:color="000000"/>
            </w:tcBorders>
            <w:shd w:fill="auto" w:val="clear"/>
            <w:tcMar>
              <w:bottom w:w="28" w:type="dxa"/>
            </w:tcMar>
            <w:vAlign w:val="center"/>
          </w:tcPr>
          <w:p>
            <w:pPr>
              <w:pStyle w:val="TableContents"/>
              <w:spacing w:lineRule="atLeast" w:line="280" w:before="0" w:after="0"/>
              <w:jc w:val="right"/>
              <w:rPr>
                <w:rFonts w:ascii="ARIAL" w:hAnsi="ARIAL"/>
                <w:sz w:val="16"/>
              </w:rPr>
            </w:pPr>
            <w:r>
              <w:rPr>
                <w:rFonts w:ascii="ARIAL" w:hAnsi="ARIAL"/>
                <w:sz w:val="16"/>
              </w:rPr>
              <w:t>80%</w:t>
            </w:r>
          </w:p>
        </w:tc>
        <w:tc>
          <w:tcPr>
            <w:tcW w:w="60" w:type="dxa"/>
            <w:tcBorders>
              <w:bottom w:val="single" w:sz="6" w:space="0" w:color="000000"/>
            </w:tcBorders>
            <w:shd w:fill="auto" w:val="clear"/>
            <w:tcMar>
              <w:bottom w:w="28" w:type="dxa"/>
            </w:tcMar>
            <w:vAlign w:val="center"/>
          </w:tcPr>
          <w:p>
            <w:pPr>
              <w:pStyle w:val="TableContents"/>
              <w:spacing w:lineRule="atLeast" w:line="280" w:before="0" w:after="0"/>
              <w:rPr/>
            </w:pPr>
            <w:r>
              <w:rPr/>
              <w:t> </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312" w:type="dxa"/>
            <w:tcBorders>
              <w:bottom w:val="single" w:sz="6" w:space="0" w:color="000000"/>
            </w:tcBorders>
            <w:shd w:fill="auto" w:val="clear"/>
            <w:tcMar>
              <w:bottom w:w="28" w:type="dxa"/>
            </w:tcMar>
            <w:vAlign w:val="center"/>
          </w:tcPr>
          <w:p>
            <w:pPr>
              <w:pStyle w:val="TableContents"/>
              <w:spacing w:lineRule="atLeast" w:line="280" w:before="0" w:after="0"/>
              <w:rPr/>
            </w:pPr>
            <w:r>
              <w:rPr/>
              <w:t> </w:t>
            </w:r>
          </w:p>
        </w:tc>
        <w:tc>
          <w:tcPr>
            <w:tcW w:w="1043" w:type="dxa"/>
            <w:tcBorders>
              <w:bottom w:val="single" w:sz="6" w:space="0" w:color="000000"/>
            </w:tcBorders>
            <w:shd w:fill="auto" w:val="clear"/>
            <w:tcMar>
              <w:bottom w:w="28" w:type="dxa"/>
            </w:tcMar>
            <w:vAlign w:val="center"/>
          </w:tcPr>
          <w:p>
            <w:pPr>
              <w:pStyle w:val="TableContents"/>
              <w:spacing w:lineRule="atLeast" w:line="280" w:before="0" w:after="0"/>
              <w:jc w:val="right"/>
              <w:rPr>
                <w:rFonts w:ascii="ARIAL" w:hAnsi="ARIAL"/>
                <w:sz w:val="16"/>
              </w:rPr>
            </w:pPr>
            <w:r>
              <w:rPr>
                <w:rFonts w:ascii="ARIAL" w:hAnsi="ARIAL"/>
                <w:sz w:val="16"/>
              </w:rPr>
              <w:t>20%</w:t>
            </w:r>
          </w:p>
        </w:tc>
        <w:tc>
          <w:tcPr>
            <w:tcW w:w="60" w:type="dxa"/>
            <w:tcBorders>
              <w:bottom w:val="single" w:sz="6" w:space="0" w:color="000000"/>
            </w:tcBorders>
            <w:shd w:fill="auto" w:val="clear"/>
            <w:tcMar>
              <w:bottom w:w="28" w:type="dxa"/>
            </w:tcMar>
            <w:vAlign w:val="center"/>
          </w:tcPr>
          <w:p>
            <w:pPr>
              <w:pStyle w:val="TableContents"/>
              <w:spacing w:lineRule="atLeast" w:line="280" w:before="0" w:after="0"/>
              <w:rPr/>
            </w:pPr>
            <w:r>
              <w:rPr/>
              <w:t> </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128" w:type="dxa"/>
            <w:tcBorders>
              <w:bottom w:val="single" w:sz="6" w:space="0" w:color="000000"/>
            </w:tcBorders>
            <w:shd w:fill="auto" w:val="clear"/>
            <w:tcMar>
              <w:bottom w:w="28" w:type="dxa"/>
            </w:tcMar>
            <w:vAlign w:val="center"/>
          </w:tcPr>
          <w:p>
            <w:pPr>
              <w:pStyle w:val="TableContents"/>
              <w:spacing w:lineRule="atLeast" w:line="280" w:before="0" w:after="0"/>
              <w:rPr/>
            </w:pPr>
            <w:r>
              <w:rPr/>
              <w:t> </w:t>
            </w:r>
          </w:p>
        </w:tc>
        <w:tc>
          <w:tcPr>
            <w:tcW w:w="717" w:type="dxa"/>
            <w:tcBorders>
              <w:bottom w:val="single" w:sz="6" w:space="0" w:color="000000"/>
            </w:tcBorders>
            <w:shd w:fill="auto" w:val="clear"/>
            <w:tcMar>
              <w:bottom w:w="28" w:type="dxa"/>
            </w:tcMar>
            <w:vAlign w:val="center"/>
          </w:tcPr>
          <w:p>
            <w:pPr>
              <w:pStyle w:val="TableContents"/>
              <w:spacing w:lineRule="atLeast" w:line="280" w:before="0" w:after="0"/>
              <w:jc w:val="right"/>
              <w:rPr>
                <w:rFonts w:ascii="ARIAL" w:hAnsi="ARIAL"/>
                <w:sz w:val="16"/>
              </w:rPr>
            </w:pPr>
            <w:r>
              <w:rPr>
                <w:rFonts w:ascii="ARIAL" w:hAnsi="ARIAL"/>
                <w:sz w:val="16"/>
              </w:rPr>
              <w:t>15%</w:t>
            </w:r>
          </w:p>
        </w:tc>
        <w:tc>
          <w:tcPr>
            <w:tcW w:w="60" w:type="dxa"/>
            <w:tcBorders>
              <w:bottom w:val="single" w:sz="6" w:space="0" w:color="000000"/>
            </w:tcBorders>
            <w:shd w:fill="auto" w:val="clear"/>
            <w:tcMar>
              <w:bottom w:w="28" w:type="dxa"/>
            </w:tcMar>
            <w:vAlign w:val="center"/>
          </w:tcPr>
          <w:p>
            <w:pPr>
              <w:pStyle w:val="TableContents"/>
              <w:spacing w:lineRule="atLeast" w:line="280" w:before="0" w:after="0"/>
              <w:rPr/>
            </w:pPr>
            <w:r>
              <w:rPr/>
              <w:t> </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219" w:type="dxa"/>
            <w:tcBorders>
              <w:bottom w:val="single" w:sz="6" w:space="0" w:color="000000"/>
            </w:tcBorders>
            <w:shd w:fill="auto" w:val="clear"/>
            <w:tcMar>
              <w:bottom w:w="28" w:type="dxa"/>
            </w:tcMar>
            <w:vAlign w:val="center"/>
          </w:tcPr>
          <w:p>
            <w:pPr>
              <w:pStyle w:val="TableContents"/>
              <w:spacing w:lineRule="atLeast" w:line="280" w:before="0" w:after="0"/>
              <w:rPr/>
            </w:pPr>
            <w:r>
              <w:rPr/>
              <w:t> </w:t>
            </w:r>
          </w:p>
        </w:tc>
        <w:tc>
          <w:tcPr>
            <w:tcW w:w="731" w:type="dxa"/>
            <w:tcBorders>
              <w:bottom w:val="single" w:sz="6" w:space="0" w:color="000000"/>
            </w:tcBorders>
            <w:shd w:fill="auto" w:val="clear"/>
            <w:tcMar>
              <w:bottom w:w="28" w:type="dxa"/>
            </w:tcMar>
            <w:vAlign w:val="center"/>
          </w:tcPr>
          <w:p>
            <w:pPr>
              <w:pStyle w:val="TableContents"/>
              <w:spacing w:lineRule="atLeast" w:line="280" w:before="0" w:after="0"/>
              <w:jc w:val="right"/>
              <w:rPr>
                <w:rFonts w:ascii="ARIAL" w:hAnsi="ARIAL"/>
                <w:sz w:val="16"/>
              </w:rPr>
            </w:pPr>
            <w:r>
              <w:rPr>
                <w:rFonts w:ascii="ARIAL" w:hAnsi="ARIAL"/>
                <w:sz w:val="16"/>
              </w:rPr>
              <w:t>10%</w:t>
            </w:r>
          </w:p>
        </w:tc>
        <w:tc>
          <w:tcPr>
            <w:tcW w:w="60" w:type="dxa"/>
            <w:tcBorders>
              <w:bottom w:val="single" w:sz="6" w:space="0" w:color="000000"/>
            </w:tcBorders>
            <w:shd w:fill="auto" w:val="clear"/>
            <w:tcMar>
              <w:bottom w:w="28" w:type="dxa"/>
            </w:tcMar>
            <w:vAlign w:val="center"/>
          </w:tcPr>
          <w:p>
            <w:pPr>
              <w:pStyle w:val="TableContents"/>
              <w:spacing w:lineRule="atLeast" w:line="280" w:before="0" w:after="0"/>
              <w:rPr/>
            </w:pPr>
            <w:r>
              <w:rPr/>
              <w:t> </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107" w:type="dxa"/>
            <w:tcBorders>
              <w:bottom w:val="single" w:sz="6" w:space="0" w:color="000000"/>
            </w:tcBorders>
            <w:shd w:fill="auto" w:val="clear"/>
            <w:tcMar>
              <w:bottom w:w="28" w:type="dxa"/>
            </w:tcMar>
            <w:vAlign w:val="center"/>
          </w:tcPr>
          <w:p>
            <w:pPr>
              <w:pStyle w:val="TableContents"/>
              <w:spacing w:lineRule="atLeast" w:line="280" w:before="0" w:after="0"/>
              <w:rPr/>
            </w:pPr>
            <w:r>
              <w:rPr/>
              <w:t> </w:t>
            </w:r>
          </w:p>
        </w:tc>
        <w:tc>
          <w:tcPr>
            <w:tcW w:w="603" w:type="dxa"/>
            <w:tcBorders>
              <w:bottom w:val="single" w:sz="6" w:space="0" w:color="000000"/>
            </w:tcBorders>
            <w:shd w:fill="auto" w:val="clear"/>
            <w:tcMar>
              <w:bottom w:w="28" w:type="dxa"/>
            </w:tcMar>
            <w:vAlign w:val="center"/>
          </w:tcPr>
          <w:p>
            <w:pPr>
              <w:pStyle w:val="TableContents"/>
              <w:spacing w:lineRule="atLeast" w:line="280" w:before="0" w:after="0"/>
              <w:jc w:val="right"/>
              <w:rPr>
                <w:rFonts w:ascii="ARIAL" w:hAnsi="ARIAL"/>
                <w:sz w:val="16"/>
              </w:rPr>
            </w:pPr>
            <w:r>
              <w:rPr>
                <w:rFonts w:ascii="ARIAL" w:hAnsi="ARIAL"/>
                <w:sz w:val="16"/>
              </w:rPr>
              <w:t>125%</w:t>
            </w:r>
          </w:p>
        </w:tc>
        <w:tc>
          <w:tcPr>
            <w:tcW w:w="60" w:type="dxa"/>
            <w:tcBorders>
              <w:bottom w:val="single" w:sz="6" w:space="0" w:color="000000"/>
            </w:tcBorders>
            <w:shd w:fill="auto" w:val="clear"/>
            <w:tcMar>
              <w:bottom w:w="28" w:type="dxa"/>
            </w:tcMar>
            <w:vAlign w:val="center"/>
          </w:tcPr>
          <w:p>
            <w:pPr>
              <w:pStyle w:val="TableContents"/>
              <w:spacing w:lineRule="atLeast" w:line="280" w:before="0" w:after="0"/>
              <w:rPr/>
            </w:pPr>
            <w:r>
              <w:rPr/>
              <w:t> </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198" w:type="dxa"/>
            <w:tcBorders>
              <w:bottom w:val="single" w:sz="6" w:space="0" w:color="000000"/>
            </w:tcBorders>
            <w:shd w:fill="auto" w:val="clear"/>
            <w:tcMar>
              <w:bottom w:w="28" w:type="dxa"/>
            </w:tcMar>
            <w:vAlign w:val="center"/>
          </w:tcPr>
          <w:p>
            <w:pPr>
              <w:pStyle w:val="TableContents"/>
              <w:spacing w:lineRule="atLeast" w:line="280" w:before="0" w:after="0"/>
              <w:rPr/>
            </w:pPr>
            <w:r>
              <w:rPr/>
              <w:t> </w:t>
            </w:r>
          </w:p>
        </w:tc>
        <w:tc>
          <w:tcPr>
            <w:tcW w:w="662" w:type="dxa"/>
            <w:tcBorders>
              <w:bottom w:val="single" w:sz="6" w:space="0" w:color="000000"/>
            </w:tcBorders>
            <w:shd w:fill="auto" w:val="clear"/>
            <w:tcMar>
              <w:bottom w:w="28" w:type="dxa"/>
            </w:tcMar>
            <w:vAlign w:val="center"/>
          </w:tcPr>
          <w:p>
            <w:pPr>
              <w:pStyle w:val="TableContents"/>
              <w:spacing w:lineRule="atLeast" w:line="280" w:before="0" w:after="0"/>
              <w:jc w:val="right"/>
              <w:rPr>
                <w:rFonts w:ascii="ARIAL" w:hAnsi="ARIAL"/>
                <w:sz w:val="16"/>
              </w:rPr>
            </w:pPr>
            <w:r>
              <w:rPr>
                <w:rFonts w:ascii="ARIAL" w:hAnsi="ARIAL"/>
                <w:sz w:val="16"/>
              </w:rPr>
              <w:t>25%</w:t>
            </w:r>
          </w:p>
        </w:tc>
        <w:tc>
          <w:tcPr>
            <w:tcW w:w="60" w:type="dxa"/>
            <w:tcBorders>
              <w:bottom w:val="single" w:sz="6" w:space="0" w:color="000000"/>
            </w:tcBorders>
            <w:shd w:fill="auto" w:val="clear"/>
            <w:tcMar>
              <w:bottom w:w="28" w:type="dxa"/>
            </w:tcMar>
            <w:vAlign w:val="center"/>
          </w:tcPr>
          <w:p>
            <w:pPr>
              <w:pStyle w:val="TableContents"/>
              <w:spacing w:lineRule="atLeast" w:line="280" w:before="0" w:after="0"/>
              <w:rPr/>
            </w:pPr>
            <w:r>
              <w:rPr/>
              <w:t> </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295" w:type="dxa"/>
            <w:tcBorders>
              <w:bottom w:val="single" w:sz="6" w:space="0" w:color="000000"/>
            </w:tcBorders>
            <w:shd w:fill="auto" w:val="clear"/>
            <w:tcMar>
              <w:bottom w:w="28" w:type="dxa"/>
            </w:tcMar>
            <w:vAlign w:val="center"/>
          </w:tcPr>
          <w:p>
            <w:pPr>
              <w:pStyle w:val="TableContents"/>
              <w:spacing w:lineRule="atLeast" w:line="280" w:before="0" w:after="0"/>
              <w:rPr/>
            </w:pPr>
            <w:r>
              <w:rPr/>
              <w:t> </w:t>
            </w:r>
          </w:p>
        </w:tc>
        <w:tc>
          <w:tcPr>
            <w:tcW w:w="985" w:type="dxa"/>
            <w:tcBorders>
              <w:bottom w:val="single" w:sz="6" w:space="0" w:color="000000"/>
            </w:tcBorders>
            <w:shd w:fill="auto" w:val="clear"/>
            <w:tcMar>
              <w:bottom w:w="28" w:type="dxa"/>
            </w:tcMar>
            <w:vAlign w:val="center"/>
          </w:tcPr>
          <w:p>
            <w:pPr>
              <w:pStyle w:val="TableContents"/>
              <w:spacing w:lineRule="atLeast" w:line="280" w:before="0" w:after="0"/>
              <w:jc w:val="right"/>
              <w:rPr>
                <w:rFonts w:ascii="ARIAL" w:hAnsi="ARIAL"/>
                <w:sz w:val="16"/>
              </w:rPr>
            </w:pPr>
            <w:r>
              <w:rPr>
                <w:rFonts w:ascii="ARIAL" w:hAnsi="ARIAL"/>
                <w:sz w:val="16"/>
              </w:rPr>
              <w:t>25%</w:t>
            </w:r>
          </w:p>
        </w:tc>
        <w:tc>
          <w:tcPr>
            <w:tcW w:w="60" w:type="dxa"/>
            <w:tcBorders>
              <w:bottom w:val="single" w:sz="6" w:space="0" w:color="000000"/>
            </w:tcBorders>
            <w:shd w:fill="auto" w:val="clear"/>
            <w:tcMar>
              <w:bottom w:w="28" w:type="dxa"/>
            </w:tcMar>
            <w:vAlign w:val="center"/>
          </w:tcPr>
          <w:p>
            <w:pPr>
              <w:pStyle w:val="TableContents"/>
              <w:spacing w:lineRule="atLeast" w:line="280" w:before="0" w:after="0"/>
              <w:rPr/>
            </w:pPr>
            <w:r>
              <w:rPr/>
              <w:t> </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60" w:type="dxa"/>
            <w:tcBorders>
              <w:bottom w:val="single" w:sz="6" w:space="0" w:color="000000"/>
            </w:tcBorders>
            <w:shd w:fill="auto" w:val="clear"/>
            <w:tcMar>
              <w:bottom w:w="28" w:type="dxa"/>
            </w:tcMar>
            <w:vAlign w:val="center"/>
          </w:tcPr>
          <w:p>
            <w:pPr>
              <w:pStyle w:val="TableContents"/>
              <w:spacing w:lineRule="atLeast" w:line="280" w:before="0" w:after="0"/>
              <w:rPr/>
            </w:pPr>
            <w:r>
              <w:rPr/>
              <w:t> </w:t>
            </w:r>
          </w:p>
        </w:tc>
        <w:tc>
          <w:tcPr>
            <w:tcW w:w="485" w:type="dxa"/>
            <w:tcBorders>
              <w:bottom w:val="single" w:sz="6" w:space="0" w:color="000000"/>
            </w:tcBorders>
            <w:shd w:fill="auto" w:val="clear"/>
            <w:tcMar>
              <w:bottom w:w="28" w:type="dxa"/>
            </w:tcMar>
            <w:vAlign w:val="center"/>
          </w:tcPr>
          <w:p>
            <w:pPr>
              <w:pStyle w:val="TableContents"/>
              <w:spacing w:lineRule="atLeast" w:line="280" w:before="0" w:after="0"/>
              <w:jc w:val="right"/>
              <w:rPr>
                <w:rFonts w:ascii="ARIAL" w:hAnsi="ARIAL"/>
                <w:sz w:val="16"/>
              </w:rPr>
            </w:pPr>
            <w:r>
              <w:rPr>
                <w:rFonts w:ascii="ARIAL" w:hAnsi="ARIAL"/>
                <w:sz w:val="16"/>
              </w:rPr>
              <w:t>175%</w:t>
            </w:r>
          </w:p>
        </w:tc>
        <w:tc>
          <w:tcPr>
            <w:tcW w:w="75" w:type="dxa"/>
            <w:tcBorders>
              <w:bottom w:val="single" w:sz="6" w:space="0" w:color="000000"/>
              <w:right w:val="single" w:sz="6" w:space="0" w:color="000000"/>
            </w:tcBorders>
            <w:shd w:fill="auto" w:val="clear"/>
            <w:tcMar>
              <w:bottom w:w="28" w:type="dxa"/>
              <w:right w:w="40" w:type="dxa"/>
            </w:tcMar>
            <w:vAlign w:val="center"/>
          </w:tcPr>
          <w:p>
            <w:pPr>
              <w:pStyle w:val="TableContents"/>
              <w:spacing w:lineRule="atLeast" w:line="280" w:before="0" w:after="0"/>
              <w:rPr/>
            </w:pPr>
            <w:r>
              <w:rPr/>
              <w:t> </w:t>
            </w:r>
          </w:p>
        </w:tc>
      </w:tr>
      <w:tr>
        <w:trPr/>
        <w:tc>
          <w:tcPr>
            <w:tcW w:w="890" w:type="dxa"/>
            <w:tcBorders>
              <w:left w:val="single" w:sz="6" w:space="0" w:color="000000"/>
            </w:tcBorders>
            <w:shd w:fill="auto" w:val="clear"/>
            <w:tcMar>
              <w:left w:w="160" w:type="dxa"/>
            </w:tcMar>
            <w:vAlign w:val="center"/>
          </w:tcPr>
          <w:p>
            <w:pPr>
              <w:pStyle w:val="TableContents"/>
              <w:spacing w:lineRule="atLeast" w:line="280" w:before="0" w:after="0"/>
              <w:rPr>
                <w:rFonts w:ascii="ARIAL" w:hAnsi="ARIAL"/>
                <w:sz w:val="16"/>
              </w:rPr>
            </w:pPr>
            <w:r>
              <w:rPr>
                <w:rFonts w:ascii="ARIAL" w:hAnsi="ARIAL"/>
                <w:sz w:val="16"/>
              </w:rPr>
              <w:t>Attainment</w:t>
            </w:r>
          </w:p>
        </w:tc>
        <w:tc>
          <w:tcPr>
            <w:tcW w:w="60" w:type="dxa"/>
            <w:tcBorders/>
            <w:shd w:fill="auto" w:val="clear"/>
            <w:vAlign w:val="center"/>
          </w:tcPr>
          <w:p>
            <w:pPr>
              <w:pStyle w:val="TableContents"/>
              <w:spacing w:before="0" w:after="283"/>
              <w:rPr/>
            </w:pPr>
            <w:r>
              <w:rPr/>
              <w:t> </w:t>
            </w:r>
          </w:p>
        </w:tc>
        <w:tc>
          <w:tcPr>
            <w:tcW w:w="144" w:type="dxa"/>
            <w:tcBorders/>
            <w:shd w:fill="auto" w:val="clear"/>
            <w:vAlign w:val="center"/>
          </w:tcPr>
          <w:p>
            <w:pPr>
              <w:pStyle w:val="TableContents"/>
              <w:spacing w:lineRule="atLeast" w:line="280" w:before="0" w:after="0"/>
              <w:rPr/>
            </w:pPr>
            <w:r>
              <w:rPr/>
              <w:t> </w:t>
            </w:r>
          </w:p>
        </w:tc>
        <w:tc>
          <w:tcPr>
            <w:tcW w:w="701" w:type="dxa"/>
            <w:tcBorders/>
            <w:shd w:fill="auto" w:val="clear"/>
            <w:vAlign w:val="center"/>
          </w:tcPr>
          <w:p>
            <w:pPr>
              <w:pStyle w:val="TableContents"/>
              <w:spacing w:lineRule="atLeast" w:line="280" w:before="0" w:after="0"/>
              <w:jc w:val="right"/>
              <w:rPr>
                <w:rFonts w:ascii="ARIAL" w:hAnsi="ARIAL"/>
                <w:sz w:val="16"/>
              </w:rPr>
            </w:pPr>
            <w:r>
              <w:rPr>
                <w:rFonts w:ascii="ARIAL" w:hAnsi="ARIAL"/>
                <w:sz w:val="16"/>
              </w:rPr>
              <w:t>0%</w:t>
            </w:r>
          </w:p>
        </w:tc>
        <w:tc>
          <w:tcPr>
            <w:tcW w:w="60" w:type="dxa"/>
            <w:tcBorders/>
            <w:shd w:fill="auto" w:val="clear"/>
            <w:vAlign w:val="center"/>
          </w:tcPr>
          <w:p>
            <w:pPr>
              <w:pStyle w:val="TableContents"/>
              <w:spacing w:lineRule="atLeast" w:line="280" w:before="0" w:after="0"/>
              <w:rPr/>
            </w:pPr>
            <w:r>
              <w:rPr/>
              <w:t> </w:t>
            </w:r>
          </w:p>
        </w:tc>
        <w:tc>
          <w:tcPr>
            <w:tcW w:w="60" w:type="dxa"/>
            <w:tcBorders/>
            <w:shd w:fill="auto" w:val="clear"/>
            <w:vAlign w:val="center"/>
          </w:tcPr>
          <w:p>
            <w:pPr>
              <w:pStyle w:val="TableContents"/>
              <w:spacing w:before="0" w:after="283"/>
              <w:rPr/>
            </w:pPr>
            <w:r>
              <w:rPr/>
              <w:t> </w:t>
            </w:r>
          </w:p>
        </w:tc>
        <w:tc>
          <w:tcPr>
            <w:tcW w:w="312" w:type="dxa"/>
            <w:tcBorders/>
            <w:shd w:fill="auto" w:val="clear"/>
            <w:vAlign w:val="center"/>
          </w:tcPr>
          <w:p>
            <w:pPr>
              <w:pStyle w:val="TableContents"/>
              <w:spacing w:lineRule="atLeast" w:line="280" w:before="0" w:after="0"/>
              <w:rPr/>
            </w:pPr>
            <w:r>
              <w:rPr/>
              <w:t> </w:t>
            </w:r>
          </w:p>
        </w:tc>
        <w:tc>
          <w:tcPr>
            <w:tcW w:w="1043" w:type="dxa"/>
            <w:tcBorders/>
            <w:shd w:fill="auto" w:val="clear"/>
            <w:vAlign w:val="center"/>
          </w:tcPr>
          <w:p>
            <w:pPr>
              <w:pStyle w:val="TableContents"/>
              <w:spacing w:lineRule="atLeast" w:line="280" w:before="0" w:after="0"/>
              <w:jc w:val="right"/>
              <w:rPr>
                <w:rFonts w:ascii="ARIAL" w:hAnsi="ARIAL"/>
                <w:sz w:val="16"/>
              </w:rPr>
            </w:pPr>
            <w:r>
              <w:rPr>
                <w:rFonts w:ascii="ARIAL" w:hAnsi="ARIAL"/>
                <w:sz w:val="16"/>
              </w:rPr>
              <w:t>0%</w:t>
            </w:r>
          </w:p>
        </w:tc>
        <w:tc>
          <w:tcPr>
            <w:tcW w:w="60" w:type="dxa"/>
            <w:tcBorders/>
            <w:shd w:fill="auto" w:val="clear"/>
            <w:vAlign w:val="center"/>
          </w:tcPr>
          <w:p>
            <w:pPr>
              <w:pStyle w:val="TableContents"/>
              <w:spacing w:lineRule="atLeast" w:line="280" w:before="0" w:after="0"/>
              <w:rPr/>
            </w:pPr>
            <w:r>
              <w:rPr/>
              <w:t> </w:t>
            </w:r>
          </w:p>
        </w:tc>
        <w:tc>
          <w:tcPr>
            <w:tcW w:w="60" w:type="dxa"/>
            <w:tcBorders/>
            <w:shd w:fill="auto" w:val="clear"/>
            <w:vAlign w:val="center"/>
          </w:tcPr>
          <w:p>
            <w:pPr>
              <w:pStyle w:val="TableContents"/>
              <w:spacing w:before="0" w:after="283"/>
              <w:rPr/>
            </w:pPr>
            <w:r>
              <w:rPr/>
              <w:t> </w:t>
            </w:r>
          </w:p>
        </w:tc>
        <w:tc>
          <w:tcPr>
            <w:tcW w:w="128" w:type="dxa"/>
            <w:tcBorders/>
            <w:shd w:fill="auto" w:val="clear"/>
            <w:vAlign w:val="center"/>
          </w:tcPr>
          <w:p>
            <w:pPr>
              <w:pStyle w:val="TableContents"/>
              <w:spacing w:lineRule="atLeast" w:line="280" w:before="0" w:after="0"/>
              <w:rPr/>
            </w:pPr>
            <w:r>
              <w:rPr/>
              <w:t> </w:t>
            </w:r>
          </w:p>
        </w:tc>
        <w:tc>
          <w:tcPr>
            <w:tcW w:w="717" w:type="dxa"/>
            <w:tcBorders/>
            <w:shd w:fill="auto" w:val="clear"/>
            <w:vAlign w:val="center"/>
          </w:tcPr>
          <w:p>
            <w:pPr>
              <w:pStyle w:val="TableContents"/>
              <w:spacing w:lineRule="atLeast" w:line="280" w:before="0" w:after="0"/>
              <w:jc w:val="right"/>
              <w:rPr>
                <w:rFonts w:ascii="ARIAL" w:hAnsi="ARIAL"/>
                <w:sz w:val="16"/>
              </w:rPr>
            </w:pPr>
            <w:r>
              <w:rPr>
                <w:rFonts w:ascii="ARIAL" w:hAnsi="ARIAL"/>
                <w:sz w:val="16"/>
              </w:rPr>
              <w:t>11.3%</w:t>
            </w:r>
          </w:p>
        </w:tc>
        <w:tc>
          <w:tcPr>
            <w:tcW w:w="60" w:type="dxa"/>
            <w:tcBorders/>
            <w:shd w:fill="auto" w:val="clear"/>
            <w:vAlign w:val="center"/>
          </w:tcPr>
          <w:p>
            <w:pPr>
              <w:pStyle w:val="TableContents"/>
              <w:spacing w:lineRule="atLeast" w:line="280" w:before="0" w:after="0"/>
              <w:rPr/>
            </w:pPr>
            <w:r>
              <w:rPr/>
              <w:t> </w:t>
            </w:r>
          </w:p>
        </w:tc>
        <w:tc>
          <w:tcPr>
            <w:tcW w:w="60" w:type="dxa"/>
            <w:tcBorders/>
            <w:shd w:fill="auto" w:val="clear"/>
            <w:vAlign w:val="center"/>
          </w:tcPr>
          <w:p>
            <w:pPr>
              <w:pStyle w:val="TableContents"/>
              <w:spacing w:before="0" w:after="283"/>
              <w:rPr/>
            </w:pPr>
            <w:r>
              <w:rPr/>
              <w:t> </w:t>
            </w:r>
          </w:p>
        </w:tc>
        <w:tc>
          <w:tcPr>
            <w:tcW w:w="219" w:type="dxa"/>
            <w:tcBorders/>
            <w:shd w:fill="auto" w:val="clear"/>
            <w:vAlign w:val="center"/>
          </w:tcPr>
          <w:p>
            <w:pPr>
              <w:pStyle w:val="TableContents"/>
              <w:spacing w:lineRule="atLeast" w:line="280" w:before="0" w:after="0"/>
              <w:rPr/>
            </w:pPr>
            <w:r>
              <w:rPr/>
              <w:t> </w:t>
            </w:r>
          </w:p>
        </w:tc>
        <w:tc>
          <w:tcPr>
            <w:tcW w:w="731" w:type="dxa"/>
            <w:tcBorders/>
            <w:shd w:fill="auto" w:val="clear"/>
            <w:vAlign w:val="center"/>
          </w:tcPr>
          <w:p>
            <w:pPr>
              <w:pStyle w:val="TableContents"/>
              <w:spacing w:lineRule="atLeast" w:line="280" w:before="0" w:after="0"/>
              <w:jc w:val="right"/>
              <w:rPr>
                <w:rFonts w:ascii="ARIAL" w:hAnsi="ARIAL"/>
                <w:sz w:val="16"/>
              </w:rPr>
            </w:pPr>
            <w:r>
              <w:rPr>
                <w:rFonts w:ascii="ARIAL" w:hAnsi="ARIAL"/>
                <w:sz w:val="16"/>
              </w:rPr>
              <w:t>0%</w:t>
            </w:r>
          </w:p>
        </w:tc>
        <w:tc>
          <w:tcPr>
            <w:tcW w:w="60" w:type="dxa"/>
            <w:tcBorders/>
            <w:shd w:fill="auto" w:val="clear"/>
            <w:vAlign w:val="center"/>
          </w:tcPr>
          <w:p>
            <w:pPr>
              <w:pStyle w:val="TableContents"/>
              <w:spacing w:lineRule="atLeast" w:line="280" w:before="0" w:after="0"/>
              <w:rPr/>
            </w:pPr>
            <w:r>
              <w:rPr/>
              <w:t> </w:t>
            </w:r>
          </w:p>
        </w:tc>
        <w:tc>
          <w:tcPr>
            <w:tcW w:w="60" w:type="dxa"/>
            <w:tcBorders/>
            <w:shd w:fill="auto" w:val="clear"/>
            <w:vAlign w:val="center"/>
          </w:tcPr>
          <w:p>
            <w:pPr>
              <w:pStyle w:val="TableContents"/>
              <w:spacing w:before="0" w:after="283"/>
              <w:rPr/>
            </w:pPr>
            <w:r>
              <w:rPr/>
              <w:t> </w:t>
            </w:r>
          </w:p>
        </w:tc>
        <w:tc>
          <w:tcPr>
            <w:tcW w:w="107" w:type="dxa"/>
            <w:tcBorders/>
            <w:shd w:fill="auto" w:val="clear"/>
            <w:vAlign w:val="center"/>
          </w:tcPr>
          <w:p>
            <w:pPr>
              <w:pStyle w:val="TableContents"/>
              <w:spacing w:lineRule="atLeast" w:line="280" w:before="0" w:after="0"/>
              <w:rPr/>
            </w:pPr>
            <w:r>
              <w:rPr/>
              <w:t> </w:t>
            </w:r>
          </w:p>
        </w:tc>
        <w:tc>
          <w:tcPr>
            <w:tcW w:w="603" w:type="dxa"/>
            <w:tcBorders/>
            <w:shd w:fill="auto" w:val="clear"/>
            <w:vAlign w:val="center"/>
          </w:tcPr>
          <w:p>
            <w:pPr>
              <w:pStyle w:val="TableContents"/>
              <w:spacing w:lineRule="atLeast" w:line="280" w:before="0" w:after="0"/>
              <w:jc w:val="right"/>
              <w:rPr>
                <w:rFonts w:ascii="ARIAL" w:hAnsi="ARIAL"/>
                <w:sz w:val="16"/>
              </w:rPr>
            </w:pPr>
            <w:r>
              <w:rPr>
                <w:rFonts w:ascii="ARIAL" w:hAnsi="ARIAL"/>
                <w:sz w:val="16"/>
              </w:rPr>
              <w:t>11.3%</w:t>
            </w:r>
          </w:p>
        </w:tc>
        <w:tc>
          <w:tcPr>
            <w:tcW w:w="60" w:type="dxa"/>
            <w:tcBorders/>
            <w:shd w:fill="auto" w:val="clear"/>
            <w:vAlign w:val="center"/>
          </w:tcPr>
          <w:p>
            <w:pPr>
              <w:pStyle w:val="TableContents"/>
              <w:spacing w:lineRule="atLeast" w:line="280" w:before="0" w:after="0"/>
              <w:rPr/>
            </w:pPr>
            <w:r>
              <w:rPr/>
              <w:t> </w:t>
            </w:r>
          </w:p>
        </w:tc>
        <w:tc>
          <w:tcPr>
            <w:tcW w:w="60" w:type="dxa"/>
            <w:tcBorders/>
            <w:shd w:fill="auto" w:val="clear"/>
            <w:vAlign w:val="center"/>
          </w:tcPr>
          <w:p>
            <w:pPr>
              <w:pStyle w:val="TableContents"/>
              <w:spacing w:before="0" w:after="283"/>
              <w:rPr/>
            </w:pPr>
            <w:r>
              <w:rPr/>
              <w:t> </w:t>
            </w:r>
          </w:p>
        </w:tc>
        <w:tc>
          <w:tcPr>
            <w:tcW w:w="198" w:type="dxa"/>
            <w:tcBorders/>
            <w:shd w:fill="auto" w:val="clear"/>
            <w:vAlign w:val="center"/>
          </w:tcPr>
          <w:p>
            <w:pPr>
              <w:pStyle w:val="TableContents"/>
              <w:spacing w:lineRule="atLeast" w:line="280" w:before="0" w:after="0"/>
              <w:rPr/>
            </w:pPr>
            <w:r>
              <w:rPr/>
              <w:t> </w:t>
            </w:r>
          </w:p>
        </w:tc>
        <w:tc>
          <w:tcPr>
            <w:tcW w:w="662" w:type="dxa"/>
            <w:tcBorders/>
            <w:shd w:fill="auto" w:val="clear"/>
            <w:vAlign w:val="center"/>
          </w:tcPr>
          <w:p>
            <w:pPr>
              <w:pStyle w:val="TableContents"/>
              <w:spacing w:lineRule="atLeast" w:line="280" w:before="0" w:after="0"/>
              <w:jc w:val="right"/>
              <w:rPr>
                <w:rFonts w:ascii="ARIAL" w:hAnsi="ARIAL"/>
                <w:sz w:val="16"/>
              </w:rPr>
            </w:pPr>
            <w:r>
              <w:rPr>
                <w:rFonts w:ascii="ARIAL" w:hAnsi="ARIAL"/>
                <w:sz w:val="16"/>
              </w:rPr>
              <w:t>25%</w:t>
            </w:r>
          </w:p>
        </w:tc>
        <w:tc>
          <w:tcPr>
            <w:tcW w:w="60" w:type="dxa"/>
            <w:tcBorders/>
            <w:shd w:fill="auto" w:val="clear"/>
            <w:vAlign w:val="center"/>
          </w:tcPr>
          <w:p>
            <w:pPr>
              <w:pStyle w:val="TableContents"/>
              <w:spacing w:lineRule="atLeast" w:line="280" w:before="0" w:after="0"/>
              <w:rPr/>
            </w:pPr>
            <w:r>
              <w:rPr/>
              <w:t> </w:t>
            </w:r>
          </w:p>
        </w:tc>
        <w:tc>
          <w:tcPr>
            <w:tcW w:w="60" w:type="dxa"/>
            <w:tcBorders/>
            <w:shd w:fill="auto" w:val="clear"/>
            <w:vAlign w:val="center"/>
          </w:tcPr>
          <w:p>
            <w:pPr>
              <w:pStyle w:val="TableContents"/>
              <w:spacing w:before="0" w:after="283"/>
              <w:rPr/>
            </w:pPr>
            <w:r>
              <w:rPr/>
              <w:t> </w:t>
            </w:r>
          </w:p>
        </w:tc>
        <w:tc>
          <w:tcPr>
            <w:tcW w:w="295" w:type="dxa"/>
            <w:tcBorders/>
            <w:shd w:fill="auto" w:val="clear"/>
            <w:vAlign w:val="center"/>
          </w:tcPr>
          <w:p>
            <w:pPr>
              <w:pStyle w:val="TableContents"/>
              <w:spacing w:lineRule="atLeast" w:line="280" w:before="0" w:after="0"/>
              <w:rPr/>
            </w:pPr>
            <w:r>
              <w:rPr/>
              <w:t> </w:t>
            </w:r>
          </w:p>
        </w:tc>
        <w:tc>
          <w:tcPr>
            <w:tcW w:w="985" w:type="dxa"/>
            <w:tcBorders/>
            <w:shd w:fill="auto" w:val="clear"/>
            <w:vAlign w:val="center"/>
          </w:tcPr>
          <w:p>
            <w:pPr>
              <w:pStyle w:val="TableContents"/>
              <w:spacing w:lineRule="atLeast" w:line="280" w:before="0" w:after="0"/>
              <w:jc w:val="right"/>
              <w:rPr>
                <w:rFonts w:ascii="ARIAL" w:hAnsi="ARIAL"/>
                <w:sz w:val="16"/>
              </w:rPr>
            </w:pPr>
            <w:r>
              <w:rPr>
                <w:rFonts w:ascii="ARIAL" w:hAnsi="ARIAL"/>
                <w:sz w:val="16"/>
              </w:rPr>
              <w:t>0%</w:t>
            </w:r>
          </w:p>
        </w:tc>
        <w:tc>
          <w:tcPr>
            <w:tcW w:w="60" w:type="dxa"/>
            <w:tcBorders/>
            <w:shd w:fill="auto" w:val="clear"/>
            <w:vAlign w:val="center"/>
          </w:tcPr>
          <w:p>
            <w:pPr>
              <w:pStyle w:val="TableContents"/>
              <w:spacing w:lineRule="atLeast" w:line="280" w:before="0" w:after="0"/>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lineRule="atLeast" w:line="280" w:before="0" w:after="0"/>
              <w:rPr/>
            </w:pPr>
            <w:r>
              <w:rPr/>
              <w:t> </w:t>
            </w:r>
          </w:p>
        </w:tc>
        <w:tc>
          <w:tcPr>
            <w:tcW w:w="485" w:type="dxa"/>
            <w:tcBorders/>
            <w:shd w:fill="auto" w:val="clear"/>
            <w:vAlign w:val="center"/>
          </w:tcPr>
          <w:p>
            <w:pPr>
              <w:pStyle w:val="TableContents"/>
              <w:spacing w:lineRule="atLeast" w:line="280" w:before="0" w:after="0"/>
              <w:jc w:val="right"/>
              <w:rPr>
                <w:rFonts w:ascii="ARIAL" w:hAnsi="ARIAL"/>
                <w:sz w:val="16"/>
              </w:rPr>
            </w:pPr>
            <w:r>
              <w:rPr>
                <w:rFonts w:ascii="ARIAL" w:hAnsi="ARIAL"/>
                <w:sz w:val="16"/>
              </w:rPr>
              <w:t>36.3%</w:t>
            </w:r>
          </w:p>
        </w:tc>
        <w:tc>
          <w:tcPr>
            <w:tcW w:w="75" w:type="dxa"/>
            <w:tcBorders>
              <w:right w:val="single" w:sz="6" w:space="0" w:color="000000"/>
            </w:tcBorders>
            <w:shd w:fill="auto" w:val="clear"/>
            <w:tcMar>
              <w:right w:w="40" w:type="dxa"/>
            </w:tcMar>
            <w:vAlign w:val="center"/>
          </w:tcPr>
          <w:p>
            <w:pPr>
              <w:pStyle w:val="TableContents"/>
              <w:spacing w:lineRule="atLeast" w:line="280" w:before="0" w:after="0"/>
              <w:rPr/>
            </w:pPr>
            <w:r>
              <w:rPr/>
              <w:t> </w:t>
            </w:r>
          </w:p>
        </w:tc>
      </w:tr>
      <w:tr>
        <w:trPr/>
        <w:tc>
          <w:tcPr>
            <w:tcW w:w="9240" w:type="dxa"/>
            <w:gridSpan w:val="32"/>
            <w:tcBorders>
              <w:left w:val="single" w:sz="6" w:space="0" w:color="000000"/>
            </w:tcBorders>
            <w:shd w:fill="D8D8D8" w:val="clear"/>
            <w:tcMar>
              <w:left w:w="160" w:type="dxa"/>
            </w:tcMar>
            <w:vAlign w:val="center"/>
          </w:tcPr>
          <w:p>
            <w:pPr>
              <w:pStyle w:val="TableContents"/>
              <w:spacing w:lineRule="atLeast" w:line="280" w:before="0" w:after="0"/>
              <w:rPr>
                <w:rFonts w:ascii="ARIAL" w:hAnsi="ARIAL"/>
                <w:b/>
                <w:sz w:val="16"/>
              </w:rPr>
            </w:pPr>
            <w:r>
              <w:rPr>
                <w:rFonts w:ascii="ARIAL" w:hAnsi="ARIAL"/>
                <w:b/>
                <w:sz w:val="16"/>
              </w:rPr>
              <w:t>Executive Chairman (Smith)</w:t>
            </w:r>
          </w:p>
        </w:tc>
        <w:tc>
          <w:tcPr>
            <w:tcW w:w="75" w:type="dxa"/>
            <w:tcBorders>
              <w:right w:val="single" w:sz="6" w:space="0" w:color="000000"/>
            </w:tcBorders>
            <w:shd w:fill="D8D8D8" w:val="clear"/>
            <w:tcMar>
              <w:right w:w="40" w:type="dxa"/>
            </w:tcMar>
            <w:vAlign w:val="center"/>
          </w:tcPr>
          <w:p>
            <w:pPr>
              <w:pStyle w:val="TableContents"/>
              <w:spacing w:lineRule="atLeast" w:line="280" w:before="0" w:after="0"/>
              <w:rPr/>
            </w:pPr>
            <w:r>
              <w:rPr/>
              <w:t> </w:t>
            </w:r>
          </w:p>
        </w:tc>
      </w:tr>
      <w:tr>
        <w:trPr/>
        <w:tc>
          <w:tcPr>
            <w:tcW w:w="890" w:type="dxa"/>
            <w:tcBorders>
              <w:left w:val="single" w:sz="6" w:space="0" w:color="000000"/>
              <w:bottom w:val="single" w:sz="6" w:space="0" w:color="000000"/>
            </w:tcBorders>
            <w:shd w:fill="auto" w:val="clear"/>
            <w:tcMar>
              <w:left w:w="160" w:type="dxa"/>
              <w:bottom w:w="28" w:type="dxa"/>
            </w:tcMar>
            <w:vAlign w:val="center"/>
          </w:tcPr>
          <w:p>
            <w:pPr>
              <w:pStyle w:val="TableContents"/>
              <w:spacing w:lineRule="atLeast" w:line="280" w:before="0" w:after="0"/>
              <w:rPr>
                <w:rFonts w:ascii="ARIAL" w:hAnsi="ARIAL"/>
                <w:sz w:val="16"/>
              </w:rPr>
            </w:pPr>
            <w:r>
              <w:rPr>
                <w:rFonts w:ascii="ARIAL" w:hAnsi="ARIAL"/>
                <w:sz w:val="16"/>
              </w:rPr>
              <w:t>Opportunity</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144" w:type="dxa"/>
            <w:tcBorders>
              <w:bottom w:val="single" w:sz="6" w:space="0" w:color="000000"/>
            </w:tcBorders>
            <w:shd w:fill="auto" w:val="clear"/>
            <w:tcMar>
              <w:bottom w:w="28" w:type="dxa"/>
            </w:tcMar>
            <w:vAlign w:val="center"/>
          </w:tcPr>
          <w:p>
            <w:pPr>
              <w:pStyle w:val="TableContents"/>
              <w:spacing w:lineRule="atLeast" w:line="280" w:before="0" w:after="0"/>
              <w:rPr/>
            </w:pPr>
            <w:r>
              <w:rPr/>
              <w:t> </w:t>
            </w:r>
          </w:p>
        </w:tc>
        <w:tc>
          <w:tcPr>
            <w:tcW w:w="701" w:type="dxa"/>
            <w:tcBorders>
              <w:bottom w:val="single" w:sz="6" w:space="0" w:color="000000"/>
            </w:tcBorders>
            <w:shd w:fill="auto" w:val="clear"/>
            <w:tcMar>
              <w:bottom w:w="28" w:type="dxa"/>
            </w:tcMar>
            <w:vAlign w:val="center"/>
          </w:tcPr>
          <w:p>
            <w:pPr>
              <w:pStyle w:val="TableContents"/>
              <w:spacing w:lineRule="atLeast" w:line="280" w:before="0" w:after="0"/>
              <w:jc w:val="right"/>
              <w:rPr>
                <w:rFonts w:ascii="ARIAL" w:hAnsi="ARIAL"/>
                <w:sz w:val="16"/>
              </w:rPr>
            </w:pPr>
            <w:r>
              <w:rPr>
                <w:rFonts w:ascii="ARIAL" w:hAnsi="ARIAL"/>
                <w:sz w:val="16"/>
              </w:rPr>
              <w:t>160%</w:t>
            </w:r>
          </w:p>
        </w:tc>
        <w:tc>
          <w:tcPr>
            <w:tcW w:w="60" w:type="dxa"/>
            <w:tcBorders>
              <w:bottom w:val="single" w:sz="6" w:space="0" w:color="000000"/>
            </w:tcBorders>
            <w:shd w:fill="auto" w:val="clear"/>
            <w:tcMar>
              <w:bottom w:w="28" w:type="dxa"/>
            </w:tcMar>
            <w:vAlign w:val="center"/>
          </w:tcPr>
          <w:p>
            <w:pPr>
              <w:pStyle w:val="TableContents"/>
              <w:spacing w:lineRule="atLeast" w:line="280" w:before="0" w:after="0"/>
              <w:rPr/>
            </w:pPr>
            <w:r>
              <w:rPr/>
              <w:t> </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312" w:type="dxa"/>
            <w:tcBorders>
              <w:bottom w:val="single" w:sz="6" w:space="0" w:color="000000"/>
            </w:tcBorders>
            <w:shd w:fill="auto" w:val="clear"/>
            <w:tcMar>
              <w:bottom w:w="28" w:type="dxa"/>
            </w:tcMar>
            <w:vAlign w:val="center"/>
          </w:tcPr>
          <w:p>
            <w:pPr>
              <w:pStyle w:val="TableContents"/>
              <w:spacing w:lineRule="atLeast" w:line="280" w:before="0" w:after="0"/>
              <w:rPr/>
            </w:pPr>
            <w:r>
              <w:rPr/>
              <w:t> </w:t>
            </w:r>
          </w:p>
        </w:tc>
        <w:tc>
          <w:tcPr>
            <w:tcW w:w="1043" w:type="dxa"/>
            <w:tcBorders>
              <w:bottom w:val="single" w:sz="6" w:space="0" w:color="000000"/>
            </w:tcBorders>
            <w:shd w:fill="auto" w:val="clear"/>
            <w:tcMar>
              <w:bottom w:w="28" w:type="dxa"/>
            </w:tcMar>
            <w:vAlign w:val="center"/>
          </w:tcPr>
          <w:p>
            <w:pPr>
              <w:pStyle w:val="TableContents"/>
              <w:spacing w:lineRule="atLeast" w:line="280" w:before="0" w:after="0"/>
              <w:jc w:val="right"/>
              <w:rPr>
                <w:rFonts w:ascii="ARIAL" w:hAnsi="ARIAL"/>
                <w:sz w:val="16"/>
              </w:rPr>
            </w:pPr>
            <w:r>
              <w:rPr>
                <w:rFonts w:ascii="ARIAL" w:hAnsi="ARIAL"/>
                <w:sz w:val="16"/>
              </w:rPr>
              <w:t>30%</w:t>
            </w:r>
          </w:p>
        </w:tc>
        <w:tc>
          <w:tcPr>
            <w:tcW w:w="60" w:type="dxa"/>
            <w:tcBorders>
              <w:bottom w:val="single" w:sz="6" w:space="0" w:color="000000"/>
            </w:tcBorders>
            <w:shd w:fill="auto" w:val="clear"/>
            <w:tcMar>
              <w:bottom w:w="28" w:type="dxa"/>
            </w:tcMar>
            <w:vAlign w:val="center"/>
          </w:tcPr>
          <w:p>
            <w:pPr>
              <w:pStyle w:val="TableContents"/>
              <w:spacing w:lineRule="atLeast" w:line="280" w:before="0" w:after="0"/>
              <w:rPr/>
            </w:pPr>
            <w:r>
              <w:rPr/>
              <w:t> </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128" w:type="dxa"/>
            <w:tcBorders>
              <w:bottom w:val="single" w:sz="6" w:space="0" w:color="000000"/>
            </w:tcBorders>
            <w:shd w:fill="auto" w:val="clear"/>
            <w:tcMar>
              <w:bottom w:w="28" w:type="dxa"/>
            </w:tcMar>
            <w:vAlign w:val="center"/>
          </w:tcPr>
          <w:p>
            <w:pPr>
              <w:pStyle w:val="TableContents"/>
              <w:spacing w:lineRule="atLeast" w:line="280" w:before="0" w:after="0"/>
              <w:rPr/>
            </w:pPr>
            <w:r>
              <w:rPr/>
              <w:t> </w:t>
            </w:r>
          </w:p>
        </w:tc>
        <w:tc>
          <w:tcPr>
            <w:tcW w:w="717" w:type="dxa"/>
            <w:tcBorders>
              <w:bottom w:val="single" w:sz="6" w:space="0" w:color="000000"/>
            </w:tcBorders>
            <w:shd w:fill="auto" w:val="clear"/>
            <w:tcMar>
              <w:bottom w:w="28" w:type="dxa"/>
            </w:tcMar>
            <w:vAlign w:val="center"/>
          </w:tcPr>
          <w:p>
            <w:pPr>
              <w:pStyle w:val="TableContents"/>
              <w:spacing w:lineRule="atLeast" w:line="280" w:before="0" w:after="0"/>
              <w:jc w:val="right"/>
              <w:rPr>
                <w:rFonts w:ascii="ARIAL" w:hAnsi="ARIAL"/>
                <w:sz w:val="16"/>
              </w:rPr>
            </w:pPr>
            <w:r>
              <w:rPr>
                <w:rFonts w:ascii="ARIAL" w:hAnsi="ARIAL"/>
                <w:sz w:val="16"/>
              </w:rPr>
              <w:t>25%</w:t>
            </w:r>
          </w:p>
        </w:tc>
        <w:tc>
          <w:tcPr>
            <w:tcW w:w="60" w:type="dxa"/>
            <w:tcBorders>
              <w:bottom w:val="single" w:sz="6" w:space="0" w:color="000000"/>
            </w:tcBorders>
            <w:shd w:fill="auto" w:val="clear"/>
            <w:tcMar>
              <w:bottom w:w="28" w:type="dxa"/>
            </w:tcMar>
            <w:vAlign w:val="center"/>
          </w:tcPr>
          <w:p>
            <w:pPr>
              <w:pStyle w:val="TableContents"/>
              <w:spacing w:lineRule="atLeast" w:line="280" w:before="0" w:after="0"/>
              <w:rPr/>
            </w:pPr>
            <w:r>
              <w:rPr/>
              <w:t> </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219" w:type="dxa"/>
            <w:tcBorders>
              <w:bottom w:val="single" w:sz="6" w:space="0" w:color="000000"/>
            </w:tcBorders>
            <w:shd w:fill="auto" w:val="clear"/>
            <w:tcMar>
              <w:bottom w:w="28" w:type="dxa"/>
            </w:tcMar>
            <w:vAlign w:val="center"/>
          </w:tcPr>
          <w:p>
            <w:pPr>
              <w:pStyle w:val="TableContents"/>
              <w:spacing w:lineRule="atLeast" w:line="280" w:before="0" w:after="0"/>
              <w:rPr/>
            </w:pPr>
            <w:r>
              <w:rPr/>
              <w:t> </w:t>
            </w:r>
          </w:p>
        </w:tc>
        <w:tc>
          <w:tcPr>
            <w:tcW w:w="731" w:type="dxa"/>
            <w:tcBorders>
              <w:bottom w:val="single" w:sz="6" w:space="0" w:color="000000"/>
            </w:tcBorders>
            <w:shd w:fill="auto" w:val="clear"/>
            <w:tcMar>
              <w:bottom w:w="28" w:type="dxa"/>
            </w:tcMar>
            <w:vAlign w:val="center"/>
          </w:tcPr>
          <w:p>
            <w:pPr>
              <w:pStyle w:val="TableContents"/>
              <w:spacing w:lineRule="atLeast" w:line="280" w:before="0" w:after="0"/>
              <w:jc w:val="right"/>
              <w:rPr>
                <w:rFonts w:ascii="ARIAL" w:hAnsi="ARIAL"/>
                <w:sz w:val="16"/>
              </w:rPr>
            </w:pPr>
            <w:r>
              <w:rPr>
                <w:rFonts w:ascii="ARIAL" w:hAnsi="ARIAL"/>
                <w:sz w:val="16"/>
              </w:rPr>
              <w:t>10%</w:t>
            </w:r>
          </w:p>
        </w:tc>
        <w:tc>
          <w:tcPr>
            <w:tcW w:w="60" w:type="dxa"/>
            <w:tcBorders>
              <w:bottom w:val="single" w:sz="6" w:space="0" w:color="000000"/>
            </w:tcBorders>
            <w:shd w:fill="auto" w:val="clear"/>
            <w:tcMar>
              <w:bottom w:w="28" w:type="dxa"/>
            </w:tcMar>
            <w:vAlign w:val="center"/>
          </w:tcPr>
          <w:p>
            <w:pPr>
              <w:pStyle w:val="TableContents"/>
              <w:spacing w:lineRule="atLeast" w:line="280" w:before="0" w:after="0"/>
              <w:rPr/>
            </w:pPr>
            <w:r>
              <w:rPr/>
              <w:t> </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107" w:type="dxa"/>
            <w:tcBorders>
              <w:bottom w:val="single" w:sz="6" w:space="0" w:color="000000"/>
            </w:tcBorders>
            <w:shd w:fill="auto" w:val="clear"/>
            <w:tcMar>
              <w:bottom w:w="28" w:type="dxa"/>
            </w:tcMar>
            <w:vAlign w:val="center"/>
          </w:tcPr>
          <w:p>
            <w:pPr>
              <w:pStyle w:val="TableContents"/>
              <w:spacing w:lineRule="atLeast" w:line="280" w:before="0" w:after="0"/>
              <w:rPr/>
            </w:pPr>
            <w:r>
              <w:rPr/>
              <w:t> </w:t>
            </w:r>
          </w:p>
        </w:tc>
        <w:tc>
          <w:tcPr>
            <w:tcW w:w="603" w:type="dxa"/>
            <w:tcBorders>
              <w:bottom w:val="single" w:sz="6" w:space="0" w:color="000000"/>
            </w:tcBorders>
            <w:shd w:fill="auto" w:val="clear"/>
            <w:tcMar>
              <w:bottom w:w="28" w:type="dxa"/>
            </w:tcMar>
            <w:vAlign w:val="center"/>
          </w:tcPr>
          <w:p>
            <w:pPr>
              <w:pStyle w:val="TableContents"/>
              <w:spacing w:lineRule="atLeast" w:line="280" w:before="0" w:after="0"/>
              <w:jc w:val="right"/>
              <w:rPr>
                <w:rFonts w:ascii="ARIAL" w:hAnsi="ARIAL"/>
                <w:sz w:val="16"/>
              </w:rPr>
            </w:pPr>
            <w:r>
              <w:rPr>
                <w:rFonts w:ascii="ARIAL" w:hAnsi="ARIAL"/>
                <w:sz w:val="16"/>
              </w:rPr>
              <w:t>225%</w:t>
            </w:r>
          </w:p>
        </w:tc>
        <w:tc>
          <w:tcPr>
            <w:tcW w:w="60" w:type="dxa"/>
            <w:tcBorders>
              <w:bottom w:val="single" w:sz="6" w:space="0" w:color="000000"/>
            </w:tcBorders>
            <w:shd w:fill="auto" w:val="clear"/>
            <w:tcMar>
              <w:bottom w:w="28" w:type="dxa"/>
            </w:tcMar>
            <w:vAlign w:val="center"/>
          </w:tcPr>
          <w:p>
            <w:pPr>
              <w:pStyle w:val="TableContents"/>
              <w:spacing w:lineRule="atLeast" w:line="280" w:before="0" w:after="0"/>
              <w:rPr/>
            </w:pPr>
            <w:r>
              <w:rPr/>
              <w:t> </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198" w:type="dxa"/>
            <w:tcBorders>
              <w:bottom w:val="single" w:sz="6" w:space="0" w:color="000000"/>
            </w:tcBorders>
            <w:shd w:fill="auto" w:val="clear"/>
            <w:tcMar>
              <w:bottom w:w="28" w:type="dxa"/>
            </w:tcMar>
            <w:vAlign w:val="center"/>
          </w:tcPr>
          <w:p>
            <w:pPr>
              <w:pStyle w:val="TableContents"/>
              <w:spacing w:lineRule="atLeast" w:line="280" w:before="0" w:after="0"/>
              <w:rPr/>
            </w:pPr>
            <w:r>
              <w:rPr/>
              <w:t> </w:t>
            </w:r>
          </w:p>
        </w:tc>
        <w:tc>
          <w:tcPr>
            <w:tcW w:w="662" w:type="dxa"/>
            <w:tcBorders>
              <w:bottom w:val="single" w:sz="6" w:space="0" w:color="000000"/>
            </w:tcBorders>
            <w:shd w:fill="auto" w:val="clear"/>
            <w:tcMar>
              <w:bottom w:w="28" w:type="dxa"/>
            </w:tcMar>
            <w:vAlign w:val="center"/>
          </w:tcPr>
          <w:p>
            <w:pPr>
              <w:pStyle w:val="TableContents"/>
              <w:spacing w:lineRule="atLeast" w:line="280" w:before="0" w:after="0"/>
              <w:jc w:val="right"/>
              <w:rPr>
                <w:rFonts w:ascii="ARIAL" w:hAnsi="ARIAL"/>
                <w:sz w:val="16"/>
              </w:rPr>
            </w:pPr>
            <w:r>
              <w:rPr>
                <w:rFonts w:ascii="ARIAL" w:hAnsi="ARIAL"/>
                <w:sz w:val="16"/>
              </w:rPr>
              <w:t>40%</w:t>
            </w:r>
          </w:p>
        </w:tc>
        <w:tc>
          <w:tcPr>
            <w:tcW w:w="60" w:type="dxa"/>
            <w:tcBorders>
              <w:bottom w:val="single" w:sz="6" w:space="0" w:color="000000"/>
            </w:tcBorders>
            <w:shd w:fill="auto" w:val="clear"/>
            <w:tcMar>
              <w:bottom w:w="28" w:type="dxa"/>
            </w:tcMar>
            <w:vAlign w:val="center"/>
          </w:tcPr>
          <w:p>
            <w:pPr>
              <w:pStyle w:val="TableContents"/>
              <w:spacing w:lineRule="atLeast" w:line="280" w:before="0" w:after="0"/>
              <w:rPr/>
            </w:pPr>
            <w:r>
              <w:rPr/>
              <w:t> </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295" w:type="dxa"/>
            <w:tcBorders>
              <w:bottom w:val="single" w:sz="6" w:space="0" w:color="000000"/>
            </w:tcBorders>
            <w:shd w:fill="auto" w:val="clear"/>
            <w:tcMar>
              <w:bottom w:w="28" w:type="dxa"/>
            </w:tcMar>
            <w:vAlign w:val="center"/>
          </w:tcPr>
          <w:p>
            <w:pPr>
              <w:pStyle w:val="TableContents"/>
              <w:spacing w:lineRule="atLeast" w:line="280" w:before="0" w:after="0"/>
              <w:rPr/>
            </w:pPr>
            <w:r>
              <w:rPr/>
              <w:t> </w:t>
            </w:r>
          </w:p>
        </w:tc>
        <w:tc>
          <w:tcPr>
            <w:tcW w:w="985" w:type="dxa"/>
            <w:tcBorders>
              <w:bottom w:val="single" w:sz="6" w:space="0" w:color="000000"/>
            </w:tcBorders>
            <w:shd w:fill="auto" w:val="clear"/>
            <w:tcMar>
              <w:bottom w:w="28" w:type="dxa"/>
            </w:tcMar>
            <w:vAlign w:val="center"/>
          </w:tcPr>
          <w:p>
            <w:pPr>
              <w:pStyle w:val="TableContents"/>
              <w:spacing w:lineRule="atLeast" w:line="280" w:before="0" w:after="0"/>
              <w:jc w:val="right"/>
              <w:rPr>
                <w:rFonts w:ascii="ARIAL" w:hAnsi="ARIAL"/>
                <w:sz w:val="16"/>
              </w:rPr>
            </w:pPr>
            <w:r>
              <w:rPr>
                <w:rFonts w:ascii="ARIAL" w:hAnsi="ARIAL"/>
                <w:sz w:val="16"/>
              </w:rPr>
              <w:t>35%</w:t>
            </w:r>
          </w:p>
        </w:tc>
        <w:tc>
          <w:tcPr>
            <w:tcW w:w="60" w:type="dxa"/>
            <w:tcBorders>
              <w:bottom w:val="single" w:sz="6" w:space="0" w:color="000000"/>
            </w:tcBorders>
            <w:shd w:fill="auto" w:val="clear"/>
            <w:tcMar>
              <w:bottom w:w="28" w:type="dxa"/>
            </w:tcMar>
            <w:vAlign w:val="center"/>
          </w:tcPr>
          <w:p>
            <w:pPr>
              <w:pStyle w:val="TableContents"/>
              <w:spacing w:lineRule="atLeast" w:line="280" w:before="0" w:after="0"/>
              <w:rPr/>
            </w:pPr>
            <w:r>
              <w:rPr/>
              <w:t> </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60" w:type="dxa"/>
            <w:tcBorders>
              <w:bottom w:val="single" w:sz="6" w:space="0" w:color="000000"/>
            </w:tcBorders>
            <w:shd w:fill="auto" w:val="clear"/>
            <w:tcMar>
              <w:bottom w:w="28" w:type="dxa"/>
            </w:tcMar>
            <w:vAlign w:val="center"/>
          </w:tcPr>
          <w:p>
            <w:pPr>
              <w:pStyle w:val="TableContents"/>
              <w:spacing w:lineRule="atLeast" w:line="280" w:before="0" w:after="0"/>
              <w:rPr/>
            </w:pPr>
            <w:r>
              <w:rPr/>
              <w:t> </w:t>
            </w:r>
          </w:p>
        </w:tc>
        <w:tc>
          <w:tcPr>
            <w:tcW w:w="485" w:type="dxa"/>
            <w:tcBorders>
              <w:bottom w:val="single" w:sz="6" w:space="0" w:color="000000"/>
            </w:tcBorders>
            <w:shd w:fill="auto" w:val="clear"/>
            <w:tcMar>
              <w:bottom w:w="28" w:type="dxa"/>
            </w:tcMar>
            <w:vAlign w:val="center"/>
          </w:tcPr>
          <w:p>
            <w:pPr>
              <w:pStyle w:val="TableContents"/>
              <w:spacing w:lineRule="atLeast" w:line="280" w:before="0" w:after="0"/>
              <w:jc w:val="right"/>
              <w:rPr>
                <w:rFonts w:ascii="ARIAL" w:hAnsi="ARIAL"/>
                <w:sz w:val="16"/>
              </w:rPr>
            </w:pPr>
            <w:r>
              <w:rPr>
                <w:rFonts w:ascii="ARIAL" w:hAnsi="ARIAL"/>
                <w:sz w:val="16"/>
              </w:rPr>
              <w:t>300%</w:t>
            </w:r>
          </w:p>
        </w:tc>
        <w:tc>
          <w:tcPr>
            <w:tcW w:w="75" w:type="dxa"/>
            <w:tcBorders>
              <w:bottom w:val="single" w:sz="6" w:space="0" w:color="000000"/>
              <w:right w:val="single" w:sz="6" w:space="0" w:color="000000"/>
            </w:tcBorders>
            <w:shd w:fill="auto" w:val="clear"/>
            <w:tcMar>
              <w:bottom w:w="28" w:type="dxa"/>
              <w:right w:w="40" w:type="dxa"/>
            </w:tcMar>
            <w:vAlign w:val="center"/>
          </w:tcPr>
          <w:p>
            <w:pPr>
              <w:pStyle w:val="TableContents"/>
              <w:spacing w:lineRule="atLeast" w:line="280" w:before="0" w:after="0"/>
              <w:rPr/>
            </w:pPr>
            <w:r>
              <w:rPr/>
              <w:t> </w:t>
            </w:r>
          </w:p>
        </w:tc>
      </w:tr>
      <w:tr>
        <w:trPr/>
        <w:tc>
          <w:tcPr>
            <w:tcW w:w="890" w:type="dxa"/>
            <w:tcBorders>
              <w:left w:val="single" w:sz="6" w:space="0" w:color="000000"/>
              <w:bottom w:val="single" w:sz="6" w:space="0" w:color="000000"/>
            </w:tcBorders>
            <w:shd w:fill="auto" w:val="clear"/>
            <w:tcMar>
              <w:left w:w="160" w:type="dxa"/>
              <w:bottom w:w="28" w:type="dxa"/>
            </w:tcMar>
            <w:vAlign w:val="center"/>
          </w:tcPr>
          <w:p>
            <w:pPr>
              <w:pStyle w:val="TableContents"/>
              <w:spacing w:lineRule="atLeast" w:line="280" w:before="0" w:after="0"/>
              <w:rPr>
                <w:rFonts w:ascii="ARIAL" w:hAnsi="ARIAL"/>
                <w:sz w:val="16"/>
              </w:rPr>
            </w:pPr>
            <w:r>
              <w:rPr>
                <w:rFonts w:ascii="ARIAL" w:hAnsi="ARIAL"/>
                <w:sz w:val="16"/>
              </w:rPr>
              <w:t>Attainment</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144" w:type="dxa"/>
            <w:tcBorders>
              <w:bottom w:val="single" w:sz="6" w:space="0" w:color="000000"/>
            </w:tcBorders>
            <w:shd w:fill="auto" w:val="clear"/>
            <w:tcMar>
              <w:bottom w:w="28" w:type="dxa"/>
            </w:tcMar>
            <w:vAlign w:val="center"/>
          </w:tcPr>
          <w:p>
            <w:pPr>
              <w:pStyle w:val="TableContents"/>
              <w:spacing w:lineRule="atLeast" w:line="280" w:before="0" w:after="0"/>
              <w:rPr/>
            </w:pPr>
            <w:r>
              <w:rPr/>
              <w:t> </w:t>
            </w:r>
          </w:p>
        </w:tc>
        <w:tc>
          <w:tcPr>
            <w:tcW w:w="701" w:type="dxa"/>
            <w:tcBorders>
              <w:bottom w:val="single" w:sz="6" w:space="0" w:color="000000"/>
            </w:tcBorders>
            <w:shd w:fill="auto" w:val="clear"/>
            <w:tcMar>
              <w:bottom w:w="28" w:type="dxa"/>
            </w:tcMar>
            <w:vAlign w:val="center"/>
          </w:tcPr>
          <w:p>
            <w:pPr>
              <w:pStyle w:val="TableContents"/>
              <w:spacing w:lineRule="atLeast" w:line="280" w:before="0" w:after="0"/>
              <w:jc w:val="right"/>
              <w:rPr>
                <w:rFonts w:ascii="ARIAL" w:hAnsi="ARIAL"/>
                <w:sz w:val="16"/>
              </w:rPr>
            </w:pPr>
            <w:r>
              <w:rPr>
                <w:rFonts w:ascii="ARIAL" w:hAnsi="ARIAL"/>
                <w:sz w:val="16"/>
              </w:rPr>
              <w:t>0%</w:t>
            </w:r>
          </w:p>
        </w:tc>
        <w:tc>
          <w:tcPr>
            <w:tcW w:w="60" w:type="dxa"/>
            <w:tcBorders>
              <w:bottom w:val="single" w:sz="6" w:space="0" w:color="000000"/>
            </w:tcBorders>
            <w:shd w:fill="auto" w:val="clear"/>
            <w:tcMar>
              <w:bottom w:w="28" w:type="dxa"/>
            </w:tcMar>
            <w:vAlign w:val="center"/>
          </w:tcPr>
          <w:p>
            <w:pPr>
              <w:pStyle w:val="TableContents"/>
              <w:spacing w:lineRule="atLeast" w:line="280" w:before="0" w:after="0"/>
              <w:rPr/>
            </w:pPr>
            <w:r>
              <w:rPr/>
              <w:t> </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312" w:type="dxa"/>
            <w:tcBorders>
              <w:bottom w:val="single" w:sz="6" w:space="0" w:color="000000"/>
            </w:tcBorders>
            <w:shd w:fill="auto" w:val="clear"/>
            <w:tcMar>
              <w:bottom w:w="28" w:type="dxa"/>
            </w:tcMar>
            <w:vAlign w:val="center"/>
          </w:tcPr>
          <w:p>
            <w:pPr>
              <w:pStyle w:val="TableContents"/>
              <w:spacing w:lineRule="atLeast" w:line="280" w:before="0" w:after="0"/>
              <w:rPr/>
            </w:pPr>
            <w:r>
              <w:rPr/>
              <w:t> </w:t>
            </w:r>
          </w:p>
        </w:tc>
        <w:tc>
          <w:tcPr>
            <w:tcW w:w="1043" w:type="dxa"/>
            <w:tcBorders>
              <w:bottom w:val="single" w:sz="6" w:space="0" w:color="000000"/>
            </w:tcBorders>
            <w:shd w:fill="auto" w:val="clear"/>
            <w:tcMar>
              <w:bottom w:w="28" w:type="dxa"/>
            </w:tcMar>
            <w:vAlign w:val="center"/>
          </w:tcPr>
          <w:p>
            <w:pPr>
              <w:pStyle w:val="TableContents"/>
              <w:spacing w:lineRule="atLeast" w:line="280" w:before="0" w:after="0"/>
              <w:jc w:val="right"/>
              <w:rPr>
                <w:rFonts w:ascii="ARIAL" w:hAnsi="ARIAL"/>
                <w:sz w:val="16"/>
              </w:rPr>
            </w:pPr>
            <w:r>
              <w:rPr>
                <w:rFonts w:ascii="ARIAL" w:hAnsi="ARIAL"/>
                <w:sz w:val="16"/>
              </w:rPr>
              <w:t>0%</w:t>
            </w:r>
          </w:p>
        </w:tc>
        <w:tc>
          <w:tcPr>
            <w:tcW w:w="60" w:type="dxa"/>
            <w:tcBorders>
              <w:bottom w:val="single" w:sz="6" w:space="0" w:color="000000"/>
            </w:tcBorders>
            <w:shd w:fill="auto" w:val="clear"/>
            <w:tcMar>
              <w:bottom w:w="28" w:type="dxa"/>
            </w:tcMar>
            <w:vAlign w:val="center"/>
          </w:tcPr>
          <w:p>
            <w:pPr>
              <w:pStyle w:val="TableContents"/>
              <w:spacing w:lineRule="atLeast" w:line="280" w:before="0" w:after="0"/>
              <w:rPr/>
            </w:pPr>
            <w:r>
              <w:rPr/>
              <w:t> </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128" w:type="dxa"/>
            <w:tcBorders>
              <w:bottom w:val="single" w:sz="6" w:space="0" w:color="000000"/>
            </w:tcBorders>
            <w:shd w:fill="auto" w:val="clear"/>
            <w:tcMar>
              <w:bottom w:w="28" w:type="dxa"/>
            </w:tcMar>
            <w:vAlign w:val="center"/>
          </w:tcPr>
          <w:p>
            <w:pPr>
              <w:pStyle w:val="TableContents"/>
              <w:spacing w:lineRule="atLeast" w:line="280" w:before="0" w:after="0"/>
              <w:rPr/>
            </w:pPr>
            <w:r>
              <w:rPr/>
              <w:t> </w:t>
            </w:r>
          </w:p>
        </w:tc>
        <w:tc>
          <w:tcPr>
            <w:tcW w:w="717" w:type="dxa"/>
            <w:tcBorders>
              <w:bottom w:val="single" w:sz="6" w:space="0" w:color="000000"/>
            </w:tcBorders>
            <w:shd w:fill="auto" w:val="clear"/>
            <w:tcMar>
              <w:bottom w:w="28" w:type="dxa"/>
            </w:tcMar>
            <w:vAlign w:val="center"/>
          </w:tcPr>
          <w:p>
            <w:pPr>
              <w:pStyle w:val="TableContents"/>
              <w:spacing w:lineRule="atLeast" w:line="280" w:before="0" w:after="0"/>
              <w:jc w:val="right"/>
              <w:rPr>
                <w:rFonts w:ascii="ARIAL" w:hAnsi="ARIAL"/>
                <w:sz w:val="16"/>
              </w:rPr>
            </w:pPr>
            <w:r>
              <w:rPr>
                <w:rFonts w:ascii="ARIAL" w:hAnsi="ARIAL"/>
                <w:sz w:val="16"/>
              </w:rPr>
              <w:t>18.8%</w:t>
            </w:r>
          </w:p>
        </w:tc>
        <w:tc>
          <w:tcPr>
            <w:tcW w:w="60" w:type="dxa"/>
            <w:tcBorders>
              <w:bottom w:val="single" w:sz="6" w:space="0" w:color="000000"/>
            </w:tcBorders>
            <w:shd w:fill="auto" w:val="clear"/>
            <w:tcMar>
              <w:bottom w:w="28" w:type="dxa"/>
            </w:tcMar>
            <w:vAlign w:val="center"/>
          </w:tcPr>
          <w:p>
            <w:pPr>
              <w:pStyle w:val="TableContents"/>
              <w:spacing w:lineRule="atLeast" w:line="280" w:before="0" w:after="0"/>
              <w:rPr/>
            </w:pPr>
            <w:r>
              <w:rPr/>
              <w:t> </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219" w:type="dxa"/>
            <w:tcBorders>
              <w:bottom w:val="single" w:sz="6" w:space="0" w:color="000000"/>
            </w:tcBorders>
            <w:shd w:fill="auto" w:val="clear"/>
            <w:tcMar>
              <w:bottom w:w="28" w:type="dxa"/>
            </w:tcMar>
            <w:vAlign w:val="center"/>
          </w:tcPr>
          <w:p>
            <w:pPr>
              <w:pStyle w:val="TableContents"/>
              <w:spacing w:lineRule="atLeast" w:line="280" w:before="0" w:after="0"/>
              <w:rPr/>
            </w:pPr>
            <w:r>
              <w:rPr/>
              <w:t> </w:t>
            </w:r>
          </w:p>
        </w:tc>
        <w:tc>
          <w:tcPr>
            <w:tcW w:w="731" w:type="dxa"/>
            <w:tcBorders>
              <w:bottom w:val="single" w:sz="6" w:space="0" w:color="000000"/>
            </w:tcBorders>
            <w:shd w:fill="auto" w:val="clear"/>
            <w:tcMar>
              <w:bottom w:w="28" w:type="dxa"/>
            </w:tcMar>
            <w:vAlign w:val="center"/>
          </w:tcPr>
          <w:p>
            <w:pPr>
              <w:pStyle w:val="TableContents"/>
              <w:spacing w:lineRule="atLeast" w:line="280" w:before="0" w:after="0"/>
              <w:jc w:val="right"/>
              <w:rPr>
                <w:rFonts w:ascii="ARIAL" w:hAnsi="ARIAL"/>
                <w:sz w:val="16"/>
              </w:rPr>
            </w:pPr>
            <w:r>
              <w:rPr>
                <w:rFonts w:ascii="ARIAL" w:hAnsi="ARIAL"/>
                <w:sz w:val="16"/>
              </w:rPr>
              <w:t>0%</w:t>
            </w:r>
          </w:p>
        </w:tc>
        <w:tc>
          <w:tcPr>
            <w:tcW w:w="60" w:type="dxa"/>
            <w:tcBorders>
              <w:bottom w:val="single" w:sz="6" w:space="0" w:color="000000"/>
            </w:tcBorders>
            <w:shd w:fill="auto" w:val="clear"/>
            <w:tcMar>
              <w:bottom w:w="28" w:type="dxa"/>
            </w:tcMar>
            <w:vAlign w:val="center"/>
          </w:tcPr>
          <w:p>
            <w:pPr>
              <w:pStyle w:val="TableContents"/>
              <w:spacing w:lineRule="atLeast" w:line="280" w:before="0" w:after="0"/>
              <w:rPr/>
            </w:pPr>
            <w:r>
              <w:rPr/>
              <w:t> </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107" w:type="dxa"/>
            <w:tcBorders>
              <w:bottom w:val="single" w:sz="6" w:space="0" w:color="000000"/>
            </w:tcBorders>
            <w:shd w:fill="auto" w:val="clear"/>
            <w:tcMar>
              <w:bottom w:w="28" w:type="dxa"/>
            </w:tcMar>
            <w:vAlign w:val="center"/>
          </w:tcPr>
          <w:p>
            <w:pPr>
              <w:pStyle w:val="TableContents"/>
              <w:spacing w:lineRule="atLeast" w:line="280" w:before="0" w:after="0"/>
              <w:rPr/>
            </w:pPr>
            <w:r>
              <w:rPr/>
              <w:t> </w:t>
            </w:r>
          </w:p>
        </w:tc>
        <w:tc>
          <w:tcPr>
            <w:tcW w:w="603" w:type="dxa"/>
            <w:tcBorders>
              <w:bottom w:val="single" w:sz="6" w:space="0" w:color="000000"/>
            </w:tcBorders>
            <w:shd w:fill="auto" w:val="clear"/>
            <w:tcMar>
              <w:bottom w:w="28" w:type="dxa"/>
            </w:tcMar>
            <w:vAlign w:val="center"/>
          </w:tcPr>
          <w:p>
            <w:pPr>
              <w:pStyle w:val="TableContents"/>
              <w:spacing w:lineRule="atLeast" w:line="280" w:before="0" w:after="0"/>
              <w:jc w:val="right"/>
              <w:rPr>
                <w:rFonts w:ascii="ARIAL" w:hAnsi="ARIAL"/>
                <w:sz w:val="16"/>
              </w:rPr>
            </w:pPr>
            <w:r>
              <w:rPr>
                <w:rFonts w:ascii="ARIAL" w:hAnsi="ARIAL"/>
                <w:sz w:val="16"/>
              </w:rPr>
              <w:t>18.8%</w:t>
            </w:r>
          </w:p>
        </w:tc>
        <w:tc>
          <w:tcPr>
            <w:tcW w:w="60" w:type="dxa"/>
            <w:tcBorders>
              <w:bottom w:val="single" w:sz="6" w:space="0" w:color="000000"/>
            </w:tcBorders>
            <w:shd w:fill="auto" w:val="clear"/>
            <w:tcMar>
              <w:bottom w:w="28" w:type="dxa"/>
            </w:tcMar>
            <w:vAlign w:val="center"/>
          </w:tcPr>
          <w:p>
            <w:pPr>
              <w:pStyle w:val="TableContents"/>
              <w:spacing w:lineRule="atLeast" w:line="280" w:before="0" w:after="0"/>
              <w:rPr/>
            </w:pPr>
            <w:r>
              <w:rPr/>
              <w:t> </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198" w:type="dxa"/>
            <w:tcBorders>
              <w:bottom w:val="single" w:sz="6" w:space="0" w:color="000000"/>
            </w:tcBorders>
            <w:shd w:fill="auto" w:val="clear"/>
            <w:tcMar>
              <w:bottom w:w="28" w:type="dxa"/>
            </w:tcMar>
            <w:vAlign w:val="center"/>
          </w:tcPr>
          <w:p>
            <w:pPr>
              <w:pStyle w:val="TableContents"/>
              <w:spacing w:lineRule="atLeast" w:line="280" w:before="0" w:after="0"/>
              <w:rPr/>
            </w:pPr>
            <w:r>
              <w:rPr/>
              <w:t> </w:t>
            </w:r>
          </w:p>
        </w:tc>
        <w:tc>
          <w:tcPr>
            <w:tcW w:w="662" w:type="dxa"/>
            <w:tcBorders>
              <w:bottom w:val="single" w:sz="6" w:space="0" w:color="000000"/>
            </w:tcBorders>
            <w:shd w:fill="auto" w:val="clear"/>
            <w:tcMar>
              <w:bottom w:w="28" w:type="dxa"/>
            </w:tcMar>
            <w:vAlign w:val="center"/>
          </w:tcPr>
          <w:p>
            <w:pPr>
              <w:pStyle w:val="TableContents"/>
              <w:spacing w:lineRule="atLeast" w:line="280" w:before="0" w:after="0"/>
              <w:jc w:val="right"/>
              <w:rPr>
                <w:rFonts w:ascii="ARIAL" w:hAnsi="ARIAL"/>
                <w:sz w:val="16"/>
              </w:rPr>
            </w:pPr>
            <w:r>
              <w:rPr>
                <w:rFonts w:ascii="ARIAL" w:hAnsi="ARIAL"/>
                <w:sz w:val="16"/>
              </w:rPr>
              <w:t>40%</w:t>
            </w:r>
          </w:p>
        </w:tc>
        <w:tc>
          <w:tcPr>
            <w:tcW w:w="60" w:type="dxa"/>
            <w:tcBorders>
              <w:bottom w:val="single" w:sz="6" w:space="0" w:color="000000"/>
            </w:tcBorders>
            <w:shd w:fill="auto" w:val="clear"/>
            <w:tcMar>
              <w:bottom w:w="28" w:type="dxa"/>
            </w:tcMar>
            <w:vAlign w:val="center"/>
          </w:tcPr>
          <w:p>
            <w:pPr>
              <w:pStyle w:val="TableContents"/>
              <w:spacing w:lineRule="atLeast" w:line="280" w:before="0" w:after="0"/>
              <w:rPr/>
            </w:pPr>
            <w:r>
              <w:rPr/>
              <w:t> </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295" w:type="dxa"/>
            <w:tcBorders>
              <w:bottom w:val="single" w:sz="6" w:space="0" w:color="000000"/>
            </w:tcBorders>
            <w:shd w:fill="auto" w:val="clear"/>
            <w:tcMar>
              <w:bottom w:w="28" w:type="dxa"/>
            </w:tcMar>
            <w:vAlign w:val="center"/>
          </w:tcPr>
          <w:p>
            <w:pPr>
              <w:pStyle w:val="TableContents"/>
              <w:spacing w:lineRule="atLeast" w:line="280" w:before="0" w:after="0"/>
              <w:rPr/>
            </w:pPr>
            <w:r>
              <w:rPr/>
              <w:t> </w:t>
            </w:r>
          </w:p>
        </w:tc>
        <w:tc>
          <w:tcPr>
            <w:tcW w:w="985" w:type="dxa"/>
            <w:tcBorders>
              <w:bottom w:val="single" w:sz="6" w:space="0" w:color="000000"/>
            </w:tcBorders>
            <w:shd w:fill="auto" w:val="clear"/>
            <w:tcMar>
              <w:bottom w:w="28" w:type="dxa"/>
            </w:tcMar>
            <w:vAlign w:val="center"/>
          </w:tcPr>
          <w:p>
            <w:pPr>
              <w:pStyle w:val="TableContents"/>
              <w:spacing w:lineRule="atLeast" w:line="280" w:before="0" w:after="0"/>
              <w:jc w:val="right"/>
              <w:rPr>
                <w:rFonts w:ascii="ARIAL" w:hAnsi="ARIAL"/>
                <w:sz w:val="16"/>
              </w:rPr>
            </w:pPr>
            <w:r>
              <w:rPr>
                <w:rFonts w:ascii="ARIAL" w:hAnsi="ARIAL"/>
                <w:sz w:val="16"/>
              </w:rPr>
              <w:t>0%</w:t>
            </w:r>
          </w:p>
        </w:tc>
        <w:tc>
          <w:tcPr>
            <w:tcW w:w="60" w:type="dxa"/>
            <w:tcBorders>
              <w:bottom w:val="single" w:sz="6" w:space="0" w:color="000000"/>
            </w:tcBorders>
            <w:shd w:fill="auto" w:val="clear"/>
            <w:tcMar>
              <w:bottom w:w="28" w:type="dxa"/>
            </w:tcMar>
            <w:vAlign w:val="center"/>
          </w:tcPr>
          <w:p>
            <w:pPr>
              <w:pStyle w:val="TableContents"/>
              <w:spacing w:lineRule="atLeast" w:line="280" w:before="0" w:after="0"/>
              <w:rPr/>
            </w:pPr>
            <w:r>
              <w:rPr/>
              <w:t> </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60" w:type="dxa"/>
            <w:tcBorders>
              <w:bottom w:val="single" w:sz="6" w:space="0" w:color="000000"/>
            </w:tcBorders>
            <w:shd w:fill="auto" w:val="clear"/>
            <w:tcMar>
              <w:bottom w:w="28" w:type="dxa"/>
            </w:tcMar>
            <w:vAlign w:val="center"/>
          </w:tcPr>
          <w:p>
            <w:pPr>
              <w:pStyle w:val="TableContents"/>
              <w:spacing w:lineRule="atLeast" w:line="280" w:before="0" w:after="0"/>
              <w:rPr/>
            </w:pPr>
            <w:r>
              <w:rPr/>
              <w:t> </w:t>
            </w:r>
          </w:p>
        </w:tc>
        <w:tc>
          <w:tcPr>
            <w:tcW w:w="485" w:type="dxa"/>
            <w:tcBorders>
              <w:bottom w:val="single" w:sz="6" w:space="0" w:color="000000"/>
            </w:tcBorders>
            <w:shd w:fill="auto" w:val="clear"/>
            <w:tcMar>
              <w:bottom w:w="28" w:type="dxa"/>
            </w:tcMar>
            <w:vAlign w:val="center"/>
          </w:tcPr>
          <w:p>
            <w:pPr>
              <w:pStyle w:val="TableContents"/>
              <w:spacing w:lineRule="atLeast" w:line="280" w:before="0" w:after="0"/>
              <w:jc w:val="right"/>
              <w:rPr>
                <w:rFonts w:ascii="ARIAL" w:hAnsi="ARIAL"/>
                <w:sz w:val="16"/>
              </w:rPr>
            </w:pPr>
            <w:r>
              <w:rPr>
                <w:rFonts w:ascii="ARIAL" w:hAnsi="ARIAL"/>
                <w:sz w:val="16"/>
              </w:rPr>
              <w:t>58.8%</w:t>
            </w:r>
          </w:p>
        </w:tc>
        <w:tc>
          <w:tcPr>
            <w:tcW w:w="75" w:type="dxa"/>
            <w:tcBorders>
              <w:bottom w:val="single" w:sz="6" w:space="0" w:color="000000"/>
              <w:right w:val="single" w:sz="6" w:space="0" w:color="000000"/>
            </w:tcBorders>
            <w:shd w:fill="auto" w:val="clear"/>
            <w:tcMar>
              <w:bottom w:w="28" w:type="dxa"/>
              <w:right w:w="40" w:type="dxa"/>
            </w:tcMar>
            <w:vAlign w:val="center"/>
          </w:tcPr>
          <w:p>
            <w:pPr>
              <w:pStyle w:val="TableContents"/>
              <w:spacing w:lineRule="atLeast" w:line="280" w:before="0" w:after="0"/>
              <w:rPr/>
            </w:pPr>
            <w:r>
              <w:rPr/>
              <w:t> </w:t>
            </w:r>
          </w:p>
        </w:tc>
      </w:tr>
    </w:tbl>
    <w:p>
      <w:pPr>
        <w:pStyle w:val="TextBody"/>
        <w:spacing w:before="0" w:after="0"/>
        <w:jc w:val="left"/>
        <w:rPr/>
      </w:pPr>
      <w:r>
        <w:rPr/>
        <w:t> </w:t>
      </w:r>
    </w:p>
    <w:tbl>
      <w:tblPr>
        <w:tblW w:w="8450" w:type="dxa"/>
        <w:jc w:val="left"/>
        <w:tblInd w:w="0" w:type="dxa"/>
        <w:tblCellMar>
          <w:top w:w="0" w:type="dxa"/>
          <w:left w:w="0" w:type="dxa"/>
          <w:bottom w:w="0" w:type="dxa"/>
          <w:right w:w="0" w:type="dxa"/>
        </w:tblCellMar>
      </w:tblPr>
      <w:tblGrid>
        <w:gridCol w:w="890"/>
        <w:gridCol w:w="60"/>
        <w:gridCol w:w="195"/>
        <w:gridCol w:w="650"/>
        <w:gridCol w:w="60"/>
        <w:gridCol w:w="60"/>
        <w:gridCol w:w="195"/>
        <w:gridCol w:w="650"/>
        <w:gridCol w:w="60"/>
        <w:gridCol w:w="60"/>
        <w:gridCol w:w="166"/>
        <w:gridCol w:w="679"/>
        <w:gridCol w:w="60"/>
        <w:gridCol w:w="60"/>
        <w:gridCol w:w="60"/>
        <w:gridCol w:w="395"/>
        <w:gridCol w:w="60"/>
        <w:gridCol w:w="60"/>
        <w:gridCol w:w="60"/>
        <w:gridCol w:w="350"/>
        <w:gridCol w:w="60"/>
        <w:gridCol w:w="60"/>
        <w:gridCol w:w="82"/>
        <w:gridCol w:w="628"/>
        <w:gridCol w:w="60"/>
        <w:gridCol w:w="60"/>
        <w:gridCol w:w="198"/>
        <w:gridCol w:w="662"/>
        <w:gridCol w:w="60"/>
        <w:gridCol w:w="60"/>
        <w:gridCol w:w="191"/>
        <w:gridCol w:w="639"/>
        <w:gridCol w:w="60"/>
        <w:gridCol w:w="60"/>
        <w:gridCol w:w="60"/>
        <w:gridCol w:w="605"/>
        <w:gridCol w:w="75"/>
      </w:tblGrid>
      <w:tr>
        <w:trPr/>
        <w:tc>
          <w:tcPr>
            <w:tcW w:w="8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6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6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67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2"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66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63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890" w:type="dxa"/>
            <w:tcBorders>
              <w:top w:val="single" w:sz="6" w:space="0" w:color="000000"/>
              <w:left w:val="single" w:sz="6" w:space="0" w:color="000000"/>
              <w:bottom w:val="single" w:sz="6" w:space="0" w:color="000000"/>
            </w:tcBorders>
            <w:shd w:fill="auto" w:val="clear"/>
            <w:tcMar>
              <w:top w:w="28" w:type="dxa"/>
              <w:left w:w="160" w:type="dxa"/>
              <w:bottom w:w="28" w:type="dxa"/>
            </w:tcMar>
            <w:vAlign w:val="center"/>
          </w:tcPr>
          <w:p>
            <w:pPr>
              <w:pStyle w:val="TableContents"/>
              <w:spacing w:before="0" w:after="283"/>
              <w:rPr/>
            </w:pPr>
            <w:r>
              <w:rPr/>
              <w:t>  </w:t>
            </w:r>
          </w:p>
        </w:tc>
        <w:tc>
          <w:tcPr>
            <w:tcW w:w="60" w:type="dxa"/>
            <w:tcBorders>
              <w:top w:val="single" w:sz="6" w:space="0" w:color="000000"/>
              <w:bottom w:val="single" w:sz="6" w:space="0" w:color="000000"/>
            </w:tcBorders>
            <w:shd w:fill="auto" w:val="clear"/>
            <w:tcMar>
              <w:top w:w="28" w:type="dxa"/>
              <w:bottom w:w="28" w:type="dxa"/>
            </w:tcMar>
            <w:vAlign w:val="center"/>
          </w:tcPr>
          <w:p>
            <w:pPr>
              <w:pStyle w:val="TableContents"/>
              <w:spacing w:before="0" w:after="283"/>
              <w:rPr/>
            </w:pPr>
            <w:r>
              <w:rPr/>
              <w:t> </w:t>
            </w:r>
          </w:p>
        </w:tc>
        <w:tc>
          <w:tcPr>
            <w:tcW w:w="845" w:type="dxa"/>
            <w:gridSpan w:val="2"/>
            <w:tcBorders>
              <w:top w:val="single" w:sz="6" w:space="0" w:color="000000"/>
              <w:bottom w:val="single" w:sz="6" w:space="0" w:color="000000"/>
            </w:tcBorders>
            <w:shd w:fill="auto" w:val="clear"/>
            <w:tcMar>
              <w:top w:w="28" w:type="dxa"/>
              <w:bottom w:w="28" w:type="dxa"/>
            </w:tcMar>
            <w:vAlign w:val="center"/>
          </w:tcPr>
          <w:p>
            <w:pPr>
              <w:pStyle w:val="TableContents"/>
              <w:spacing w:before="0" w:after="0"/>
              <w:jc w:val="center"/>
              <w:rPr>
                <w:rFonts w:ascii="ARIAL" w:hAnsi="ARIAL"/>
                <w:b/>
                <w:sz w:val="14"/>
              </w:rPr>
            </w:pPr>
            <w:r>
              <w:rPr>
                <w:rFonts w:ascii="ARIAL" w:hAnsi="ARIAL"/>
                <w:b/>
                <w:sz w:val="14"/>
              </w:rPr>
              <w:t>Consolidated</w:t>
            </w:r>
          </w:p>
          <w:p>
            <w:pPr>
              <w:pStyle w:val="TableContents"/>
              <w:spacing w:before="0" w:after="20"/>
              <w:jc w:val="center"/>
              <w:rPr>
                <w:rFonts w:ascii="ARIAL" w:hAnsi="ARIAL"/>
                <w:b/>
                <w:sz w:val="14"/>
              </w:rPr>
            </w:pPr>
            <w:r>
              <w:rPr>
                <w:rFonts w:ascii="ARIAL" w:hAnsi="ARIAL"/>
                <w:b/>
                <w:sz w:val="14"/>
              </w:rPr>
              <w:t>Adjusted</w:t>
              <w:br/>
              <w:t>EBITDA</w:t>
            </w:r>
          </w:p>
        </w:tc>
        <w:tc>
          <w:tcPr>
            <w:tcW w:w="60" w:type="dxa"/>
            <w:tcBorders>
              <w:top w:val="single" w:sz="6" w:space="0" w:color="000000"/>
              <w:bottom w:val="single" w:sz="6" w:space="0" w:color="000000"/>
            </w:tcBorders>
            <w:shd w:fill="auto" w:val="clear"/>
            <w:tcMar>
              <w:top w:w="28" w:type="dxa"/>
              <w:bottom w:w="28" w:type="dxa"/>
            </w:tcMar>
            <w:vAlign w:val="center"/>
          </w:tcPr>
          <w:p>
            <w:pPr>
              <w:pStyle w:val="TableContents"/>
              <w:spacing w:before="0" w:after="283"/>
              <w:rPr/>
            </w:pPr>
            <w:r>
              <w:rPr/>
              <w:t> </w:t>
            </w:r>
          </w:p>
        </w:tc>
        <w:tc>
          <w:tcPr>
            <w:tcW w:w="60" w:type="dxa"/>
            <w:tcBorders>
              <w:top w:val="single" w:sz="6" w:space="0" w:color="000000"/>
              <w:bottom w:val="single" w:sz="6" w:space="0" w:color="000000"/>
            </w:tcBorders>
            <w:shd w:fill="auto" w:val="clear"/>
            <w:tcMar>
              <w:top w:w="28" w:type="dxa"/>
              <w:bottom w:w="28" w:type="dxa"/>
            </w:tcMar>
            <w:vAlign w:val="center"/>
          </w:tcPr>
          <w:p>
            <w:pPr>
              <w:pStyle w:val="TableContents"/>
              <w:spacing w:before="0" w:after="283"/>
              <w:rPr/>
            </w:pPr>
            <w:r>
              <w:rPr/>
              <w:t> </w:t>
            </w:r>
          </w:p>
        </w:tc>
        <w:tc>
          <w:tcPr>
            <w:tcW w:w="845" w:type="dxa"/>
            <w:gridSpan w:val="2"/>
            <w:tcBorders>
              <w:top w:val="single" w:sz="6" w:space="0" w:color="000000"/>
              <w:bottom w:val="single" w:sz="6" w:space="0" w:color="000000"/>
            </w:tcBorders>
            <w:shd w:fill="auto" w:val="clear"/>
            <w:tcMar>
              <w:top w:w="28" w:type="dxa"/>
              <w:bottom w:w="28" w:type="dxa"/>
            </w:tcMar>
            <w:vAlign w:val="center"/>
          </w:tcPr>
          <w:p>
            <w:pPr>
              <w:pStyle w:val="TableContents"/>
              <w:spacing w:before="0" w:after="0"/>
              <w:jc w:val="center"/>
              <w:rPr>
                <w:rFonts w:ascii="ARIAL" w:hAnsi="ARIAL"/>
                <w:b/>
                <w:sz w:val="14"/>
              </w:rPr>
            </w:pPr>
            <w:r>
              <w:rPr>
                <w:rFonts w:ascii="ARIAL" w:hAnsi="ARIAL"/>
                <w:b/>
                <w:sz w:val="14"/>
              </w:rPr>
              <w:t>Consolidated</w:t>
              <w:br/>
              <w:t>Adjusted</w:t>
              <w:br/>
              <w:t>EBITDA</w:t>
              <w:br/>
              <w:t>Margin</w:t>
              <w:br/>
              <w:t>Improve-</w:t>
            </w:r>
          </w:p>
          <w:p>
            <w:pPr>
              <w:pStyle w:val="TableContents"/>
              <w:spacing w:before="0" w:after="20"/>
              <w:jc w:val="center"/>
              <w:rPr>
                <w:rFonts w:ascii="ARIAL" w:hAnsi="ARIAL"/>
                <w:b/>
                <w:sz w:val="14"/>
              </w:rPr>
            </w:pPr>
            <w:r>
              <w:rPr>
                <w:rFonts w:ascii="ARIAL" w:hAnsi="ARIAL"/>
                <w:b/>
                <w:sz w:val="14"/>
              </w:rPr>
              <w:t>ment</w:t>
            </w:r>
          </w:p>
        </w:tc>
        <w:tc>
          <w:tcPr>
            <w:tcW w:w="60" w:type="dxa"/>
            <w:tcBorders>
              <w:top w:val="single" w:sz="6" w:space="0" w:color="000000"/>
              <w:bottom w:val="single" w:sz="6" w:space="0" w:color="000000"/>
            </w:tcBorders>
            <w:shd w:fill="auto" w:val="clear"/>
            <w:tcMar>
              <w:top w:w="28" w:type="dxa"/>
              <w:bottom w:w="28" w:type="dxa"/>
            </w:tcMar>
            <w:vAlign w:val="center"/>
          </w:tcPr>
          <w:p>
            <w:pPr>
              <w:pStyle w:val="TableContents"/>
              <w:spacing w:before="0" w:after="283"/>
              <w:rPr/>
            </w:pPr>
            <w:r>
              <w:rPr/>
              <w:t> </w:t>
            </w:r>
          </w:p>
        </w:tc>
        <w:tc>
          <w:tcPr>
            <w:tcW w:w="60" w:type="dxa"/>
            <w:tcBorders>
              <w:top w:val="single" w:sz="6" w:space="0" w:color="000000"/>
              <w:bottom w:val="single" w:sz="6" w:space="0" w:color="000000"/>
            </w:tcBorders>
            <w:shd w:fill="auto" w:val="clear"/>
            <w:tcMar>
              <w:top w:w="28" w:type="dxa"/>
              <w:bottom w:w="28" w:type="dxa"/>
            </w:tcMar>
            <w:vAlign w:val="center"/>
          </w:tcPr>
          <w:p>
            <w:pPr>
              <w:pStyle w:val="TableContents"/>
              <w:spacing w:before="0" w:after="283"/>
              <w:rPr/>
            </w:pPr>
            <w:r>
              <w:rPr/>
              <w:t> </w:t>
            </w:r>
          </w:p>
        </w:tc>
        <w:tc>
          <w:tcPr>
            <w:tcW w:w="845" w:type="dxa"/>
            <w:gridSpan w:val="2"/>
            <w:tcBorders>
              <w:top w:val="single" w:sz="6" w:space="0" w:color="000000"/>
              <w:bottom w:val="single" w:sz="6" w:space="0" w:color="000000"/>
            </w:tcBorders>
            <w:shd w:fill="auto" w:val="clear"/>
            <w:tcMar>
              <w:top w:w="28" w:type="dxa"/>
              <w:bottom w:w="28" w:type="dxa"/>
            </w:tcMar>
            <w:vAlign w:val="center"/>
          </w:tcPr>
          <w:p>
            <w:pPr>
              <w:pStyle w:val="TableContents"/>
              <w:spacing w:before="0" w:after="0"/>
              <w:jc w:val="center"/>
              <w:rPr>
                <w:rFonts w:ascii="ARIAL" w:hAnsi="ARIAL"/>
                <w:b/>
                <w:sz w:val="14"/>
              </w:rPr>
            </w:pPr>
            <w:r>
              <w:rPr>
                <w:rFonts w:ascii="ARIAL" w:hAnsi="ARIAL"/>
                <w:b/>
                <w:sz w:val="14"/>
              </w:rPr>
              <w:t>Consolidated</w:t>
              <w:br/>
              <w:t>Net</w:t>
            </w:r>
          </w:p>
          <w:p>
            <w:pPr>
              <w:pStyle w:val="TableContents"/>
              <w:spacing w:before="0" w:after="20"/>
              <w:jc w:val="center"/>
              <w:rPr>
                <w:rFonts w:ascii="ARIAL" w:hAnsi="ARIAL"/>
                <w:b/>
                <w:sz w:val="14"/>
              </w:rPr>
            </w:pPr>
            <w:r>
              <w:rPr>
                <w:rFonts w:ascii="ARIAL" w:hAnsi="ARIAL"/>
                <w:b/>
                <w:sz w:val="14"/>
              </w:rPr>
              <w:t>Revenues</w:t>
            </w:r>
          </w:p>
        </w:tc>
        <w:tc>
          <w:tcPr>
            <w:tcW w:w="60" w:type="dxa"/>
            <w:tcBorders>
              <w:top w:val="single" w:sz="6" w:space="0" w:color="000000"/>
              <w:bottom w:val="single" w:sz="6" w:space="0" w:color="000000"/>
            </w:tcBorders>
            <w:shd w:fill="auto" w:val="clear"/>
            <w:tcMar>
              <w:top w:w="28" w:type="dxa"/>
              <w:bottom w:w="28" w:type="dxa"/>
            </w:tcMar>
            <w:vAlign w:val="center"/>
          </w:tcPr>
          <w:p>
            <w:pPr>
              <w:pStyle w:val="TableContents"/>
              <w:spacing w:before="0" w:after="283"/>
              <w:rPr/>
            </w:pPr>
            <w:r>
              <w:rPr/>
              <w:t> </w:t>
            </w:r>
          </w:p>
        </w:tc>
        <w:tc>
          <w:tcPr>
            <w:tcW w:w="60" w:type="dxa"/>
            <w:tcBorders>
              <w:top w:val="single" w:sz="6" w:space="0" w:color="000000"/>
              <w:bottom w:val="single" w:sz="6" w:space="0" w:color="000000"/>
            </w:tcBorders>
            <w:shd w:fill="auto" w:val="clear"/>
            <w:tcMar>
              <w:top w:w="28" w:type="dxa"/>
              <w:bottom w:w="28" w:type="dxa"/>
            </w:tcMar>
            <w:vAlign w:val="center"/>
          </w:tcPr>
          <w:p>
            <w:pPr>
              <w:pStyle w:val="TableContents"/>
              <w:spacing w:before="0" w:after="283"/>
              <w:rPr/>
            </w:pPr>
            <w:r>
              <w:rPr/>
              <w:t> </w:t>
            </w:r>
          </w:p>
        </w:tc>
        <w:tc>
          <w:tcPr>
            <w:tcW w:w="455" w:type="dxa"/>
            <w:gridSpan w:val="2"/>
            <w:tcBorders>
              <w:top w:val="single" w:sz="6" w:space="0" w:color="000000"/>
              <w:bottom w:val="single" w:sz="6" w:space="0" w:color="000000"/>
            </w:tcBorders>
            <w:shd w:fill="auto" w:val="clear"/>
            <w:tcMar>
              <w:top w:w="28" w:type="dxa"/>
              <w:bottom w:w="28" w:type="dxa"/>
            </w:tcMar>
            <w:vAlign w:val="center"/>
          </w:tcPr>
          <w:p>
            <w:pPr>
              <w:pStyle w:val="TableContents"/>
              <w:spacing w:before="0" w:after="283"/>
              <w:jc w:val="center"/>
              <w:rPr>
                <w:b/>
              </w:rPr>
            </w:pPr>
            <w:r>
              <w:rPr>
                <w:b/>
              </w:rPr>
              <w:t>(1)</w:t>
            </w:r>
          </w:p>
        </w:tc>
        <w:tc>
          <w:tcPr>
            <w:tcW w:w="60" w:type="dxa"/>
            <w:tcBorders>
              <w:top w:val="single" w:sz="6" w:space="0" w:color="000000"/>
              <w:bottom w:val="single" w:sz="6" w:space="0" w:color="000000"/>
            </w:tcBorders>
            <w:shd w:fill="auto" w:val="clear"/>
            <w:tcMar>
              <w:top w:w="28" w:type="dxa"/>
              <w:bottom w:w="28" w:type="dxa"/>
            </w:tcMar>
            <w:vAlign w:val="center"/>
          </w:tcPr>
          <w:p>
            <w:pPr>
              <w:pStyle w:val="TableContents"/>
              <w:spacing w:before="0" w:after="283"/>
              <w:rPr/>
            </w:pPr>
            <w:r>
              <w:rPr/>
              <w:t> </w:t>
            </w:r>
          </w:p>
        </w:tc>
        <w:tc>
          <w:tcPr>
            <w:tcW w:w="60" w:type="dxa"/>
            <w:tcBorders>
              <w:top w:val="single" w:sz="6" w:space="0" w:color="000000"/>
              <w:bottom w:val="single" w:sz="6" w:space="0" w:color="000000"/>
            </w:tcBorders>
            <w:shd w:fill="auto" w:val="clear"/>
            <w:tcMar>
              <w:top w:w="28" w:type="dxa"/>
              <w:bottom w:w="28" w:type="dxa"/>
            </w:tcMar>
            <w:vAlign w:val="center"/>
          </w:tcPr>
          <w:p>
            <w:pPr>
              <w:pStyle w:val="TableContents"/>
              <w:spacing w:before="0" w:after="283"/>
              <w:rPr/>
            </w:pPr>
            <w:r>
              <w:rPr/>
              <w:t> </w:t>
            </w:r>
          </w:p>
        </w:tc>
        <w:tc>
          <w:tcPr>
            <w:tcW w:w="410" w:type="dxa"/>
            <w:gridSpan w:val="2"/>
            <w:tcBorders>
              <w:top w:val="single" w:sz="6" w:space="0" w:color="000000"/>
              <w:bottom w:val="single" w:sz="6" w:space="0" w:color="000000"/>
            </w:tcBorders>
            <w:shd w:fill="auto" w:val="clear"/>
            <w:tcMar>
              <w:top w:w="28" w:type="dxa"/>
              <w:bottom w:w="28" w:type="dxa"/>
            </w:tcMar>
            <w:vAlign w:val="center"/>
          </w:tcPr>
          <w:p>
            <w:pPr>
              <w:pStyle w:val="TableContents"/>
              <w:spacing w:before="0" w:after="283"/>
              <w:jc w:val="center"/>
              <w:rPr>
                <w:b/>
              </w:rPr>
            </w:pPr>
            <w:r>
              <w:rPr>
                <w:b/>
              </w:rPr>
              <w:t>(2)</w:t>
            </w:r>
          </w:p>
        </w:tc>
        <w:tc>
          <w:tcPr>
            <w:tcW w:w="60" w:type="dxa"/>
            <w:tcBorders>
              <w:top w:val="single" w:sz="6" w:space="0" w:color="000000"/>
              <w:bottom w:val="single" w:sz="6" w:space="0" w:color="000000"/>
            </w:tcBorders>
            <w:shd w:fill="auto" w:val="clear"/>
            <w:tcMar>
              <w:top w:w="28" w:type="dxa"/>
              <w:bottom w:w="28" w:type="dxa"/>
            </w:tcMar>
            <w:vAlign w:val="center"/>
          </w:tcPr>
          <w:p>
            <w:pPr>
              <w:pStyle w:val="TableContents"/>
              <w:spacing w:before="0" w:after="283"/>
              <w:rPr/>
            </w:pPr>
            <w:r>
              <w:rPr/>
              <w:t> </w:t>
            </w:r>
          </w:p>
        </w:tc>
        <w:tc>
          <w:tcPr>
            <w:tcW w:w="60" w:type="dxa"/>
            <w:tcBorders>
              <w:top w:val="single" w:sz="6" w:space="0" w:color="000000"/>
              <w:bottom w:val="single" w:sz="6" w:space="0" w:color="000000"/>
            </w:tcBorders>
            <w:shd w:fill="auto" w:val="clear"/>
            <w:tcMar>
              <w:top w:w="28" w:type="dxa"/>
              <w:bottom w:w="28" w:type="dxa"/>
            </w:tcMar>
            <w:vAlign w:val="center"/>
          </w:tcPr>
          <w:p>
            <w:pPr>
              <w:pStyle w:val="TableContents"/>
              <w:spacing w:before="0" w:after="283"/>
              <w:rPr/>
            </w:pPr>
            <w:r>
              <w:rPr/>
              <w:t> </w:t>
            </w:r>
          </w:p>
        </w:tc>
        <w:tc>
          <w:tcPr>
            <w:tcW w:w="710" w:type="dxa"/>
            <w:gridSpan w:val="2"/>
            <w:tcBorders>
              <w:top w:val="single" w:sz="6" w:space="0" w:color="000000"/>
              <w:bottom w:val="single" w:sz="6" w:space="0" w:color="000000"/>
            </w:tcBorders>
            <w:shd w:fill="auto" w:val="clear"/>
            <w:tcMar>
              <w:top w:w="28" w:type="dxa"/>
              <w:bottom w:w="28" w:type="dxa"/>
            </w:tcMar>
            <w:vAlign w:val="center"/>
          </w:tcPr>
          <w:p>
            <w:pPr>
              <w:pStyle w:val="TableContents"/>
              <w:spacing w:before="0" w:after="283"/>
              <w:jc w:val="center"/>
              <w:rPr>
                <w:b/>
              </w:rPr>
            </w:pPr>
            <w:r>
              <w:rPr>
                <w:b/>
              </w:rPr>
              <w:t>Target</w:t>
            </w:r>
          </w:p>
        </w:tc>
        <w:tc>
          <w:tcPr>
            <w:tcW w:w="60" w:type="dxa"/>
            <w:tcBorders>
              <w:top w:val="single" w:sz="6" w:space="0" w:color="000000"/>
              <w:bottom w:val="single" w:sz="6" w:space="0" w:color="000000"/>
            </w:tcBorders>
            <w:shd w:fill="auto" w:val="clear"/>
            <w:tcMar>
              <w:top w:w="28" w:type="dxa"/>
              <w:bottom w:w="28" w:type="dxa"/>
            </w:tcMar>
            <w:vAlign w:val="center"/>
          </w:tcPr>
          <w:p>
            <w:pPr>
              <w:pStyle w:val="TableContents"/>
              <w:spacing w:before="0" w:after="283"/>
              <w:rPr/>
            </w:pPr>
            <w:r>
              <w:rPr/>
              <w:t> </w:t>
            </w:r>
          </w:p>
        </w:tc>
        <w:tc>
          <w:tcPr>
            <w:tcW w:w="60" w:type="dxa"/>
            <w:tcBorders>
              <w:top w:val="single" w:sz="6" w:space="0" w:color="000000"/>
              <w:bottom w:val="single" w:sz="6" w:space="0" w:color="000000"/>
            </w:tcBorders>
            <w:shd w:fill="auto" w:val="clear"/>
            <w:tcMar>
              <w:top w:w="28" w:type="dxa"/>
              <w:bottom w:w="28" w:type="dxa"/>
            </w:tcMar>
            <w:vAlign w:val="center"/>
          </w:tcPr>
          <w:p>
            <w:pPr>
              <w:pStyle w:val="TableContents"/>
              <w:spacing w:before="0" w:after="283"/>
              <w:rPr/>
            </w:pPr>
            <w:r>
              <w:rPr/>
              <w:t> </w:t>
            </w:r>
          </w:p>
        </w:tc>
        <w:tc>
          <w:tcPr>
            <w:tcW w:w="860" w:type="dxa"/>
            <w:gridSpan w:val="2"/>
            <w:tcBorders>
              <w:top w:val="single" w:sz="6" w:space="0" w:color="000000"/>
              <w:bottom w:val="single" w:sz="6" w:space="0" w:color="000000"/>
            </w:tcBorders>
            <w:shd w:fill="auto" w:val="clear"/>
            <w:tcMar>
              <w:top w:w="28" w:type="dxa"/>
              <w:bottom w:w="28" w:type="dxa"/>
            </w:tcMar>
            <w:vAlign w:val="center"/>
          </w:tcPr>
          <w:p>
            <w:pPr>
              <w:pStyle w:val="TableContents"/>
              <w:spacing w:before="0" w:after="0"/>
              <w:jc w:val="center"/>
              <w:rPr>
                <w:rFonts w:ascii="ARIAL" w:hAnsi="ARIAL"/>
                <w:b/>
                <w:sz w:val="14"/>
              </w:rPr>
            </w:pPr>
            <w:r>
              <w:rPr>
                <w:rFonts w:ascii="ARIAL" w:hAnsi="ARIAL"/>
                <w:b/>
                <w:sz w:val="14"/>
              </w:rPr>
              <w:t>Performance</w:t>
            </w:r>
          </w:p>
          <w:p>
            <w:pPr>
              <w:pStyle w:val="TableContents"/>
              <w:spacing w:before="0" w:after="20"/>
              <w:jc w:val="center"/>
              <w:rPr>
                <w:rFonts w:ascii="ARIAL" w:hAnsi="ARIAL"/>
                <w:b/>
                <w:sz w:val="14"/>
              </w:rPr>
            </w:pPr>
            <w:r>
              <w:rPr>
                <w:rFonts w:ascii="ARIAL" w:hAnsi="ARIAL"/>
                <w:b/>
                <w:sz w:val="14"/>
              </w:rPr>
              <w:t>Improvement</w:t>
            </w:r>
          </w:p>
        </w:tc>
        <w:tc>
          <w:tcPr>
            <w:tcW w:w="60" w:type="dxa"/>
            <w:tcBorders>
              <w:top w:val="single" w:sz="6" w:space="0" w:color="000000"/>
              <w:bottom w:val="single" w:sz="6" w:space="0" w:color="000000"/>
            </w:tcBorders>
            <w:shd w:fill="auto" w:val="clear"/>
            <w:tcMar>
              <w:top w:w="28" w:type="dxa"/>
              <w:bottom w:w="28" w:type="dxa"/>
            </w:tcMar>
            <w:vAlign w:val="center"/>
          </w:tcPr>
          <w:p>
            <w:pPr>
              <w:pStyle w:val="TableContents"/>
              <w:spacing w:before="0" w:after="283"/>
              <w:rPr/>
            </w:pPr>
            <w:r>
              <w:rPr/>
              <w:t> </w:t>
            </w:r>
          </w:p>
        </w:tc>
        <w:tc>
          <w:tcPr>
            <w:tcW w:w="60" w:type="dxa"/>
            <w:tcBorders>
              <w:top w:val="single" w:sz="6" w:space="0" w:color="000000"/>
              <w:bottom w:val="single" w:sz="6" w:space="0" w:color="000000"/>
            </w:tcBorders>
            <w:shd w:fill="auto" w:val="clear"/>
            <w:tcMar>
              <w:top w:w="28" w:type="dxa"/>
              <w:bottom w:w="28" w:type="dxa"/>
            </w:tcMar>
            <w:vAlign w:val="center"/>
          </w:tcPr>
          <w:p>
            <w:pPr>
              <w:pStyle w:val="TableContents"/>
              <w:spacing w:before="0" w:after="283"/>
              <w:rPr/>
            </w:pPr>
            <w:r>
              <w:rPr/>
              <w:t> </w:t>
            </w:r>
          </w:p>
        </w:tc>
        <w:tc>
          <w:tcPr>
            <w:tcW w:w="830" w:type="dxa"/>
            <w:gridSpan w:val="2"/>
            <w:tcBorders>
              <w:top w:val="single" w:sz="6" w:space="0" w:color="000000"/>
              <w:bottom w:val="single" w:sz="6" w:space="0" w:color="000000"/>
            </w:tcBorders>
            <w:shd w:fill="auto" w:val="clear"/>
            <w:tcMar>
              <w:top w:w="28" w:type="dxa"/>
              <w:bottom w:w="28" w:type="dxa"/>
            </w:tcMar>
            <w:vAlign w:val="center"/>
          </w:tcPr>
          <w:p>
            <w:pPr>
              <w:pStyle w:val="TableContents"/>
              <w:spacing w:before="0" w:after="0"/>
              <w:jc w:val="center"/>
              <w:rPr>
                <w:rFonts w:ascii="ARIAL" w:hAnsi="ARIAL"/>
                <w:b/>
                <w:sz w:val="14"/>
              </w:rPr>
            </w:pPr>
            <w:r>
              <w:rPr>
                <w:rFonts w:ascii="ARIAL" w:hAnsi="ARIAL"/>
                <w:b/>
                <w:sz w:val="14"/>
              </w:rPr>
              <w:t>Over-</w:t>
            </w:r>
          </w:p>
          <w:p>
            <w:pPr>
              <w:pStyle w:val="TableContents"/>
              <w:spacing w:before="0" w:after="20"/>
              <w:jc w:val="center"/>
              <w:rPr>
                <w:rFonts w:ascii="ARIAL" w:hAnsi="ARIAL"/>
                <w:b/>
                <w:sz w:val="14"/>
              </w:rPr>
            </w:pPr>
            <w:r>
              <w:rPr>
                <w:rFonts w:ascii="ARIAL" w:hAnsi="ARIAL"/>
                <w:b/>
                <w:sz w:val="14"/>
              </w:rPr>
              <w:t>achievement</w:t>
            </w:r>
          </w:p>
        </w:tc>
        <w:tc>
          <w:tcPr>
            <w:tcW w:w="60" w:type="dxa"/>
            <w:tcBorders>
              <w:top w:val="single" w:sz="6" w:space="0" w:color="000000"/>
              <w:bottom w:val="single" w:sz="6" w:space="0" w:color="000000"/>
            </w:tcBorders>
            <w:shd w:fill="auto" w:val="clear"/>
            <w:tcMar>
              <w:top w:w="28" w:type="dxa"/>
              <w:bottom w:w="28" w:type="dxa"/>
            </w:tcMar>
            <w:vAlign w:val="center"/>
          </w:tcPr>
          <w:p>
            <w:pPr>
              <w:pStyle w:val="TableContents"/>
              <w:spacing w:before="0" w:after="283"/>
              <w:rPr/>
            </w:pPr>
            <w:r>
              <w:rPr/>
              <w:t> </w:t>
            </w:r>
          </w:p>
        </w:tc>
        <w:tc>
          <w:tcPr>
            <w:tcW w:w="60" w:type="dxa"/>
            <w:tcBorders>
              <w:top w:val="single" w:sz="6" w:space="0" w:color="000000"/>
              <w:bottom w:val="single" w:sz="6" w:space="0" w:color="000000"/>
            </w:tcBorders>
            <w:shd w:fill="auto" w:val="clear"/>
            <w:tcMar>
              <w:top w:w="28" w:type="dxa"/>
              <w:bottom w:w="28" w:type="dxa"/>
            </w:tcMar>
            <w:vAlign w:val="center"/>
          </w:tcPr>
          <w:p>
            <w:pPr>
              <w:pStyle w:val="TableContents"/>
              <w:spacing w:before="0" w:after="283"/>
              <w:rPr/>
            </w:pPr>
            <w:r>
              <w:rPr/>
              <w:t> </w:t>
            </w:r>
          </w:p>
        </w:tc>
        <w:tc>
          <w:tcPr>
            <w:tcW w:w="665" w:type="dxa"/>
            <w:gridSpan w:val="2"/>
            <w:tcBorders>
              <w:top w:val="single" w:sz="6" w:space="0" w:color="000000"/>
              <w:bottom w:val="single" w:sz="6" w:space="0" w:color="000000"/>
            </w:tcBorders>
            <w:shd w:fill="auto" w:val="clear"/>
            <w:tcMar>
              <w:top w:w="28" w:type="dxa"/>
              <w:bottom w:w="28" w:type="dxa"/>
            </w:tcMar>
            <w:vAlign w:val="center"/>
          </w:tcPr>
          <w:p>
            <w:pPr>
              <w:pStyle w:val="TableContents"/>
              <w:spacing w:before="0" w:after="283"/>
              <w:jc w:val="center"/>
              <w:rPr>
                <w:b/>
              </w:rPr>
            </w:pPr>
            <w:r>
              <w:rPr>
                <w:b/>
              </w:rPr>
              <w:t>Max</w:t>
            </w:r>
          </w:p>
        </w:tc>
        <w:tc>
          <w:tcPr>
            <w:tcW w:w="75" w:type="dxa"/>
            <w:tcBorders>
              <w:top w:val="single" w:sz="6" w:space="0" w:color="000000"/>
              <w:bottom w:val="single" w:sz="6" w:space="0" w:color="000000"/>
              <w:right w:val="single" w:sz="6" w:space="0" w:color="000000"/>
            </w:tcBorders>
            <w:shd w:fill="auto" w:val="clear"/>
            <w:tcMar>
              <w:top w:w="28" w:type="dxa"/>
              <w:bottom w:w="28" w:type="dxa"/>
              <w:right w:w="40" w:type="dxa"/>
            </w:tcMar>
            <w:vAlign w:val="center"/>
          </w:tcPr>
          <w:p>
            <w:pPr>
              <w:pStyle w:val="TableContents"/>
              <w:spacing w:before="0" w:after="283"/>
              <w:rPr/>
            </w:pPr>
            <w:r>
              <w:rPr/>
              <w:t> </w:t>
            </w:r>
          </w:p>
        </w:tc>
      </w:tr>
      <w:tr>
        <w:trPr/>
        <w:tc>
          <w:tcPr>
            <w:tcW w:w="8375" w:type="dxa"/>
            <w:gridSpan w:val="36"/>
            <w:tcBorders>
              <w:left w:val="single" w:sz="6" w:space="0" w:color="000000"/>
            </w:tcBorders>
            <w:shd w:fill="D8D8D8" w:val="clear"/>
            <w:tcMar>
              <w:left w:w="160" w:type="dxa"/>
            </w:tcMar>
            <w:vAlign w:val="center"/>
          </w:tcPr>
          <w:p>
            <w:pPr>
              <w:pStyle w:val="TableContents"/>
              <w:spacing w:lineRule="atLeast" w:line="280" w:before="0" w:after="0"/>
              <w:rPr>
                <w:rFonts w:ascii="ARIAL" w:hAnsi="ARIAL"/>
                <w:b/>
                <w:sz w:val="16"/>
              </w:rPr>
            </w:pPr>
            <w:r>
              <w:rPr>
                <w:rFonts w:ascii="ARIAL" w:hAnsi="ARIAL"/>
                <w:b/>
                <w:sz w:val="16"/>
              </w:rPr>
              <w:t>President of Clinical Operations and CMO (Simon)</w:t>
            </w:r>
          </w:p>
        </w:tc>
        <w:tc>
          <w:tcPr>
            <w:tcW w:w="75" w:type="dxa"/>
            <w:tcBorders>
              <w:right w:val="single" w:sz="6" w:space="0" w:color="000000"/>
            </w:tcBorders>
            <w:shd w:fill="D8D8D8" w:val="clear"/>
            <w:tcMar>
              <w:right w:w="40" w:type="dxa"/>
            </w:tcMar>
            <w:vAlign w:val="center"/>
          </w:tcPr>
          <w:p>
            <w:pPr>
              <w:pStyle w:val="TableContents"/>
              <w:spacing w:lineRule="atLeast" w:line="280" w:before="0" w:after="0"/>
              <w:rPr/>
            </w:pPr>
            <w:r>
              <w:rPr/>
              <w:t> </w:t>
            </w:r>
          </w:p>
        </w:tc>
      </w:tr>
      <w:tr>
        <w:trPr/>
        <w:tc>
          <w:tcPr>
            <w:tcW w:w="890" w:type="dxa"/>
            <w:tcBorders>
              <w:left w:val="single" w:sz="6" w:space="0" w:color="000000"/>
              <w:bottom w:val="single" w:sz="6" w:space="0" w:color="000000"/>
            </w:tcBorders>
            <w:shd w:fill="auto" w:val="clear"/>
            <w:tcMar>
              <w:left w:w="160" w:type="dxa"/>
              <w:bottom w:w="28" w:type="dxa"/>
            </w:tcMar>
            <w:vAlign w:val="center"/>
          </w:tcPr>
          <w:p>
            <w:pPr>
              <w:pStyle w:val="TableContents"/>
              <w:spacing w:lineRule="atLeast" w:line="280" w:before="0" w:after="0"/>
              <w:rPr>
                <w:rFonts w:ascii="ARIAL" w:hAnsi="ARIAL"/>
                <w:sz w:val="16"/>
              </w:rPr>
            </w:pPr>
            <w:r>
              <w:rPr>
                <w:rFonts w:ascii="ARIAL" w:hAnsi="ARIAL"/>
                <w:sz w:val="16"/>
              </w:rPr>
              <w:t>Opportunity</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195" w:type="dxa"/>
            <w:tcBorders>
              <w:bottom w:val="single" w:sz="6" w:space="0" w:color="000000"/>
            </w:tcBorders>
            <w:shd w:fill="auto" w:val="clear"/>
            <w:tcMar>
              <w:bottom w:w="28" w:type="dxa"/>
            </w:tcMar>
            <w:vAlign w:val="center"/>
          </w:tcPr>
          <w:p>
            <w:pPr>
              <w:pStyle w:val="TableContents"/>
              <w:spacing w:lineRule="atLeast" w:line="280" w:before="0" w:after="0"/>
              <w:rPr/>
            </w:pPr>
            <w:r>
              <w:rPr/>
              <w:t> </w:t>
            </w:r>
          </w:p>
        </w:tc>
        <w:tc>
          <w:tcPr>
            <w:tcW w:w="650" w:type="dxa"/>
            <w:tcBorders>
              <w:bottom w:val="single" w:sz="6" w:space="0" w:color="000000"/>
            </w:tcBorders>
            <w:shd w:fill="auto" w:val="clear"/>
            <w:tcMar>
              <w:bottom w:w="28" w:type="dxa"/>
            </w:tcMar>
            <w:vAlign w:val="center"/>
          </w:tcPr>
          <w:p>
            <w:pPr>
              <w:pStyle w:val="TableContents"/>
              <w:spacing w:lineRule="atLeast" w:line="280" w:before="0" w:after="0"/>
              <w:jc w:val="right"/>
              <w:rPr>
                <w:rFonts w:ascii="ARIAL" w:hAnsi="ARIAL"/>
                <w:sz w:val="16"/>
              </w:rPr>
            </w:pPr>
            <w:r>
              <w:rPr>
                <w:rFonts w:ascii="ARIAL" w:hAnsi="ARIAL"/>
                <w:sz w:val="16"/>
              </w:rPr>
              <w:t>70%</w:t>
            </w:r>
          </w:p>
        </w:tc>
        <w:tc>
          <w:tcPr>
            <w:tcW w:w="60" w:type="dxa"/>
            <w:tcBorders>
              <w:bottom w:val="single" w:sz="6" w:space="0" w:color="000000"/>
            </w:tcBorders>
            <w:shd w:fill="auto" w:val="clear"/>
            <w:tcMar>
              <w:bottom w:w="28" w:type="dxa"/>
            </w:tcMar>
            <w:vAlign w:val="center"/>
          </w:tcPr>
          <w:p>
            <w:pPr>
              <w:pStyle w:val="TableContents"/>
              <w:spacing w:lineRule="atLeast" w:line="280" w:before="0" w:after="0"/>
              <w:rPr/>
            </w:pPr>
            <w:r>
              <w:rPr/>
              <w:t> </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195" w:type="dxa"/>
            <w:tcBorders>
              <w:bottom w:val="single" w:sz="6" w:space="0" w:color="000000"/>
            </w:tcBorders>
            <w:shd w:fill="auto" w:val="clear"/>
            <w:tcMar>
              <w:bottom w:w="28" w:type="dxa"/>
            </w:tcMar>
            <w:vAlign w:val="center"/>
          </w:tcPr>
          <w:p>
            <w:pPr>
              <w:pStyle w:val="TableContents"/>
              <w:spacing w:lineRule="atLeast" w:line="280" w:before="0" w:after="0"/>
              <w:rPr/>
            </w:pPr>
            <w:r>
              <w:rPr/>
              <w:t> </w:t>
            </w:r>
          </w:p>
        </w:tc>
        <w:tc>
          <w:tcPr>
            <w:tcW w:w="650" w:type="dxa"/>
            <w:tcBorders>
              <w:bottom w:val="single" w:sz="6" w:space="0" w:color="000000"/>
            </w:tcBorders>
            <w:shd w:fill="auto" w:val="clear"/>
            <w:tcMar>
              <w:bottom w:w="28" w:type="dxa"/>
            </w:tcMar>
            <w:vAlign w:val="center"/>
          </w:tcPr>
          <w:p>
            <w:pPr>
              <w:pStyle w:val="TableContents"/>
              <w:spacing w:lineRule="atLeast" w:line="280" w:before="0" w:after="0"/>
              <w:jc w:val="right"/>
              <w:rPr>
                <w:rFonts w:ascii="ARIAL" w:hAnsi="ARIAL"/>
                <w:sz w:val="16"/>
              </w:rPr>
            </w:pPr>
            <w:r>
              <w:rPr>
                <w:rFonts w:ascii="ARIAL" w:hAnsi="ARIAL"/>
                <w:sz w:val="16"/>
              </w:rPr>
              <w:t>15%</w:t>
            </w:r>
          </w:p>
        </w:tc>
        <w:tc>
          <w:tcPr>
            <w:tcW w:w="60" w:type="dxa"/>
            <w:tcBorders>
              <w:bottom w:val="single" w:sz="6" w:space="0" w:color="000000"/>
            </w:tcBorders>
            <w:shd w:fill="auto" w:val="clear"/>
            <w:tcMar>
              <w:bottom w:w="28" w:type="dxa"/>
            </w:tcMar>
            <w:vAlign w:val="center"/>
          </w:tcPr>
          <w:p>
            <w:pPr>
              <w:pStyle w:val="TableContents"/>
              <w:spacing w:lineRule="atLeast" w:line="280" w:before="0" w:after="0"/>
              <w:rPr/>
            </w:pPr>
            <w:r>
              <w:rPr/>
              <w:t> </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166" w:type="dxa"/>
            <w:tcBorders>
              <w:bottom w:val="single" w:sz="6" w:space="0" w:color="000000"/>
            </w:tcBorders>
            <w:shd w:fill="auto" w:val="clear"/>
            <w:tcMar>
              <w:bottom w:w="28" w:type="dxa"/>
            </w:tcMar>
            <w:vAlign w:val="center"/>
          </w:tcPr>
          <w:p>
            <w:pPr>
              <w:pStyle w:val="TableContents"/>
              <w:spacing w:lineRule="atLeast" w:line="280" w:before="0" w:after="0"/>
              <w:rPr/>
            </w:pPr>
            <w:r>
              <w:rPr/>
              <w:t> </w:t>
            </w:r>
          </w:p>
        </w:tc>
        <w:tc>
          <w:tcPr>
            <w:tcW w:w="679" w:type="dxa"/>
            <w:tcBorders>
              <w:bottom w:val="single" w:sz="6" w:space="0" w:color="000000"/>
            </w:tcBorders>
            <w:shd w:fill="auto" w:val="clear"/>
            <w:tcMar>
              <w:bottom w:w="28" w:type="dxa"/>
            </w:tcMar>
            <w:vAlign w:val="center"/>
          </w:tcPr>
          <w:p>
            <w:pPr>
              <w:pStyle w:val="TableContents"/>
              <w:spacing w:lineRule="atLeast" w:line="280" w:before="0" w:after="0"/>
              <w:jc w:val="right"/>
              <w:rPr>
                <w:rFonts w:ascii="ARIAL" w:hAnsi="ARIAL"/>
                <w:sz w:val="16"/>
              </w:rPr>
            </w:pPr>
            <w:r>
              <w:rPr>
                <w:rFonts w:ascii="ARIAL" w:hAnsi="ARIAL"/>
                <w:sz w:val="16"/>
              </w:rPr>
              <w:t>10%</w:t>
            </w:r>
          </w:p>
        </w:tc>
        <w:tc>
          <w:tcPr>
            <w:tcW w:w="60" w:type="dxa"/>
            <w:tcBorders>
              <w:bottom w:val="single" w:sz="6" w:space="0" w:color="000000"/>
            </w:tcBorders>
            <w:shd w:fill="auto" w:val="clear"/>
            <w:tcMar>
              <w:bottom w:w="28" w:type="dxa"/>
            </w:tcMar>
            <w:vAlign w:val="center"/>
          </w:tcPr>
          <w:p>
            <w:pPr>
              <w:pStyle w:val="TableContents"/>
              <w:spacing w:lineRule="atLeast" w:line="280" w:before="0" w:after="0"/>
              <w:rPr/>
            </w:pPr>
            <w:r>
              <w:rPr/>
              <w:t> </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60" w:type="dxa"/>
            <w:tcBorders>
              <w:bottom w:val="single" w:sz="6" w:space="0" w:color="000000"/>
            </w:tcBorders>
            <w:shd w:fill="auto" w:val="clear"/>
            <w:tcMar>
              <w:bottom w:w="28" w:type="dxa"/>
            </w:tcMar>
            <w:vAlign w:val="center"/>
          </w:tcPr>
          <w:p>
            <w:pPr>
              <w:pStyle w:val="TableContents"/>
              <w:spacing w:lineRule="atLeast" w:line="280" w:before="0" w:after="0"/>
              <w:rPr/>
            </w:pPr>
            <w:r>
              <w:rPr/>
              <w:t> </w:t>
            </w:r>
          </w:p>
        </w:tc>
        <w:tc>
          <w:tcPr>
            <w:tcW w:w="395" w:type="dxa"/>
            <w:tcBorders>
              <w:bottom w:val="single" w:sz="6" w:space="0" w:color="000000"/>
            </w:tcBorders>
            <w:shd w:fill="auto" w:val="clear"/>
            <w:tcMar>
              <w:bottom w:w="28" w:type="dxa"/>
            </w:tcMar>
            <w:vAlign w:val="center"/>
          </w:tcPr>
          <w:p>
            <w:pPr>
              <w:pStyle w:val="TableContents"/>
              <w:spacing w:lineRule="atLeast" w:line="280" w:before="0" w:after="0"/>
              <w:jc w:val="right"/>
              <w:rPr>
                <w:rFonts w:ascii="ARIAL" w:hAnsi="ARIAL"/>
                <w:sz w:val="16"/>
              </w:rPr>
            </w:pPr>
            <w:r>
              <w:rPr>
                <w:rFonts w:ascii="ARIAL" w:hAnsi="ARIAL"/>
                <w:sz w:val="16"/>
              </w:rPr>
              <w:t>10%</w:t>
            </w:r>
          </w:p>
        </w:tc>
        <w:tc>
          <w:tcPr>
            <w:tcW w:w="60" w:type="dxa"/>
            <w:tcBorders>
              <w:bottom w:val="single" w:sz="6" w:space="0" w:color="000000"/>
            </w:tcBorders>
            <w:shd w:fill="auto" w:val="clear"/>
            <w:tcMar>
              <w:bottom w:w="28" w:type="dxa"/>
            </w:tcMar>
            <w:vAlign w:val="center"/>
          </w:tcPr>
          <w:p>
            <w:pPr>
              <w:pStyle w:val="TableContents"/>
              <w:spacing w:lineRule="atLeast" w:line="280" w:before="0" w:after="0"/>
              <w:rPr/>
            </w:pPr>
            <w:r>
              <w:rPr/>
              <w:t> </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60" w:type="dxa"/>
            <w:tcBorders>
              <w:bottom w:val="single" w:sz="6" w:space="0" w:color="000000"/>
            </w:tcBorders>
            <w:shd w:fill="auto" w:val="clear"/>
            <w:tcMar>
              <w:bottom w:w="28" w:type="dxa"/>
            </w:tcMar>
            <w:vAlign w:val="center"/>
          </w:tcPr>
          <w:p>
            <w:pPr>
              <w:pStyle w:val="TableContents"/>
              <w:spacing w:lineRule="atLeast" w:line="280" w:before="0" w:after="0"/>
              <w:rPr/>
            </w:pPr>
            <w:r>
              <w:rPr/>
              <w:t> </w:t>
            </w:r>
          </w:p>
        </w:tc>
        <w:tc>
          <w:tcPr>
            <w:tcW w:w="350" w:type="dxa"/>
            <w:tcBorders>
              <w:bottom w:val="single" w:sz="6" w:space="0" w:color="000000"/>
            </w:tcBorders>
            <w:shd w:fill="auto" w:val="clear"/>
            <w:tcMar>
              <w:bottom w:w="28" w:type="dxa"/>
            </w:tcMar>
            <w:vAlign w:val="center"/>
          </w:tcPr>
          <w:p>
            <w:pPr>
              <w:pStyle w:val="TableContents"/>
              <w:spacing w:lineRule="atLeast" w:line="280" w:before="0" w:after="0"/>
              <w:jc w:val="right"/>
              <w:rPr>
                <w:rFonts w:ascii="ARIAL" w:hAnsi="ARIAL"/>
                <w:sz w:val="16"/>
              </w:rPr>
            </w:pPr>
            <w:r>
              <w:rPr>
                <w:rFonts w:ascii="ARIAL" w:hAnsi="ARIAL"/>
                <w:sz w:val="16"/>
              </w:rPr>
              <w:t>10%</w:t>
            </w:r>
          </w:p>
        </w:tc>
        <w:tc>
          <w:tcPr>
            <w:tcW w:w="60" w:type="dxa"/>
            <w:tcBorders>
              <w:bottom w:val="single" w:sz="6" w:space="0" w:color="000000"/>
            </w:tcBorders>
            <w:shd w:fill="auto" w:val="clear"/>
            <w:tcMar>
              <w:bottom w:w="28" w:type="dxa"/>
            </w:tcMar>
            <w:vAlign w:val="center"/>
          </w:tcPr>
          <w:p>
            <w:pPr>
              <w:pStyle w:val="TableContents"/>
              <w:spacing w:lineRule="atLeast" w:line="280" w:before="0" w:after="0"/>
              <w:rPr/>
            </w:pPr>
            <w:r>
              <w:rPr/>
              <w:t> </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82" w:type="dxa"/>
            <w:tcBorders>
              <w:bottom w:val="single" w:sz="6" w:space="0" w:color="000000"/>
            </w:tcBorders>
            <w:shd w:fill="auto" w:val="clear"/>
            <w:tcMar>
              <w:bottom w:w="28" w:type="dxa"/>
            </w:tcMar>
            <w:vAlign w:val="center"/>
          </w:tcPr>
          <w:p>
            <w:pPr>
              <w:pStyle w:val="TableContents"/>
              <w:spacing w:lineRule="atLeast" w:line="280" w:before="0" w:after="0"/>
              <w:rPr/>
            </w:pPr>
            <w:r>
              <w:rPr/>
              <w:t> </w:t>
            </w:r>
          </w:p>
        </w:tc>
        <w:tc>
          <w:tcPr>
            <w:tcW w:w="628" w:type="dxa"/>
            <w:tcBorders>
              <w:bottom w:val="single" w:sz="6" w:space="0" w:color="000000"/>
            </w:tcBorders>
            <w:shd w:fill="auto" w:val="clear"/>
            <w:tcMar>
              <w:bottom w:w="28" w:type="dxa"/>
            </w:tcMar>
            <w:vAlign w:val="center"/>
          </w:tcPr>
          <w:p>
            <w:pPr>
              <w:pStyle w:val="TableContents"/>
              <w:spacing w:lineRule="atLeast" w:line="280" w:before="0" w:after="0"/>
              <w:jc w:val="right"/>
              <w:rPr>
                <w:rFonts w:ascii="ARIAL" w:hAnsi="ARIAL"/>
                <w:sz w:val="16"/>
              </w:rPr>
            </w:pPr>
            <w:r>
              <w:rPr>
                <w:rFonts w:ascii="ARIAL" w:hAnsi="ARIAL"/>
                <w:sz w:val="16"/>
              </w:rPr>
              <w:t>115%</w:t>
            </w:r>
          </w:p>
        </w:tc>
        <w:tc>
          <w:tcPr>
            <w:tcW w:w="60" w:type="dxa"/>
            <w:tcBorders>
              <w:bottom w:val="single" w:sz="6" w:space="0" w:color="000000"/>
            </w:tcBorders>
            <w:shd w:fill="auto" w:val="clear"/>
            <w:tcMar>
              <w:bottom w:w="28" w:type="dxa"/>
            </w:tcMar>
            <w:vAlign w:val="center"/>
          </w:tcPr>
          <w:p>
            <w:pPr>
              <w:pStyle w:val="TableContents"/>
              <w:spacing w:lineRule="atLeast" w:line="280" w:before="0" w:after="0"/>
              <w:rPr/>
            </w:pPr>
            <w:r>
              <w:rPr/>
              <w:t> </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198" w:type="dxa"/>
            <w:tcBorders>
              <w:bottom w:val="single" w:sz="6" w:space="0" w:color="000000"/>
            </w:tcBorders>
            <w:shd w:fill="auto" w:val="clear"/>
            <w:tcMar>
              <w:bottom w:w="28" w:type="dxa"/>
            </w:tcMar>
            <w:vAlign w:val="center"/>
          </w:tcPr>
          <w:p>
            <w:pPr>
              <w:pStyle w:val="TableContents"/>
              <w:spacing w:lineRule="atLeast" w:line="280" w:before="0" w:after="0"/>
              <w:rPr/>
            </w:pPr>
            <w:r>
              <w:rPr/>
              <w:t> </w:t>
            </w:r>
          </w:p>
        </w:tc>
        <w:tc>
          <w:tcPr>
            <w:tcW w:w="662" w:type="dxa"/>
            <w:tcBorders>
              <w:bottom w:val="single" w:sz="6" w:space="0" w:color="000000"/>
            </w:tcBorders>
            <w:shd w:fill="auto" w:val="clear"/>
            <w:tcMar>
              <w:bottom w:w="28" w:type="dxa"/>
            </w:tcMar>
            <w:vAlign w:val="center"/>
          </w:tcPr>
          <w:p>
            <w:pPr>
              <w:pStyle w:val="TableContents"/>
              <w:spacing w:lineRule="atLeast" w:line="280" w:before="0" w:after="0"/>
              <w:jc w:val="right"/>
              <w:rPr>
                <w:rFonts w:ascii="ARIAL" w:hAnsi="ARIAL"/>
                <w:sz w:val="16"/>
              </w:rPr>
            </w:pPr>
            <w:r>
              <w:rPr>
                <w:rFonts w:ascii="ARIAL" w:hAnsi="ARIAL"/>
                <w:sz w:val="16"/>
              </w:rPr>
              <w:t>10%</w:t>
            </w:r>
          </w:p>
        </w:tc>
        <w:tc>
          <w:tcPr>
            <w:tcW w:w="60" w:type="dxa"/>
            <w:tcBorders>
              <w:bottom w:val="single" w:sz="6" w:space="0" w:color="000000"/>
            </w:tcBorders>
            <w:shd w:fill="auto" w:val="clear"/>
            <w:tcMar>
              <w:bottom w:w="28" w:type="dxa"/>
            </w:tcMar>
            <w:vAlign w:val="center"/>
          </w:tcPr>
          <w:p>
            <w:pPr>
              <w:pStyle w:val="TableContents"/>
              <w:spacing w:lineRule="atLeast" w:line="280" w:before="0" w:after="0"/>
              <w:rPr/>
            </w:pPr>
            <w:r>
              <w:rPr/>
              <w:t> </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191" w:type="dxa"/>
            <w:tcBorders>
              <w:bottom w:val="single" w:sz="6" w:space="0" w:color="000000"/>
            </w:tcBorders>
            <w:shd w:fill="auto" w:val="clear"/>
            <w:tcMar>
              <w:bottom w:w="28" w:type="dxa"/>
            </w:tcMar>
            <w:vAlign w:val="center"/>
          </w:tcPr>
          <w:p>
            <w:pPr>
              <w:pStyle w:val="TableContents"/>
              <w:spacing w:lineRule="atLeast" w:line="280" w:before="0" w:after="0"/>
              <w:rPr/>
            </w:pPr>
            <w:r>
              <w:rPr/>
              <w:t> </w:t>
            </w:r>
          </w:p>
        </w:tc>
        <w:tc>
          <w:tcPr>
            <w:tcW w:w="639" w:type="dxa"/>
            <w:tcBorders>
              <w:bottom w:val="single" w:sz="6" w:space="0" w:color="000000"/>
            </w:tcBorders>
            <w:shd w:fill="auto" w:val="clear"/>
            <w:tcMar>
              <w:bottom w:w="28" w:type="dxa"/>
            </w:tcMar>
            <w:vAlign w:val="center"/>
          </w:tcPr>
          <w:p>
            <w:pPr>
              <w:pStyle w:val="TableContents"/>
              <w:spacing w:lineRule="atLeast" w:line="280" w:before="0" w:after="0"/>
              <w:jc w:val="right"/>
              <w:rPr>
                <w:rFonts w:ascii="ARIAL" w:hAnsi="ARIAL"/>
                <w:sz w:val="16"/>
              </w:rPr>
            </w:pPr>
            <w:r>
              <w:rPr>
                <w:rFonts w:ascii="ARIAL" w:hAnsi="ARIAL"/>
                <w:sz w:val="16"/>
              </w:rPr>
              <w:t>25%</w:t>
            </w:r>
          </w:p>
        </w:tc>
        <w:tc>
          <w:tcPr>
            <w:tcW w:w="60" w:type="dxa"/>
            <w:tcBorders>
              <w:bottom w:val="single" w:sz="6" w:space="0" w:color="000000"/>
            </w:tcBorders>
            <w:shd w:fill="auto" w:val="clear"/>
            <w:tcMar>
              <w:bottom w:w="28" w:type="dxa"/>
            </w:tcMar>
            <w:vAlign w:val="center"/>
          </w:tcPr>
          <w:p>
            <w:pPr>
              <w:pStyle w:val="TableContents"/>
              <w:spacing w:lineRule="atLeast" w:line="280" w:before="0" w:after="0"/>
              <w:rPr/>
            </w:pPr>
            <w:r>
              <w:rPr/>
              <w:t> </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60" w:type="dxa"/>
            <w:tcBorders>
              <w:bottom w:val="single" w:sz="6" w:space="0" w:color="000000"/>
            </w:tcBorders>
            <w:shd w:fill="auto" w:val="clear"/>
            <w:tcMar>
              <w:bottom w:w="28" w:type="dxa"/>
            </w:tcMar>
            <w:vAlign w:val="center"/>
          </w:tcPr>
          <w:p>
            <w:pPr>
              <w:pStyle w:val="TableContents"/>
              <w:spacing w:lineRule="atLeast" w:line="280" w:before="0" w:after="0"/>
              <w:rPr/>
            </w:pPr>
            <w:r>
              <w:rPr/>
              <w:t> </w:t>
            </w:r>
          </w:p>
        </w:tc>
        <w:tc>
          <w:tcPr>
            <w:tcW w:w="605" w:type="dxa"/>
            <w:tcBorders>
              <w:bottom w:val="single" w:sz="6" w:space="0" w:color="000000"/>
            </w:tcBorders>
            <w:shd w:fill="auto" w:val="clear"/>
            <w:tcMar>
              <w:bottom w:w="28" w:type="dxa"/>
            </w:tcMar>
            <w:vAlign w:val="center"/>
          </w:tcPr>
          <w:p>
            <w:pPr>
              <w:pStyle w:val="TableContents"/>
              <w:spacing w:lineRule="atLeast" w:line="280" w:before="0" w:after="0"/>
              <w:jc w:val="right"/>
              <w:rPr>
                <w:rFonts w:ascii="ARIAL" w:hAnsi="ARIAL"/>
                <w:sz w:val="16"/>
              </w:rPr>
            </w:pPr>
            <w:r>
              <w:rPr>
                <w:rFonts w:ascii="ARIAL" w:hAnsi="ARIAL"/>
                <w:sz w:val="16"/>
              </w:rPr>
              <w:t>150%</w:t>
            </w:r>
          </w:p>
        </w:tc>
        <w:tc>
          <w:tcPr>
            <w:tcW w:w="75" w:type="dxa"/>
            <w:tcBorders>
              <w:bottom w:val="single" w:sz="6" w:space="0" w:color="000000"/>
              <w:right w:val="single" w:sz="6" w:space="0" w:color="000000"/>
            </w:tcBorders>
            <w:shd w:fill="auto" w:val="clear"/>
            <w:tcMar>
              <w:bottom w:w="28" w:type="dxa"/>
              <w:right w:w="40" w:type="dxa"/>
            </w:tcMar>
            <w:vAlign w:val="center"/>
          </w:tcPr>
          <w:p>
            <w:pPr>
              <w:pStyle w:val="TableContents"/>
              <w:spacing w:lineRule="atLeast" w:line="280" w:before="0" w:after="0"/>
              <w:rPr/>
            </w:pPr>
            <w:r>
              <w:rPr/>
              <w:t> </w:t>
            </w:r>
          </w:p>
        </w:tc>
      </w:tr>
      <w:tr>
        <w:trPr/>
        <w:tc>
          <w:tcPr>
            <w:tcW w:w="890" w:type="dxa"/>
            <w:tcBorders>
              <w:left w:val="single" w:sz="6" w:space="0" w:color="000000"/>
              <w:bottom w:val="single" w:sz="6" w:space="0" w:color="000000"/>
            </w:tcBorders>
            <w:shd w:fill="auto" w:val="clear"/>
            <w:tcMar>
              <w:left w:w="160" w:type="dxa"/>
              <w:bottom w:w="28" w:type="dxa"/>
            </w:tcMar>
            <w:vAlign w:val="center"/>
          </w:tcPr>
          <w:p>
            <w:pPr>
              <w:pStyle w:val="TableContents"/>
              <w:spacing w:lineRule="atLeast" w:line="280" w:before="0" w:after="0"/>
              <w:rPr>
                <w:rFonts w:ascii="ARIAL" w:hAnsi="ARIAL"/>
                <w:sz w:val="16"/>
              </w:rPr>
            </w:pPr>
            <w:r>
              <w:rPr>
                <w:rFonts w:ascii="ARIAL" w:hAnsi="ARIAL"/>
                <w:sz w:val="16"/>
              </w:rPr>
              <w:t>Attainment</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195" w:type="dxa"/>
            <w:tcBorders>
              <w:bottom w:val="single" w:sz="6" w:space="0" w:color="000000"/>
            </w:tcBorders>
            <w:shd w:fill="auto" w:val="clear"/>
            <w:tcMar>
              <w:bottom w:w="28" w:type="dxa"/>
            </w:tcMar>
            <w:vAlign w:val="center"/>
          </w:tcPr>
          <w:p>
            <w:pPr>
              <w:pStyle w:val="TableContents"/>
              <w:spacing w:lineRule="atLeast" w:line="280" w:before="0" w:after="0"/>
              <w:rPr/>
            </w:pPr>
            <w:r>
              <w:rPr/>
              <w:t> </w:t>
            </w:r>
          </w:p>
        </w:tc>
        <w:tc>
          <w:tcPr>
            <w:tcW w:w="650" w:type="dxa"/>
            <w:tcBorders>
              <w:bottom w:val="single" w:sz="6" w:space="0" w:color="000000"/>
            </w:tcBorders>
            <w:shd w:fill="auto" w:val="clear"/>
            <w:tcMar>
              <w:bottom w:w="28" w:type="dxa"/>
            </w:tcMar>
            <w:vAlign w:val="center"/>
          </w:tcPr>
          <w:p>
            <w:pPr>
              <w:pStyle w:val="TableContents"/>
              <w:spacing w:lineRule="atLeast" w:line="280" w:before="0" w:after="0"/>
              <w:jc w:val="right"/>
              <w:rPr>
                <w:rFonts w:ascii="ARIAL" w:hAnsi="ARIAL"/>
                <w:sz w:val="16"/>
              </w:rPr>
            </w:pPr>
            <w:r>
              <w:rPr>
                <w:rFonts w:ascii="ARIAL" w:hAnsi="ARIAL"/>
                <w:sz w:val="16"/>
              </w:rPr>
              <w:t>0%</w:t>
            </w:r>
          </w:p>
        </w:tc>
        <w:tc>
          <w:tcPr>
            <w:tcW w:w="60" w:type="dxa"/>
            <w:tcBorders>
              <w:bottom w:val="single" w:sz="6" w:space="0" w:color="000000"/>
            </w:tcBorders>
            <w:shd w:fill="auto" w:val="clear"/>
            <w:tcMar>
              <w:bottom w:w="28" w:type="dxa"/>
            </w:tcMar>
            <w:vAlign w:val="center"/>
          </w:tcPr>
          <w:p>
            <w:pPr>
              <w:pStyle w:val="TableContents"/>
              <w:spacing w:lineRule="atLeast" w:line="280" w:before="0" w:after="0"/>
              <w:rPr/>
            </w:pPr>
            <w:r>
              <w:rPr/>
              <w:t> </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195" w:type="dxa"/>
            <w:tcBorders>
              <w:bottom w:val="single" w:sz="6" w:space="0" w:color="000000"/>
            </w:tcBorders>
            <w:shd w:fill="auto" w:val="clear"/>
            <w:tcMar>
              <w:bottom w:w="28" w:type="dxa"/>
            </w:tcMar>
            <w:vAlign w:val="center"/>
          </w:tcPr>
          <w:p>
            <w:pPr>
              <w:pStyle w:val="TableContents"/>
              <w:spacing w:lineRule="atLeast" w:line="280" w:before="0" w:after="0"/>
              <w:rPr/>
            </w:pPr>
            <w:r>
              <w:rPr/>
              <w:t> </w:t>
            </w:r>
          </w:p>
        </w:tc>
        <w:tc>
          <w:tcPr>
            <w:tcW w:w="650" w:type="dxa"/>
            <w:tcBorders>
              <w:bottom w:val="single" w:sz="6" w:space="0" w:color="000000"/>
            </w:tcBorders>
            <w:shd w:fill="auto" w:val="clear"/>
            <w:tcMar>
              <w:bottom w:w="28" w:type="dxa"/>
            </w:tcMar>
            <w:vAlign w:val="center"/>
          </w:tcPr>
          <w:p>
            <w:pPr>
              <w:pStyle w:val="TableContents"/>
              <w:spacing w:lineRule="atLeast" w:line="280" w:before="0" w:after="0"/>
              <w:jc w:val="right"/>
              <w:rPr>
                <w:rFonts w:ascii="ARIAL" w:hAnsi="ARIAL"/>
                <w:sz w:val="16"/>
              </w:rPr>
            </w:pPr>
            <w:r>
              <w:rPr>
                <w:rFonts w:ascii="ARIAL" w:hAnsi="ARIAL"/>
                <w:sz w:val="16"/>
              </w:rPr>
              <w:t>0%</w:t>
            </w:r>
          </w:p>
        </w:tc>
        <w:tc>
          <w:tcPr>
            <w:tcW w:w="60" w:type="dxa"/>
            <w:tcBorders>
              <w:bottom w:val="single" w:sz="6" w:space="0" w:color="000000"/>
            </w:tcBorders>
            <w:shd w:fill="auto" w:val="clear"/>
            <w:tcMar>
              <w:bottom w:w="28" w:type="dxa"/>
            </w:tcMar>
            <w:vAlign w:val="center"/>
          </w:tcPr>
          <w:p>
            <w:pPr>
              <w:pStyle w:val="TableContents"/>
              <w:spacing w:lineRule="atLeast" w:line="280" w:before="0" w:after="0"/>
              <w:rPr/>
            </w:pPr>
            <w:r>
              <w:rPr/>
              <w:t> </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166" w:type="dxa"/>
            <w:tcBorders>
              <w:bottom w:val="single" w:sz="6" w:space="0" w:color="000000"/>
            </w:tcBorders>
            <w:shd w:fill="auto" w:val="clear"/>
            <w:tcMar>
              <w:bottom w:w="28" w:type="dxa"/>
            </w:tcMar>
            <w:vAlign w:val="center"/>
          </w:tcPr>
          <w:p>
            <w:pPr>
              <w:pStyle w:val="TableContents"/>
              <w:spacing w:lineRule="atLeast" w:line="280" w:before="0" w:after="0"/>
              <w:rPr/>
            </w:pPr>
            <w:r>
              <w:rPr/>
              <w:t> </w:t>
            </w:r>
          </w:p>
        </w:tc>
        <w:tc>
          <w:tcPr>
            <w:tcW w:w="679" w:type="dxa"/>
            <w:tcBorders>
              <w:bottom w:val="single" w:sz="6" w:space="0" w:color="000000"/>
            </w:tcBorders>
            <w:shd w:fill="auto" w:val="clear"/>
            <w:tcMar>
              <w:bottom w:w="28" w:type="dxa"/>
            </w:tcMar>
            <w:vAlign w:val="center"/>
          </w:tcPr>
          <w:p>
            <w:pPr>
              <w:pStyle w:val="TableContents"/>
              <w:spacing w:lineRule="atLeast" w:line="280" w:before="0" w:after="0"/>
              <w:jc w:val="right"/>
              <w:rPr>
                <w:rFonts w:ascii="ARIAL" w:hAnsi="ARIAL"/>
                <w:sz w:val="16"/>
              </w:rPr>
            </w:pPr>
            <w:r>
              <w:rPr>
                <w:rFonts w:ascii="ARIAL" w:hAnsi="ARIAL"/>
                <w:sz w:val="16"/>
              </w:rPr>
              <w:t>7.5%</w:t>
            </w:r>
          </w:p>
        </w:tc>
        <w:tc>
          <w:tcPr>
            <w:tcW w:w="60" w:type="dxa"/>
            <w:tcBorders>
              <w:bottom w:val="single" w:sz="6" w:space="0" w:color="000000"/>
            </w:tcBorders>
            <w:shd w:fill="auto" w:val="clear"/>
            <w:tcMar>
              <w:bottom w:w="28" w:type="dxa"/>
            </w:tcMar>
            <w:vAlign w:val="center"/>
          </w:tcPr>
          <w:p>
            <w:pPr>
              <w:pStyle w:val="TableContents"/>
              <w:spacing w:lineRule="atLeast" w:line="280" w:before="0" w:after="0"/>
              <w:rPr/>
            </w:pPr>
            <w:r>
              <w:rPr/>
              <w:t> </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60" w:type="dxa"/>
            <w:tcBorders>
              <w:bottom w:val="single" w:sz="6" w:space="0" w:color="000000"/>
            </w:tcBorders>
            <w:shd w:fill="auto" w:val="clear"/>
            <w:tcMar>
              <w:bottom w:w="28" w:type="dxa"/>
            </w:tcMar>
            <w:vAlign w:val="center"/>
          </w:tcPr>
          <w:p>
            <w:pPr>
              <w:pStyle w:val="TableContents"/>
              <w:spacing w:lineRule="atLeast" w:line="280" w:before="0" w:after="0"/>
              <w:rPr/>
            </w:pPr>
            <w:r>
              <w:rPr/>
              <w:t> </w:t>
            </w:r>
          </w:p>
        </w:tc>
        <w:tc>
          <w:tcPr>
            <w:tcW w:w="395" w:type="dxa"/>
            <w:tcBorders>
              <w:bottom w:val="single" w:sz="6" w:space="0" w:color="000000"/>
            </w:tcBorders>
            <w:shd w:fill="auto" w:val="clear"/>
            <w:tcMar>
              <w:bottom w:w="28" w:type="dxa"/>
            </w:tcMar>
            <w:vAlign w:val="center"/>
          </w:tcPr>
          <w:p>
            <w:pPr>
              <w:pStyle w:val="TableContents"/>
              <w:spacing w:lineRule="atLeast" w:line="280" w:before="0" w:after="0"/>
              <w:jc w:val="right"/>
              <w:rPr>
                <w:rFonts w:ascii="ARIAL" w:hAnsi="ARIAL"/>
                <w:sz w:val="16"/>
              </w:rPr>
            </w:pPr>
            <w:r>
              <w:rPr>
                <w:rFonts w:ascii="ARIAL" w:hAnsi="ARIAL"/>
                <w:sz w:val="16"/>
              </w:rPr>
              <w:t>5.0%</w:t>
            </w:r>
          </w:p>
        </w:tc>
        <w:tc>
          <w:tcPr>
            <w:tcW w:w="60" w:type="dxa"/>
            <w:tcBorders>
              <w:bottom w:val="single" w:sz="6" w:space="0" w:color="000000"/>
            </w:tcBorders>
            <w:shd w:fill="auto" w:val="clear"/>
            <w:tcMar>
              <w:bottom w:w="28" w:type="dxa"/>
            </w:tcMar>
            <w:vAlign w:val="center"/>
          </w:tcPr>
          <w:p>
            <w:pPr>
              <w:pStyle w:val="TableContents"/>
              <w:spacing w:lineRule="atLeast" w:line="280" w:before="0" w:after="0"/>
              <w:rPr/>
            </w:pPr>
            <w:r>
              <w:rPr/>
              <w:t> </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60" w:type="dxa"/>
            <w:tcBorders>
              <w:bottom w:val="single" w:sz="6" w:space="0" w:color="000000"/>
            </w:tcBorders>
            <w:shd w:fill="auto" w:val="clear"/>
            <w:tcMar>
              <w:bottom w:w="28" w:type="dxa"/>
            </w:tcMar>
            <w:vAlign w:val="center"/>
          </w:tcPr>
          <w:p>
            <w:pPr>
              <w:pStyle w:val="TableContents"/>
              <w:spacing w:lineRule="atLeast" w:line="280" w:before="0" w:after="0"/>
              <w:rPr/>
            </w:pPr>
            <w:r>
              <w:rPr/>
              <w:t> </w:t>
            </w:r>
          </w:p>
        </w:tc>
        <w:tc>
          <w:tcPr>
            <w:tcW w:w="350" w:type="dxa"/>
            <w:tcBorders>
              <w:bottom w:val="single" w:sz="6" w:space="0" w:color="000000"/>
            </w:tcBorders>
            <w:shd w:fill="auto" w:val="clear"/>
            <w:tcMar>
              <w:bottom w:w="28" w:type="dxa"/>
            </w:tcMar>
            <w:vAlign w:val="center"/>
          </w:tcPr>
          <w:p>
            <w:pPr>
              <w:pStyle w:val="TableContents"/>
              <w:spacing w:lineRule="atLeast" w:line="280" w:before="0" w:after="0"/>
              <w:jc w:val="right"/>
              <w:rPr>
                <w:rFonts w:ascii="ARIAL" w:hAnsi="ARIAL"/>
                <w:sz w:val="16"/>
              </w:rPr>
            </w:pPr>
            <w:r>
              <w:rPr>
                <w:rFonts w:ascii="ARIAL" w:hAnsi="ARIAL"/>
                <w:sz w:val="16"/>
              </w:rPr>
              <w:t>10%</w:t>
            </w:r>
          </w:p>
        </w:tc>
        <w:tc>
          <w:tcPr>
            <w:tcW w:w="60" w:type="dxa"/>
            <w:tcBorders>
              <w:bottom w:val="single" w:sz="6" w:space="0" w:color="000000"/>
            </w:tcBorders>
            <w:shd w:fill="auto" w:val="clear"/>
            <w:tcMar>
              <w:bottom w:w="28" w:type="dxa"/>
            </w:tcMar>
            <w:vAlign w:val="center"/>
          </w:tcPr>
          <w:p>
            <w:pPr>
              <w:pStyle w:val="TableContents"/>
              <w:spacing w:lineRule="atLeast" w:line="280" w:before="0" w:after="0"/>
              <w:rPr/>
            </w:pPr>
            <w:r>
              <w:rPr/>
              <w:t> </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82" w:type="dxa"/>
            <w:tcBorders>
              <w:bottom w:val="single" w:sz="6" w:space="0" w:color="000000"/>
            </w:tcBorders>
            <w:shd w:fill="auto" w:val="clear"/>
            <w:tcMar>
              <w:bottom w:w="28" w:type="dxa"/>
            </w:tcMar>
            <w:vAlign w:val="center"/>
          </w:tcPr>
          <w:p>
            <w:pPr>
              <w:pStyle w:val="TableContents"/>
              <w:spacing w:lineRule="atLeast" w:line="280" w:before="0" w:after="0"/>
              <w:rPr/>
            </w:pPr>
            <w:r>
              <w:rPr/>
              <w:t> </w:t>
            </w:r>
          </w:p>
        </w:tc>
        <w:tc>
          <w:tcPr>
            <w:tcW w:w="628" w:type="dxa"/>
            <w:tcBorders>
              <w:bottom w:val="single" w:sz="6" w:space="0" w:color="000000"/>
            </w:tcBorders>
            <w:shd w:fill="auto" w:val="clear"/>
            <w:tcMar>
              <w:bottom w:w="28" w:type="dxa"/>
            </w:tcMar>
            <w:vAlign w:val="center"/>
          </w:tcPr>
          <w:p>
            <w:pPr>
              <w:pStyle w:val="TableContents"/>
              <w:spacing w:lineRule="atLeast" w:line="280" w:before="0" w:after="0"/>
              <w:jc w:val="right"/>
              <w:rPr/>
            </w:pPr>
            <w:r>
              <w:rPr/>
              <w:t>  </w:t>
            </w:r>
            <w:r>
              <w:rPr>
                <w:rFonts w:ascii="ARIAL" w:hAnsi="ARIAL"/>
                <w:sz w:val="16"/>
              </w:rPr>
              <w:t>22.5%</w:t>
            </w:r>
          </w:p>
        </w:tc>
        <w:tc>
          <w:tcPr>
            <w:tcW w:w="60" w:type="dxa"/>
            <w:tcBorders>
              <w:bottom w:val="single" w:sz="6" w:space="0" w:color="000000"/>
            </w:tcBorders>
            <w:shd w:fill="auto" w:val="clear"/>
            <w:tcMar>
              <w:bottom w:w="28" w:type="dxa"/>
            </w:tcMar>
            <w:vAlign w:val="center"/>
          </w:tcPr>
          <w:p>
            <w:pPr>
              <w:pStyle w:val="TableContents"/>
              <w:spacing w:lineRule="atLeast" w:line="280" w:before="0" w:after="0"/>
              <w:rPr/>
            </w:pPr>
            <w:r>
              <w:rPr/>
              <w:t> </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198" w:type="dxa"/>
            <w:tcBorders>
              <w:bottom w:val="single" w:sz="6" w:space="0" w:color="000000"/>
            </w:tcBorders>
            <w:shd w:fill="auto" w:val="clear"/>
            <w:tcMar>
              <w:bottom w:w="28" w:type="dxa"/>
            </w:tcMar>
            <w:vAlign w:val="center"/>
          </w:tcPr>
          <w:p>
            <w:pPr>
              <w:pStyle w:val="TableContents"/>
              <w:spacing w:lineRule="atLeast" w:line="280" w:before="0" w:after="0"/>
              <w:rPr/>
            </w:pPr>
            <w:r>
              <w:rPr/>
              <w:t> </w:t>
            </w:r>
          </w:p>
        </w:tc>
        <w:tc>
          <w:tcPr>
            <w:tcW w:w="662" w:type="dxa"/>
            <w:tcBorders>
              <w:bottom w:val="single" w:sz="6" w:space="0" w:color="000000"/>
            </w:tcBorders>
            <w:shd w:fill="auto" w:val="clear"/>
            <w:tcMar>
              <w:bottom w:w="28" w:type="dxa"/>
            </w:tcMar>
            <w:vAlign w:val="center"/>
          </w:tcPr>
          <w:p>
            <w:pPr>
              <w:pStyle w:val="TableContents"/>
              <w:spacing w:lineRule="atLeast" w:line="280" w:before="0" w:after="0"/>
              <w:jc w:val="right"/>
              <w:rPr>
                <w:rFonts w:ascii="ARIAL" w:hAnsi="ARIAL"/>
                <w:sz w:val="16"/>
              </w:rPr>
            </w:pPr>
            <w:r>
              <w:rPr>
                <w:rFonts w:ascii="ARIAL" w:hAnsi="ARIAL"/>
                <w:sz w:val="16"/>
              </w:rPr>
              <w:t>10%</w:t>
            </w:r>
          </w:p>
        </w:tc>
        <w:tc>
          <w:tcPr>
            <w:tcW w:w="60" w:type="dxa"/>
            <w:tcBorders>
              <w:bottom w:val="single" w:sz="6" w:space="0" w:color="000000"/>
            </w:tcBorders>
            <w:shd w:fill="auto" w:val="clear"/>
            <w:tcMar>
              <w:bottom w:w="28" w:type="dxa"/>
            </w:tcMar>
            <w:vAlign w:val="center"/>
          </w:tcPr>
          <w:p>
            <w:pPr>
              <w:pStyle w:val="TableContents"/>
              <w:spacing w:lineRule="atLeast" w:line="280" w:before="0" w:after="0"/>
              <w:rPr/>
            </w:pPr>
            <w:r>
              <w:rPr/>
              <w:t> </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191" w:type="dxa"/>
            <w:tcBorders>
              <w:bottom w:val="single" w:sz="6" w:space="0" w:color="000000"/>
            </w:tcBorders>
            <w:shd w:fill="auto" w:val="clear"/>
            <w:tcMar>
              <w:bottom w:w="28" w:type="dxa"/>
            </w:tcMar>
            <w:vAlign w:val="center"/>
          </w:tcPr>
          <w:p>
            <w:pPr>
              <w:pStyle w:val="TableContents"/>
              <w:spacing w:lineRule="atLeast" w:line="280" w:before="0" w:after="0"/>
              <w:rPr/>
            </w:pPr>
            <w:r>
              <w:rPr/>
              <w:t> </w:t>
            </w:r>
          </w:p>
        </w:tc>
        <w:tc>
          <w:tcPr>
            <w:tcW w:w="639" w:type="dxa"/>
            <w:tcBorders>
              <w:bottom w:val="single" w:sz="6" w:space="0" w:color="000000"/>
            </w:tcBorders>
            <w:shd w:fill="auto" w:val="clear"/>
            <w:tcMar>
              <w:bottom w:w="28" w:type="dxa"/>
            </w:tcMar>
            <w:vAlign w:val="center"/>
          </w:tcPr>
          <w:p>
            <w:pPr>
              <w:pStyle w:val="TableContents"/>
              <w:spacing w:lineRule="atLeast" w:line="280" w:before="0" w:after="0"/>
              <w:jc w:val="right"/>
              <w:rPr>
                <w:rFonts w:ascii="ARIAL" w:hAnsi="ARIAL"/>
                <w:sz w:val="16"/>
              </w:rPr>
            </w:pPr>
            <w:r>
              <w:rPr>
                <w:rFonts w:ascii="ARIAL" w:hAnsi="ARIAL"/>
                <w:sz w:val="16"/>
              </w:rPr>
              <w:t>0%</w:t>
            </w:r>
          </w:p>
        </w:tc>
        <w:tc>
          <w:tcPr>
            <w:tcW w:w="60" w:type="dxa"/>
            <w:tcBorders>
              <w:bottom w:val="single" w:sz="6" w:space="0" w:color="000000"/>
            </w:tcBorders>
            <w:shd w:fill="auto" w:val="clear"/>
            <w:tcMar>
              <w:bottom w:w="28" w:type="dxa"/>
            </w:tcMar>
            <w:vAlign w:val="center"/>
          </w:tcPr>
          <w:p>
            <w:pPr>
              <w:pStyle w:val="TableContents"/>
              <w:spacing w:lineRule="atLeast" w:line="280" w:before="0" w:after="0"/>
              <w:rPr/>
            </w:pPr>
            <w:r>
              <w:rPr/>
              <w:t> </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60" w:type="dxa"/>
            <w:tcBorders>
              <w:bottom w:val="single" w:sz="6" w:space="0" w:color="000000"/>
            </w:tcBorders>
            <w:shd w:fill="auto" w:val="clear"/>
            <w:tcMar>
              <w:bottom w:w="28" w:type="dxa"/>
            </w:tcMar>
            <w:vAlign w:val="center"/>
          </w:tcPr>
          <w:p>
            <w:pPr>
              <w:pStyle w:val="TableContents"/>
              <w:spacing w:lineRule="atLeast" w:line="280" w:before="0" w:after="0"/>
              <w:rPr/>
            </w:pPr>
            <w:r>
              <w:rPr/>
              <w:t> </w:t>
            </w:r>
          </w:p>
        </w:tc>
        <w:tc>
          <w:tcPr>
            <w:tcW w:w="605" w:type="dxa"/>
            <w:tcBorders>
              <w:bottom w:val="single" w:sz="6" w:space="0" w:color="000000"/>
            </w:tcBorders>
            <w:shd w:fill="auto" w:val="clear"/>
            <w:tcMar>
              <w:bottom w:w="28" w:type="dxa"/>
            </w:tcMar>
            <w:vAlign w:val="center"/>
          </w:tcPr>
          <w:p>
            <w:pPr>
              <w:pStyle w:val="TableContents"/>
              <w:spacing w:lineRule="atLeast" w:line="280" w:before="0" w:after="0"/>
              <w:jc w:val="right"/>
              <w:rPr/>
            </w:pPr>
            <w:r>
              <w:rPr/>
              <w:t>  </w:t>
            </w:r>
            <w:r>
              <w:rPr>
                <w:rFonts w:ascii="ARIAL" w:hAnsi="ARIAL"/>
                <w:sz w:val="16"/>
              </w:rPr>
              <w:t>32.5%</w:t>
            </w:r>
          </w:p>
        </w:tc>
        <w:tc>
          <w:tcPr>
            <w:tcW w:w="75" w:type="dxa"/>
            <w:tcBorders>
              <w:bottom w:val="single" w:sz="6" w:space="0" w:color="000000"/>
              <w:right w:val="single" w:sz="6" w:space="0" w:color="000000"/>
            </w:tcBorders>
            <w:shd w:fill="auto" w:val="clear"/>
            <w:tcMar>
              <w:bottom w:w="28" w:type="dxa"/>
              <w:right w:w="40" w:type="dxa"/>
            </w:tcMar>
            <w:vAlign w:val="center"/>
          </w:tcPr>
          <w:p>
            <w:pPr>
              <w:pStyle w:val="TableContents"/>
              <w:spacing w:lineRule="atLeast" w:line="280" w:before="0" w:after="0"/>
              <w:rPr/>
            </w:pPr>
            <w:r>
              <w:rPr/>
              <w:t> </w:t>
            </w:r>
          </w:p>
        </w:tc>
      </w:tr>
    </w:tbl>
    <w:p>
      <w:pPr>
        <w:pStyle w:val="TextBody"/>
        <w:spacing w:before="0" w:after="0"/>
        <w:jc w:val="left"/>
        <w:rPr/>
      </w:pPr>
      <w:r>
        <w:rPr/>
        <w:t> </w:t>
      </w:r>
    </w:p>
    <w:tbl>
      <w:tblPr>
        <w:tblW w:w="7195" w:type="dxa"/>
        <w:jc w:val="left"/>
        <w:tblInd w:w="0" w:type="dxa"/>
        <w:tblCellMar>
          <w:top w:w="0" w:type="dxa"/>
          <w:left w:w="0" w:type="dxa"/>
          <w:bottom w:w="0" w:type="dxa"/>
          <w:right w:w="0" w:type="dxa"/>
        </w:tblCellMar>
      </w:tblPr>
      <w:tblGrid>
        <w:gridCol w:w="305"/>
        <w:gridCol w:w="6890"/>
      </w:tblGrid>
      <w:tr>
        <w:trPr/>
        <w:tc>
          <w:tcPr>
            <w:tcW w:w="305" w:type="dxa"/>
            <w:tcBorders/>
            <w:shd w:fill="auto" w:val="clear"/>
            <w:vAlign w:val="center"/>
          </w:tcPr>
          <w:p>
            <w:pPr>
              <w:pStyle w:val="TableContents"/>
              <w:spacing w:before="0" w:after="283"/>
              <w:jc w:val="left"/>
              <w:rPr/>
            </w:pPr>
            <w:r>
              <w:rPr/>
              <w:t>(1)</w:t>
            </w:r>
          </w:p>
        </w:tc>
        <w:tc>
          <w:tcPr>
            <w:tcW w:w="6890" w:type="dxa"/>
            <w:tcBorders/>
            <w:shd w:fill="auto" w:val="clear"/>
            <w:vAlign w:val="center"/>
          </w:tcPr>
          <w:p>
            <w:pPr>
              <w:pStyle w:val="TableContents"/>
              <w:spacing w:before="0" w:after="0"/>
              <w:jc w:val="left"/>
              <w:rPr>
                <w:rFonts w:ascii="ARIAL" w:hAnsi="ARIAL"/>
                <w:sz w:val="16"/>
              </w:rPr>
            </w:pPr>
            <w:r>
              <w:rPr>
                <w:rFonts w:ascii="ARIAL" w:hAnsi="ARIAL"/>
                <w:sz w:val="16"/>
              </w:rPr>
              <w:t xml:space="preserve">Physician Practice Services Margin Improvement; (2) Quality and Patient Safety Improvement </w:t>
            </w:r>
          </w:p>
        </w:tc>
      </w:tr>
    </w:tbl>
    <w:p>
      <w:pPr>
        <w:pStyle w:val="TextBody"/>
        <w:spacing w:before="0" w:after="0"/>
        <w:jc w:val="left"/>
        <w:rPr/>
      </w:pPr>
      <w:r>
        <w:rPr/>
        <w:t> </w:t>
      </w:r>
    </w:p>
    <w:tbl>
      <w:tblPr>
        <w:tblW w:w="7670" w:type="dxa"/>
        <w:jc w:val="left"/>
        <w:tblInd w:w="0" w:type="dxa"/>
        <w:tblCellMar>
          <w:top w:w="0" w:type="dxa"/>
          <w:left w:w="0" w:type="dxa"/>
          <w:bottom w:w="0" w:type="dxa"/>
          <w:right w:w="0" w:type="dxa"/>
        </w:tblCellMar>
      </w:tblPr>
      <w:tblGrid>
        <w:gridCol w:w="890"/>
        <w:gridCol w:w="60"/>
        <w:gridCol w:w="195"/>
        <w:gridCol w:w="650"/>
        <w:gridCol w:w="60"/>
        <w:gridCol w:w="60"/>
        <w:gridCol w:w="132"/>
        <w:gridCol w:w="443"/>
        <w:gridCol w:w="60"/>
        <w:gridCol w:w="60"/>
        <w:gridCol w:w="177"/>
        <w:gridCol w:w="593"/>
        <w:gridCol w:w="60"/>
        <w:gridCol w:w="60"/>
        <w:gridCol w:w="146"/>
        <w:gridCol w:w="489"/>
        <w:gridCol w:w="60"/>
        <w:gridCol w:w="60"/>
        <w:gridCol w:w="60"/>
        <w:gridCol w:w="350"/>
        <w:gridCol w:w="60"/>
        <w:gridCol w:w="60"/>
        <w:gridCol w:w="60"/>
        <w:gridCol w:w="350"/>
        <w:gridCol w:w="60"/>
        <w:gridCol w:w="60"/>
        <w:gridCol w:w="121"/>
        <w:gridCol w:w="589"/>
        <w:gridCol w:w="60"/>
        <w:gridCol w:w="60"/>
        <w:gridCol w:w="191"/>
        <w:gridCol w:w="639"/>
        <w:gridCol w:w="60"/>
        <w:gridCol w:w="60"/>
        <w:gridCol w:w="60"/>
        <w:gridCol w:w="440"/>
        <w:gridCol w:w="75"/>
      </w:tblGrid>
      <w:tr>
        <w:trPr/>
        <w:tc>
          <w:tcPr>
            <w:tcW w:w="8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6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44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59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8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58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63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890" w:type="dxa"/>
            <w:tcBorders>
              <w:top w:val="single" w:sz="6" w:space="0" w:color="000000"/>
              <w:left w:val="single" w:sz="6" w:space="0" w:color="000000"/>
              <w:bottom w:val="single" w:sz="6" w:space="0" w:color="000000"/>
            </w:tcBorders>
            <w:shd w:fill="auto" w:val="clear"/>
            <w:tcMar>
              <w:top w:w="28" w:type="dxa"/>
              <w:left w:w="160" w:type="dxa"/>
              <w:bottom w:w="28" w:type="dxa"/>
            </w:tcMar>
            <w:vAlign w:val="center"/>
          </w:tcPr>
          <w:p>
            <w:pPr>
              <w:pStyle w:val="TableContents"/>
              <w:spacing w:before="0" w:after="283"/>
              <w:rPr/>
            </w:pPr>
            <w:r>
              <w:rPr/>
              <w:t>  </w:t>
            </w:r>
          </w:p>
        </w:tc>
        <w:tc>
          <w:tcPr>
            <w:tcW w:w="60" w:type="dxa"/>
            <w:tcBorders>
              <w:top w:val="single" w:sz="6" w:space="0" w:color="000000"/>
              <w:bottom w:val="single" w:sz="6" w:space="0" w:color="000000"/>
            </w:tcBorders>
            <w:shd w:fill="auto" w:val="clear"/>
            <w:tcMar>
              <w:top w:w="28" w:type="dxa"/>
              <w:bottom w:w="28" w:type="dxa"/>
            </w:tcMar>
            <w:vAlign w:val="center"/>
          </w:tcPr>
          <w:p>
            <w:pPr>
              <w:pStyle w:val="TableContents"/>
              <w:spacing w:before="0" w:after="283"/>
              <w:rPr/>
            </w:pPr>
            <w:r>
              <w:rPr/>
              <w:t> </w:t>
            </w:r>
          </w:p>
        </w:tc>
        <w:tc>
          <w:tcPr>
            <w:tcW w:w="845" w:type="dxa"/>
            <w:gridSpan w:val="2"/>
            <w:tcBorders>
              <w:top w:val="single" w:sz="6" w:space="0" w:color="000000"/>
              <w:bottom w:val="single" w:sz="6" w:space="0" w:color="000000"/>
            </w:tcBorders>
            <w:shd w:fill="auto" w:val="clear"/>
            <w:tcMar>
              <w:top w:w="28" w:type="dxa"/>
              <w:bottom w:w="28" w:type="dxa"/>
            </w:tcMar>
            <w:vAlign w:val="center"/>
          </w:tcPr>
          <w:p>
            <w:pPr>
              <w:pStyle w:val="TableContents"/>
              <w:spacing w:before="0" w:after="0"/>
              <w:jc w:val="center"/>
              <w:rPr>
                <w:rFonts w:ascii="ARIAL" w:hAnsi="ARIAL"/>
                <w:b/>
                <w:sz w:val="14"/>
              </w:rPr>
            </w:pPr>
            <w:r>
              <w:rPr>
                <w:rFonts w:ascii="ARIAL" w:hAnsi="ARIAL"/>
                <w:b/>
                <w:sz w:val="14"/>
              </w:rPr>
              <w:t>Consolidated</w:t>
            </w:r>
          </w:p>
          <w:p>
            <w:pPr>
              <w:pStyle w:val="TableContents"/>
              <w:spacing w:before="0" w:after="20"/>
              <w:jc w:val="center"/>
              <w:rPr>
                <w:rFonts w:ascii="ARIAL" w:hAnsi="ARIAL"/>
                <w:b/>
                <w:sz w:val="14"/>
              </w:rPr>
            </w:pPr>
            <w:r>
              <w:rPr>
                <w:rFonts w:ascii="ARIAL" w:hAnsi="ARIAL"/>
                <w:b/>
                <w:sz w:val="14"/>
              </w:rPr>
              <w:t>Adjusted</w:t>
              <w:br/>
              <w:t>EBITDA</w:t>
            </w:r>
          </w:p>
        </w:tc>
        <w:tc>
          <w:tcPr>
            <w:tcW w:w="60" w:type="dxa"/>
            <w:tcBorders>
              <w:top w:val="single" w:sz="6" w:space="0" w:color="000000"/>
              <w:bottom w:val="single" w:sz="6" w:space="0" w:color="000000"/>
            </w:tcBorders>
            <w:shd w:fill="auto" w:val="clear"/>
            <w:tcMar>
              <w:top w:w="28" w:type="dxa"/>
              <w:bottom w:w="28" w:type="dxa"/>
            </w:tcMar>
            <w:vAlign w:val="center"/>
          </w:tcPr>
          <w:p>
            <w:pPr>
              <w:pStyle w:val="TableContents"/>
              <w:spacing w:before="0" w:after="283"/>
              <w:rPr/>
            </w:pPr>
            <w:r>
              <w:rPr/>
              <w:t> </w:t>
            </w:r>
          </w:p>
        </w:tc>
        <w:tc>
          <w:tcPr>
            <w:tcW w:w="60" w:type="dxa"/>
            <w:tcBorders>
              <w:top w:val="single" w:sz="6" w:space="0" w:color="000000"/>
              <w:bottom w:val="single" w:sz="6" w:space="0" w:color="000000"/>
            </w:tcBorders>
            <w:shd w:fill="auto" w:val="clear"/>
            <w:tcMar>
              <w:top w:w="28" w:type="dxa"/>
              <w:bottom w:w="28" w:type="dxa"/>
            </w:tcMar>
            <w:vAlign w:val="center"/>
          </w:tcPr>
          <w:p>
            <w:pPr>
              <w:pStyle w:val="TableContents"/>
              <w:spacing w:before="0" w:after="283"/>
              <w:rPr/>
            </w:pPr>
            <w:r>
              <w:rPr/>
              <w:t> </w:t>
            </w:r>
          </w:p>
        </w:tc>
        <w:tc>
          <w:tcPr>
            <w:tcW w:w="575" w:type="dxa"/>
            <w:gridSpan w:val="2"/>
            <w:tcBorders>
              <w:top w:val="single" w:sz="6" w:space="0" w:color="000000"/>
              <w:bottom w:val="single" w:sz="6" w:space="0" w:color="000000"/>
            </w:tcBorders>
            <w:shd w:fill="auto" w:val="clear"/>
            <w:tcMar>
              <w:top w:w="28" w:type="dxa"/>
              <w:bottom w:w="28" w:type="dxa"/>
            </w:tcMar>
            <w:vAlign w:val="center"/>
          </w:tcPr>
          <w:p>
            <w:pPr>
              <w:pStyle w:val="TableContents"/>
              <w:spacing w:before="0" w:after="0"/>
              <w:jc w:val="center"/>
              <w:rPr>
                <w:rFonts w:ascii="ARIAL" w:hAnsi="ARIAL"/>
                <w:b/>
                <w:sz w:val="14"/>
              </w:rPr>
            </w:pPr>
            <w:r>
              <w:rPr>
                <w:rFonts w:ascii="ARIAL" w:hAnsi="ARIAL"/>
                <w:b/>
                <w:sz w:val="14"/>
              </w:rPr>
              <w:t>Region</w:t>
              <w:br/>
              <w:t>Adjusted</w:t>
            </w:r>
          </w:p>
          <w:p>
            <w:pPr>
              <w:pStyle w:val="TableContents"/>
              <w:spacing w:before="0" w:after="20"/>
              <w:jc w:val="center"/>
              <w:rPr>
                <w:rFonts w:ascii="ARIAL" w:hAnsi="ARIAL"/>
                <w:b/>
                <w:sz w:val="14"/>
              </w:rPr>
            </w:pPr>
            <w:r>
              <w:rPr>
                <w:rFonts w:ascii="ARIAL" w:hAnsi="ARIAL"/>
                <w:b/>
                <w:sz w:val="14"/>
              </w:rPr>
              <w:t>EBITDA</w:t>
            </w:r>
          </w:p>
        </w:tc>
        <w:tc>
          <w:tcPr>
            <w:tcW w:w="60" w:type="dxa"/>
            <w:tcBorders>
              <w:top w:val="single" w:sz="6" w:space="0" w:color="000000"/>
              <w:bottom w:val="single" w:sz="6" w:space="0" w:color="000000"/>
            </w:tcBorders>
            <w:shd w:fill="auto" w:val="clear"/>
            <w:tcMar>
              <w:top w:w="28" w:type="dxa"/>
              <w:bottom w:w="28" w:type="dxa"/>
            </w:tcMar>
            <w:vAlign w:val="center"/>
          </w:tcPr>
          <w:p>
            <w:pPr>
              <w:pStyle w:val="TableContents"/>
              <w:spacing w:before="0" w:after="283"/>
              <w:rPr/>
            </w:pPr>
            <w:r>
              <w:rPr/>
              <w:t> </w:t>
            </w:r>
          </w:p>
        </w:tc>
        <w:tc>
          <w:tcPr>
            <w:tcW w:w="60" w:type="dxa"/>
            <w:tcBorders>
              <w:top w:val="single" w:sz="6" w:space="0" w:color="000000"/>
              <w:bottom w:val="single" w:sz="6" w:space="0" w:color="000000"/>
            </w:tcBorders>
            <w:shd w:fill="auto" w:val="clear"/>
            <w:tcMar>
              <w:top w:w="28" w:type="dxa"/>
              <w:bottom w:w="28" w:type="dxa"/>
            </w:tcMar>
            <w:vAlign w:val="center"/>
          </w:tcPr>
          <w:p>
            <w:pPr>
              <w:pStyle w:val="TableContents"/>
              <w:spacing w:before="0" w:after="283"/>
              <w:rPr/>
            </w:pPr>
            <w:r>
              <w:rPr/>
              <w:t> </w:t>
            </w:r>
          </w:p>
        </w:tc>
        <w:tc>
          <w:tcPr>
            <w:tcW w:w="770" w:type="dxa"/>
            <w:gridSpan w:val="2"/>
            <w:tcBorders>
              <w:top w:val="single" w:sz="6" w:space="0" w:color="000000"/>
              <w:bottom w:val="single" w:sz="6" w:space="0" w:color="000000"/>
            </w:tcBorders>
            <w:shd w:fill="auto" w:val="clear"/>
            <w:tcMar>
              <w:top w:w="28" w:type="dxa"/>
              <w:bottom w:w="28" w:type="dxa"/>
            </w:tcMar>
            <w:vAlign w:val="center"/>
          </w:tcPr>
          <w:p>
            <w:pPr>
              <w:pStyle w:val="TableContents"/>
              <w:spacing w:before="0" w:after="0"/>
              <w:jc w:val="center"/>
              <w:rPr>
                <w:rFonts w:ascii="ARIAL" w:hAnsi="ARIAL"/>
                <w:b/>
                <w:sz w:val="14"/>
              </w:rPr>
            </w:pPr>
            <w:r>
              <w:rPr>
                <w:rFonts w:ascii="ARIAL" w:hAnsi="ARIAL"/>
                <w:b/>
                <w:sz w:val="14"/>
              </w:rPr>
              <w:t>Region</w:t>
            </w:r>
          </w:p>
          <w:p>
            <w:pPr>
              <w:pStyle w:val="TableContents"/>
              <w:spacing w:before="0" w:after="0"/>
              <w:jc w:val="center"/>
              <w:rPr>
                <w:rFonts w:ascii="ARIAL" w:hAnsi="ARIAL"/>
                <w:b/>
                <w:sz w:val="14"/>
              </w:rPr>
            </w:pPr>
            <w:r>
              <w:rPr>
                <w:rFonts w:ascii="ARIAL" w:hAnsi="ARIAL"/>
                <w:b/>
                <w:sz w:val="14"/>
              </w:rPr>
              <w:t>Same-Store</w:t>
              <w:br/>
              <w:t>Adjusted</w:t>
              <w:br/>
              <w:t>EBITDA</w:t>
              <w:br/>
              <w:t>Margin</w:t>
              <w:br/>
              <w:t>Improve-</w:t>
            </w:r>
          </w:p>
          <w:p>
            <w:pPr>
              <w:pStyle w:val="TableContents"/>
              <w:spacing w:before="0" w:after="20"/>
              <w:jc w:val="center"/>
              <w:rPr>
                <w:rFonts w:ascii="ARIAL" w:hAnsi="ARIAL"/>
                <w:b/>
                <w:sz w:val="14"/>
              </w:rPr>
            </w:pPr>
            <w:r>
              <w:rPr>
                <w:rFonts w:ascii="ARIAL" w:hAnsi="ARIAL"/>
                <w:b/>
                <w:sz w:val="14"/>
              </w:rPr>
              <w:t>ment</w:t>
            </w:r>
          </w:p>
        </w:tc>
        <w:tc>
          <w:tcPr>
            <w:tcW w:w="60" w:type="dxa"/>
            <w:tcBorders>
              <w:top w:val="single" w:sz="6" w:space="0" w:color="000000"/>
              <w:bottom w:val="single" w:sz="6" w:space="0" w:color="000000"/>
            </w:tcBorders>
            <w:shd w:fill="auto" w:val="clear"/>
            <w:tcMar>
              <w:top w:w="28" w:type="dxa"/>
              <w:bottom w:w="28" w:type="dxa"/>
            </w:tcMar>
            <w:vAlign w:val="center"/>
          </w:tcPr>
          <w:p>
            <w:pPr>
              <w:pStyle w:val="TableContents"/>
              <w:spacing w:before="0" w:after="283"/>
              <w:rPr/>
            </w:pPr>
            <w:r>
              <w:rPr/>
              <w:t> </w:t>
            </w:r>
          </w:p>
        </w:tc>
        <w:tc>
          <w:tcPr>
            <w:tcW w:w="60" w:type="dxa"/>
            <w:tcBorders>
              <w:top w:val="single" w:sz="6" w:space="0" w:color="000000"/>
              <w:bottom w:val="single" w:sz="6" w:space="0" w:color="000000"/>
            </w:tcBorders>
            <w:shd w:fill="auto" w:val="clear"/>
            <w:tcMar>
              <w:top w:w="28" w:type="dxa"/>
              <w:bottom w:w="28" w:type="dxa"/>
            </w:tcMar>
            <w:vAlign w:val="center"/>
          </w:tcPr>
          <w:p>
            <w:pPr>
              <w:pStyle w:val="TableContents"/>
              <w:spacing w:before="0" w:after="283"/>
              <w:rPr/>
            </w:pPr>
            <w:r>
              <w:rPr/>
              <w:t> </w:t>
            </w:r>
          </w:p>
        </w:tc>
        <w:tc>
          <w:tcPr>
            <w:tcW w:w="635" w:type="dxa"/>
            <w:gridSpan w:val="2"/>
            <w:tcBorders>
              <w:top w:val="single" w:sz="6" w:space="0" w:color="000000"/>
              <w:bottom w:val="single" w:sz="6" w:space="0" w:color="000000"/>
            </w:tcBorders>
            <w:shd w:fill="auto" w:val="clear"/>
            <w:tcMar>
              <w:top w:w="28" w:type="dxa"/>
              <w:bottom w:w="28" w:type="dxa"/>
            </w:tcMar>
            <w:vAlign w:val="center"/>
          </w:tcPr>
          <w:p>
            <w:pPr>
              <w:pStyle w:val="TableContents"/>
              <w:spacing w:before="0" w:after="0"/>
              <w:jc w:val="center"/>
              <w:rPr>
                <w:rFonts w:ascii="ARIAL" w:hAnsi="ARIAL"/>
                <w:b/>
                <w:sz w:val="14"/>
              </w:rPr>
            </w:pPr>
            <w:r>
              <w:rPr>
                <w:rFonts w:ascii="ARIAL" w:hAnsi="ARIAL"/>
                <w:b/>
                <w:sz w:val="14"/>
              </w:rPr>
              <w:t>Region</w:t>
            </w:r>
          </w:p>
          <w:p>
            <w:pPr>
              <w:pStyle w:val="TableContents"/>
              <w:spacing w:before="0" w:after="20"/>
              <w:jc w:val="center"/>
              <w:rPr>
                <w:rFonts w:ascii="ARIAL" w:hAnsi="ARIAL"/>
                <w:b/>
                <w:sz w:val="14"/>
              </w:rPr>
            </w:pPr>
            <w:r>
              <w:rPr>
                <w:rFonts w:ascii="ARIAL" w:hAnsi="ARIAL"/>
                <w:b/>
                <w:sz w:val="14"/>
              </w:rPr>
              <w:t>Net</w:t>
              <w:br/>
              <w:t>Revenues</w:t>
            </w:r>
          </w:p>
        </w:tc>
        <w:tc>
          <w:tcPr>
            <w:tcW w:w="60" w:type="dxa"/>
            <w:tcBorders>
              <w:top w:val="single" w:sz="6" w:space="0" w:color="000000"/>
              <w:bottom w:val="single" w:sz="6" w:space="0" w:color="000000"/>
            </w:tcBorders>
            <w:shd w:fill="auto" w:val="clear"/>
            <w:tcMar>
              <w:top w:w="28" w:type="dxa"/>
              <w:bottom w:w="28" w:type="dxa"/>
            </w:tcMar>
            <w:vAlign w:val="center"/>
          </w:tcPr>
          <w:p>
            <w:pPr>
              <w:pStyle w:val="TableContents"/>
              <w:spacing w:before="0" w:after="283"/>
              <w:rPr/>
            </w:pPr>
            <w:r>
              <w:rPr/>
              <w:t> </w:t>
            </w:r>
          </w:p>
        </w:tc>
        <w:tc>
          <w:tcPr>
            <w:tcW w:w="60" w:type="dxa"/>
            <w:tcBorders>
              <w:top w:val="single" w:sz="6" w:space="0" w:color="000000"/>
              <w:bottom w:val="single" w:sz="6" w:space="0" w:color="000000"/>
            </w:tcBorders>
            <w:shd w:fill="auto" w:val="clear"/>
            <w:tcMar>
              <w:top w:w="28" w:type="dxa"/>
              <w:bottom w:w="28" w:type="dxa"/>
            </w:tcMar>
            <w:vAlign w:val="center"/>
          </w:tcPr>
          <w:p>
            <w:pPr>
              <w:pStyle w:val="TableContents"/>
              <w:spacing w:before="0" w:after="283"/>
              <w:rPr/>
            </w:pPr>
            <w:r>
              <w:rPr/>
              <w:t> </w:t>
            </w:r>
          </w:p>
        </w:tc>
        <w:tc>
          <w:tcPr>
            <w:tcW w:w="410" w:type="dxa"/>
            <w:gridSpan w:val="2"/>
            <w:tcBorders>
              <w:top w:val="single" w:sz="6" w:space="0" w:color="000000"/>
              <w:bottom w:val="single" w:sz="6" w:space="0" w:color="000000"/>
            </w:tcBorders>
            <w:shd w:fill="auto" w:val="clear"/>
            <w:tcMar>
              <w:top w:w="28" w:type="dxa"/>
              <w:bottom w:w="28" w:type="dxa"/>
            </w:tcMar>
            <w:vAlign w:val="center"/>
          </w:tcPr>
          <w:p>
            <w:pPr>
              <w:pStyle w:val="TableContents"/>
              <w:spacing w:before="0" w:after="283"/>
              <w:jc w:val="center"/>
              <w:rPr>
                <w:b/>
              </w:rPr>
            </w:pPr>
            <w:r>
              <w:rPr>
                <w:b/>
              </w:rPr>
              <w:t>(1)</w:t>
            </w:r>
          </w:p>
        </w:tc>
        <w:tc>
          <w:tcPr>
            <w:tcW w:w="60" w:type="dxa"/>
            <w:tcBorders>
              <w:top w:val="single" w:sz="6" w:space="0" w:color="000000"/>
              <w:bottom w:val="single" w:sz="6" w:space="0" w:color="000000"/>
            </w:tcBorders>
            <w:shd w:fill="auto" w:val="clear"/>
            <w:tcMar>
              <w:top w:w="28" w:type="dxa"/>
              <w:bottom w:w="28" w:type="dxa"/>
            </w:tcMar>
            <w:vAlign w:val="center"/>
          </w:tcPr>
          <w:p>
            <w:pPr>
              <w:pStyle w:val="TableContents"/>
              <w:spacing w:before="0" w:after="283"/>
              <w:rPr/>
            </w:pPr>
            <w:r>
              <w:rPr/>
              <w:t> </w:t>
            </w:r>
          </w:p>
        </w:tc>
        <w:tc>
          <w:tcPr>
            <w:tcW w:w="60" w:type="dxa"/>
            <w:tcBorders>
              <w:top w:val="single" w:sz="6" w:space="0" w:color="000000"/>
              <w:bottom w:val="single" w:sz="6" w:space="0" w:color="000000"/>
            </w:tcBorders>
            <w:shd w:fill="auto" w:val="clear"/>
            <w:tcMar>
              <w:top w:w="28" w:type="dxa"/>
              <w:bottom w:w="28" w:type="dxa"/>
            </w:tcMar>
            <w:vAlign w:val="center"/>
          </w:tcPr>
          <w:p>
            <w:pPr>
              <w:pStyle w:val="TableContents"/>
              <w:spacing w:before="0" w:after="283"/>
              <w:rPr/>
            </w:pPr>
            <w:r>
              <w:rPr/>
              <w:t> </w:t>
            </w:r>
          </w:p>
        </w:tc>
        <w:tc>
          <w:tcPr>
            <w:tcW w:w="410" w:type="dxa"/>
            <w:gridSpan w:val="2"/>
            <w:tcBorders>
              <w:top w:val="single" w:sz="6" w:space="0" w:color="000000"/>
              <w:bottom w:val="single" w:sz="6" w:space="0" w:color="000000"/>
            </w:tcBorders>
            <w:shd w:fill="auto" w:val="clear"/>
            <w:tcMar>
              <w:top w:w="28" w:type="dxa"/>
              <w:bottom w:w="28" w:type="dxa"/>
            </w:tcMar>
            <w:vAlign w:val="center"/>
          </w:tcPr>
          <w:p>
            <w:pPr>
              <w:pStyle w:val="TableContents"/>
              <w:spacing w:before="0" w:after="283"/>
              <w:jc w:val="center"/>
              <w:rPr>
                <w:b/>
              </w:rPr>
            </w:pPr>
            <w:r>
              <w:rPr>
                <w:b/>
              </w:rPr>
              <w:t>(2)</w:t>
            </w:r>
          </w:p>
        </w:tc>
        <w:tc>
          <w:tcPr>
            <w:tcW w:w="60" w:type="dxa"/>
            <w:tcBorders>
              <w:top w:val="single" w:sz="6" w:space="0" w:color="000000"/>
              <w:bottom w:val="single" w:sz="6" w:space="0" w:color="000000"/>
            </w:tcBorders>
            <w:shd w:fill="auto" w:val="clear"/>
            <w:tcMar>
              <w:top w:w="28" w:type="dxa"/>
              <w:bottom w:w="28" w:type="dxa"/>
            </w:tcMar>
            <w:vAlign w:val="center"/>
          </w:tcPr>
          <w:p>
            <w:pPr>
              <w:pStyle w:val="TableContents"/>
              <w:spacing w:before="0" w:after="283"/>
              <w:rPr/>
            </w:pPr>
            <w:r>
              <w:rPr/>
              <w:t> </w:t>
            </w:r>
          </w:p>
        </w:tc>
        <w:tc>
          <w:tcPr>
            <w:tcW w:w="60" w:type="dxa"/>
            <w:tcBorders>
              <w:top w:val="single" w:sz="6" w:space="0" w:color="000000"/>
              <w:bottom w:val="single" w:sz="6" w:space="0" w:color="000000"/>
            </w:tcBorders>
            <w:shd w:fill="auto" w:val="clear"/>
            <w:tcMar>
              <w:top w:w="28" w:type="dxa"/>
              <w:bottom w:w="28" w:type="dxa"/>
            </w:tcMar>
            <w:vAlign w:val="center"/>
          </w:tcPr>
          <w:p>
            <w:pPr>
              <w:pStyle w:val="TableContents"/>
              <w:spacing w:before="0" w:after="283"/>
              <w:rPr/>
            </w:pPr>
            <w:r>
              <w:rPr/>
              <w:t> </w:t>
            </w:r>
          </w:p>
        </w:tc>
        <w:tc>
          <w:tcPr>
            <w:tcW w:w="710" w:type="dxa"/>
            <w:gridSpan w:val="2"/>
            <w:tcBorders>
              <w:top w:val="single" w:sz="6" w:space="0" w:color="000000"/>
              <w:bottom w:val="single" w:sz="6" w:space="0" w:color="000000"/>
            </w:tcBorders>
            <w:shd w:fill="auto" w:val="clear"/>
            <w:tcMar>
              <w:top w:w="28" w:type="dxa"/>
              <w:bottom w:w="28" w:type="dxa"/>
            </w:tcMar>
            <w:vAlign w:val="center"/>
          </w:tcPr>
          <w:p>
            <w:pPr>
              <w:pStyle w:val="TableContents"/>
              <w:spacing w:before="0" w:after="283"/>
              <w:jc w:val="center"/>
              <w:rPr>
                <w:b/>
              </w:rPr>
            </w:pPr>
            <w:r>
              <w:rPr>
                <w:b/>
              </w:rPr>
              <w:t>Target</w:t>
            </w:r>
          </w:p>
        </w:tc>
        <w:tc>
          <w:tcPr>
            <w:tcW w:w="60" w:type="dxa"/>
            <w:tcBorders>
              <w:top w:val="single" w:sz="6" w:space="0" w:color="000000"/>
              <w:bottom w:val="single" w:sz="6" w:space="0" w:color="000000"/>
            </w:tcBorders>
            <w:shd w:fill="auto" w:val="clear"/>
            <w:tcMar>
              <w:top w:w="28" w:type="dxa"/>
              <w:bottom w:w="28" w:type="dxa"/>
            </w:tcMar>
            <w:vAlign w:val="center"/>
          </w:tcPr>
          <w:p>
            <w:pPr>
              <w:pStyle w:val="TableContents"/>
              <w:spacing w:before="0" w:after="283"/>
              <w:rPr/>
            </w:pPr>
            <w:r>
              <w:rPr/>
              <w:t> </w:t>
            </w:r>
          </w:p>
        </w:tc>
        <w:tc>
          <w:tcPr>
            <w:tcW w:w="60" w:type="dxa"/>
            <w:tcBorders>
              <w:top w:val="single" w:sz="6" w:space="0" w:color="000000"/>
              <w:bottom w:val="single" w:sz="6" w:space="0" w:color="000000"/>
            </w:tcBorders>
            <w:shd w:fill="auto" w:val="clear"/>
            <w:tcMar>
              <w:top w:w="28" w:type="dxa"/>
              <w:bottom w:w="28" w:type="dxa"/>
            </w:tcMar>
            <w:vAlign w:val="center"/>
          </w:tcPr>
          <w:p>
            <w:pPr>
              <w:pStyle w:val="TableContents"/>
              <w:spacing w:before="0" w:after="283"/>
              <w:rPr/>
            </w:pPr>
            <w:r>
              <w:rPr/>
              <w:t> </w:t>
            </w:r>
          </w:p>
        </w:tc>
        <w:tc>
          <w:tcPr>
            <w:tcW w:w="830" w:type="dxa"/>
            <w:gridSpan w:val="2"/>
            <w:tcBorders>
              <w:top w:val="single" w:sz="6" w:space="0" w:color="000000"/>
              <w:bottom w:val="single" w:sz="6" w:space="0" w:color="000000"/>
            </w:tcBorders>
            <w:shd w:fill="auto" w:val="clear"/>
            <w:tcMar>
              <w:top w:w="28" w:type="dxa"/>
              <w:bottom w:w="28" w:type="dxa"/>
            </w:tcMar>
            <w:vAlign w:val="center"/>
          </w:tcPr>
          <w:p>
            <w:pPr>
              <w:pStyle w:val="TableContents"/>
              <w:spacing w:before="0" w:after="0"/>
              <w:jc w:val="center"/>
              <w:rPr>
                <w:rFonts w:ascii="ARIAL" w:hAnsi="ARIAL"/>
                <w:b/>
                <w:sz w:val="14"/>
              </w:rPr>
            </w:pPr>
            <w:r>
              <w:rPr>
                <w:rFonts w:ascii="ARIAL" w:hAnsi="ARIAL"/>
                <w:b/>
                <w:sz w:val="14"/>
              </w:rPr>
              <w:t>Over-</w:t>
            </w:r>
          </w:p>
          <w:p>
            <w:pPr>
              <w:pStyle w:val="TableContents"/>
              <w:spacing w:before="0" w:after="20"/>
              <w:jc w:val="center"/>
              <w:rPr>
                <w:rFonts w:ascii="ARIAL" w:hAnsi="ARIAL"/>
                <w:b/>
                <w:sz w:val="14"/>
              </w:rPr>
            </w:pPr>
            <w:r>
              <w:rPr>
                <w:rFonts w:ascii="ARIAL" w:hAnsi="ARIAL"/>
                <w:b/>
                <w:sz w:val="14"/>
              </w:rPr>
              <w:t>achievement</w:t>
            </w:r>
          </w:p>
        </w:tc>
        <w:tc>
          <w:tcPr>
            <w:tcW w:w="60" w:type="dxa"/>
            <w:tcBorders>
              <w:top w:val="single" w:sz="6" w:space="0" w:color="000000"/>
              <w:bottom w:val="single" w:sz="6" w:space="0" w:color="000000"/>
            </w:tcBorders>
            <w:shd w:fill="auto" w:val="clear"/>
            <w:tcMar>
              <w:top w:w="28" w:type="dxa"/>
              <w:bottom w:w="28" w:type="dxa"/>
            </w:tcMar>
            <w:vAlign w:val="center"/>
          </w:tcPr>
          <w:p>
            <w:pPr>
              <w:pStyle w:val="TableContents"/>
              <w:spacing w:before="0" w:after="283"/>
              <w:rPr/>
            </w:pPr>
            <w:r>
              <w:rPr/>
              <w:t> </w:t>
            </w:r>
          </w:p>
        </w:tc>
        <w:tc>
          <w:tcPr>
            <w:tcW w:w="60" w:type="dxa"/>
            <w:tcBorders>
              <w:top w:val="single" w:sz="6" w:space="0" w:color="000000"/>
              <w:bottom w:val="single" w:sz="6" w:space="0" w:color="000000"/>
            </w:tcBorders>
            <w:shd w:fill="auto" w:val="clear"/>
            <w:tcMar>
              <w:top w:w="28" w:type="dxa"/>
              <w:bottom w:w="28" w:type="dxa"/>
            </w:tcMar>
            <w:vAlign w:val="center"/>
          </w:tcPr>
          <w:p>
            <w:pPr>
              <w:pStyle w:val="TableContents"/>
              <w:spacing w:before="0" w:after="283"/>
              <w:rPr/>
            </w:pPr>
            <w:r>
              <w:rPr/>
              <w:t> </w:t>
            </w:r>
          </w:p>
        </w:tc>
        <w:tc>
          <w:tcPr>
            <w:tcW w:w="500" w:type="dxa"/>
            <w:gridSpan w:val="2"/>
            <w:tcBorders>
              <w:top w:val="single" w:sz="6" w:space="0" w:color="000000"/>
              <w:bottom w:val="single" w:sz="6" w:space="0" w:color="000000"/>
            </w:tcBorders>
            <w:shd w:fill="auto" w:val="clear"/>
            <w:tcMar>
              <w:top w:w="28" w:type="dxa"/>
              <w:bottom w:w="28" w:type="dxa"/>
            </w:tcMar>
            <w:vAlign w:val="center"/>
          </w:tcPr>
          <w:p>
            <w:pPr>
              <w:pStyle w:val="TableContents"/>
              <w:spacing w:before="0" w:after="283"/>
              <w:jc w:val="center"/>
              <w:rPr>
                <w:b/>
              </w:rPr>
            </w:pPr>
            <w:r>
              <w:rPr>
                <w:b/>
              </w:rPr>
              <w:t>Max</w:t>
            </w:r>
          </w:p>
        </w:tc>
        <w:tc>
          <w:tcPr>
            <w:tcW w:w="75" w:type="dxa"/>
            <w:tcBorders>
              <w:top w:val="single" w:sz="6" w:space="0" w:color="000000"/>
              <w:bottom w:val="single" w:sz="6" w:space="0" w:color="000000"/>
              <w:right w:val="single" w:sz="6" w:space="0" w:color="000000"/>
            </w:tcBorders>
            <w:shd w:fill="auto" w:val="clear"/>
            <w:tcMar>
              <w:top w:w="28" w:type="dxa"/>
              <w:bottom w:w="28" w:type="dxa"/>
              <w:right w:w="40" w:type="dxa"/>
            </w:tcMar>
            <w:vAlign w:val="center"/>
          </w:tcPr>
          <w:p>
            <w:pPr>
              <w:pStyle w:val="TableContents"/>
              <w:spacing w:before="0" w:after="283"/>
              <w:rPr/>
            </w:pPr>
            <w:r>
              <w:rPr/>
              <w:t> </w:t>
            </w:r>
          </w:p>
        </w:tc>
      </w:tr>
      <w:tr>
        <w:trPr/>
        <w:tc>
          <w:tcPr>
            <w:tcW w:w="7595" w:type="dxa"/>
            <w:gridSpan w:val="36"/>
            <w:tcBorders>
              <w:left w:val="single" w:sz="6" w:space="0" w:color="000000"/>
            </w:tcBorders>
            <w:shd w:fill="D8D8D8" w:val="clear"/>
            <w:tcMar>
              <w:left w:w="160" w:type="dxa"/>
            </w:tcMar>
            <w:vAlign w:val="center"/>
          </w:tcPr>
          <w:p>
            <w:pPr>
              <w:pStyle w:val="TableContents"/>
              <w:spacing w:lineRule="atLeast" w:line="280" w:before="0" w:after="0"/>
              <w:rPr>
                <w:rFonts w:ascii="ARIAL" w:hAnsi="ARIAL"/>
                <w:b/>
                <w:sz w:val="16"/>
              </w:rPr>
            </w:pPr>
            <w:r>
              <w:rPr>
                <w:rFonts w:ascii="ARIAL" w:hAnsi="ARIAL"/>
                <w:b/>
                <w:sz w:val="16"/>
              </w:rPr>
              <w:t>Regional President (Medley)</w:t>
            </w:r>
          </w:p>
        </w:tc>
        <w:tc>
          <w:tcPr>
            <w:tcW w:w="75" w:type="dxa"/>
            <w:tcBorders>
              <w:right w:val="single" w:sz="6" w:space="0" w:color="000000"/>
            </w:tcBorders>
            <w:shd w:fill="D8D8D8" w:val="clear"/>
            <w:tcMar>
              <w:right w:w="40" w:type="dxa"/>
            </w:tcMar>
            <w:vAlign w:val="center"/>
          </w:tcPr>
          <w:p>
            <w:pPr>
              <w:pStyle w:val="TableContents"/>
              <w:spacing w:lineRule="atLeast" w:line="280" w:before="0" w:after="0"/>
              <w:rPr/>
            </w:pPr>
            <w:r>
              <w:rPr/>
              <w:t> </w:t>
            </w:r>
          </w:p>
        </w:tc>
      </w:tr>
      <w:tr>
        <w:trPr/>
        <w:tc>
          <w:tcPr>
            <w:tcW w:w="890" w:type="dxa"/>
            <w:tcBorders>
              <w:left w:val="single" w:sz="6" w:space="0" w:color="000000"/>
              <w:bottom w:val="single" w:sz="6" w:space="0" w:color="000000"/>
            </w:tcBorders>
            <w:shd w:fill="auto" w:val="clear"/>
            <w:tcMar>
              <w:left w:w="160" w:type="dxa"/>
              <w:bottom w:w="28" w:type="dxa"/>
            </w:tcMar>
            <w:vAlign w:val="center"/>
          </w:tcPr>
          <w:p>
            <w:pPr>
              <w:pStyle w:val="TableContents"/>
              <w:spacing w:lineRule="atLeast" w:line="280" w:before="0" w:after="0"/>
              <w:rPr>
                <w:rFonts w:ascii="ARIAL" w:hAnsi="ARIAL"/>
                <w:sz w:val="16"/>
              </w:rPr>
            </w:pPr>
            <w:r>
              <w:rPr>
                <w:rFonts w:ascii="ARIAL" w:hAnsi="ARIAL"/>
                <w:sz w:val="16"/>
              </w:rPr>
              <w:t>Opportunity</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195" w:type="dxa"/>
            <w:tcBorders>
              <w:bottom w:val="single" w:sz="6" w:space="0" w:color="000000"/>
            </w:tcBorders>
            <w:shd w:fill="auto" w:val="clear"/>
            <w:tcMar>
              <w:bottom w:w="28" w:type="dxa"/>
            </w:tcMar>
            <w:vAlign w:val="center"/>
          </w:tcPr>
          <w:p>
            <w:pPr>
              <w:pStyle w:val="TableContents"/>
              <w:spacing w:lineRule="atLeast" w:line="280" w:before="0" w:after="0"/>
              <w:rPr/>
            </w:pPr>
            <w:r>
              <w:rPr/>
              <w:t> </w:t>
            </w:r>
          </w:p>
        </w:tc>
        <w:tc>
          <w:tcPr>
            <w:tcW w:w="650" w:type="dxa"/>
            <w:tcBorders>
              <w:bottom w:val="single" w:sz="6" w:space="0" w:color="000000"/>
            </w:tcBorders>
            <w:shd w:fill="auto" w:val="clear"/>
            <w:tcMar>
              <w:bottom w:w="28" w:type="dxa"/>
            </w:tcMar>
            <w:vAlign w:val="center"/>
          </w:tcPr>
          <w:p>
            <w:pPr>
              <w:pStyle w:val="TableContents"/>
              <w:spacing w:lineRule="atLeast" w:line="280" w:before="0" w:after="0"/>
              <w:jc w:val="right"/>
              <w:rPr>
                <w:rFonts w:ascii="ARIAL" w:hAnsi="ARIAL"/>
                <w:sz w:val="16"/>
              </w:rPr>
            </w:pPr>
            <w:r>
              <w:rPr>
                <w:rFonts w:ascii="ARIAL" w:hAnsi="ARIAL"/>
                <w:sz w:val="16"/>
              </w:rPr>
              <w:t>10%</w:t>
            </w:r>
          </w:p>
        </w:tc>
        <w:tc>
          <w:tcPr>
            <w:tcW w:w="60" w:type="dxa"/>
            <w:tcBorders>
              <w:bottom w:val="single" w:sz="6" w:space="0" w:color="000000"/>
            </w:tcBorders>
            <w:shd w:fill="auto" w:val="clear"/>
            <w:tcMar>
              <w:bottom w:w="28" w:type="dxa"/>
            </w:tcMar>
            <w:vAlign w:val="center"/>
          </w:tcPr>
          <w:p>
            <w:pPr>
              <w:pStyle w:val="TableContents"/>
              <w:spacing w:lineRule="atLeast" w:line="280" w:before="0" w:after="0"/>
              <w:rPr/>
            </w:pPr>
            <w:r>
              <w:rPr/>
              <w:t> </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132" w:type="dxa"/>
            <w:tcBorders>
              <w:bottom w:val="single" w:sz="6" w:space="0" w:color="000000"/>
            </w:tcBorders>
            <w:shd w:fill="auto" w:val="clear"/>
            <w:tcMar>
              <w:bottom w:w="28" w:type="dxa"/>
            </w:tcMar>
            <w:vAlign w:val="center"/>
          </w:tcPr>
          <w:p>
            <w:pPr>
              <w:pStyle w:val="TableContents"/>
              <w:spacing w:lineRule="atLeast" w:line="280" w:before="0" w:after="0"/>
              <w:rPr/>
            </w:pPr>
            <w:r>
              <w:rPr/>
              <w:t> </w:t>
            </w:r>
          </w:p>
        </w:tc>
        <w:tc>
          <w:tcPr>
            <w:tcW w:w="443" w:type="dxa"/>
            <w:tcBorders>
              <w:bottom w:val="single" w:sz="6" w:space="0" w:color="000000"/>
            </w:tcBorders>
            <w:shd w:fill="auto" w:val="clear"/>
            <w:tcMar>
              <w:bottom w:w="28" w:type="dxa"/>
            </w:tcMar>
            <w:vAlign w:val="center"/>
          </w:tcPr>
          <w:p>
            <w:pPr>
              <w:pStyle w:val="TableContents"/>
              <w:spacing w:lineRule="atLeast" w:line="280" w:before="0" w:after="0"/>
              <w:jc w:val="right"/>
              <w:rPr>
                <w:rFonts w:ascii="ARIAL" w:hAnsi="ARIAL"/>
                <w:sz w:val="16"/>
              </w:rPr>
            </w:pPr>
            <w:r>
              <w:rPr>
                <w:rFonts w:ascii="ARIAL" w:hAnsi="ARIAL"/>
                <w:sz w:val="16"/>
              </w:rPr>
              <w:t>40%</w:t>
            </w:r>
          </w:p>
        </w:tc>
        <w:tc>
          <w:tcPr>
            <w:tcW w:w="60" w:type="dxa"/>
            <w:tcBorders>
              <w:bottom w:val="single" w:sz="6" w:space="0" w:color="000000"/>
            </w:tcBorders>
            <w:shd w:fill="auto" w:val="clear"/>
            <w:tcMar>
              <w:bottom w:w="28" w:type="dxa"/>
            </w:tcMar>
            <w:vAlign w:val="center"/>
          </w:tcPr>
          <w:p>
            <w:pPr>
              <w:pStyle w:val="TableContents"/>
              <w:spacing w:lineRule="atLeast" w:line="280" w:before="0" w:after="0"/>
              <w:rPr/>
            </w:pPr>
            <w:r>
              <w:rPr/>
              <w:t> </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177" w:type="dxa"/>
            <w:tcBorders>
              <w:bottom w:val="single" w:sz="6" w:space="0" w:color="000000"/>
            </w:tcBorders>
            <w:shd w:fill="auto" w:val="clear"/>
            <w:tcMar>
              <w:bottom w:w="28" w:type="dxa"/>
            </w:tcMar>
            <w:vAlign w:val="center"/>
          </w:tcPr>
          <w:p>
            <w:pPr>
              <w:pStyle w:val="TableContents"/>
              <w:spacing w:lineRule="atLeast" w:line="280" w:before="0" w:after="0"/>
              <w:rPr/>
            </w:pPr>
            <w:r>
              <w:rPr/>
              <w:t> </w:t>
            </w:r>
          </w:p>
        </w:tc>
        <w:tc>
          <w:tcPr>
            <w:tcW w:w="593" w:type="dxa"/>
            <w:tcBorders>
              <w:bottom w:val="single" w:sz="6" w:space="0" w:color="000000"/>
            </w:tcBorders>
            <w:shd w:fill="auto" w:val="clear"/>
            <w:tcMar>
              <w:bottom w:w="28" w:type="dxa"/>
            </w:tcMar>
            <w:vAlign w:val="center"/>
          </w:tcPr>
          <w:p>
            <w:pPr>
              <w:pStyle w:val="TableContents"/>
              <w:spacing w:lineRule="atLeast" w:line="280" w:before="0" w:after="0"/>
              <w:jc w:val="right"/>
              <w:rPr>
                <w:rFonts w:ascii="ARIAL" w:hAnsi="ARIAL"/>
                <w:sz w:val="16"/>
              </w:rPr>
            </w:pPr>
            <w:r>
              <w:rPr>
                <w:rFonts w:ascii="ARIAL" w:hAnsi="ARIAL"/>
                <w:sz w:val="16"/>
              </w:rPr>
              <w:t>20%</w:t>
            </w:r>
          </w:p>
        </w:tc>
        <w:tc>
          <w:tcPr>
            <w:tcW w:w="60" w:type="dxa"/>
            <w:tcBorders>
              <w:bottom w:val="single" w:sz="6" w:space="0" w:color="000000"/>
            </w:tcBorders>
            <w:shd w:fill="auto" w:val="clear"/>
            <w:tcMar>
              <w:bottom w:w="28" w:type="dxa"/>
            </w:tcMar>
            <w:vAlign w:val="center"/>
          </w:tcPr>
          <w:p>
            <w:pPr>
              <w:pStyle w:val="TableContents"/>
              <w:spacing w:lineRule="atLeast" w:line="280" w:before="0" w:after="0"/>
              <w:rPr/>
            </w:pPr>
            <w:r>
              <w:rPr/>
              <w:t> </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146" w:type="dxa"/>
            <w:tcBorders>
              <w:bottom w:val="single" w:sz="6" w:space="0" w:color="000000"/>
            </w:tcBorders>
            <w:shd w:fill="auto" w:val="clear"/>
            <w:tcMar>
              <w:bottom w:w="28" w:type="dxa"/>
            </w:tcMar>
            <w:vAlign w:val="center"/>
          </w:tcPr>
          <w:p>
            <w:pPr>
              <w:pStyle w:val="TableContents"/>
              <w:spacing w:lineRule="atLeast" w:line="280" w:before="0" w:after="0"/>
              <w:rPr/>
            </w:pPr>
            <w:r>
              <w:rPr/>
              <w:t> </w:t>
            </w:r>
          </w:p>
        </w:tc>
        <w:tc>
          <w:tcPr>
            <w:tcW w:w="489" w:type="dxa"/>
            <w:tcBorders>
              <w:bottom w:val="single" w:sz="6" w:space="0" w:color="000000"/>
            </w:tcBorders>
            <w:shd w:fill="auto" w:val="clear"/>
            <w:tcMar>
              <w:bottom w:w="28" w:type="dxa"/>
            </w:tcMar>
            <w:vAlign w:val="center"/>
          </w:tcPr>
          <w:p>
            <w:pPr>
              <w:pStyle w:val="TableContents"/>
              <w:spacing w:lineRule="atLeast" w:line="280" w:before="0" w:after="0"/>
              <w:jc w:val="right"/>
              <w:rPr>
                <w:rFonts w:ascii="ARIAL" w:hAnsi="ARIAL"/>
                <w:sz w:val="16"/>
              </w:rPr>
            </w:pPr>
            <w:r>
              <w:rPr>
                <w:rFonts w:ascii="ARIAL" w:hAnsi="ARIAL"/>
                <w:sz w:val="16"/>
              </w:rPr>
              <w:t>10%</w:t>
            </w:r>
          </w:p>
        </w:tc>
        <w:tc>
          <w:tcPr>
            <w:tcW w:w="60" w:type="dxa"/>
            <w:tcBorders>
              <w:bottom w:val="single" w:sz="6" w:space="0" w:color="000000"/>
            </w:tcBorders>
            <w:shd w:fill="auto" w:val="clear"/>
            <w:tcMar>
              <w:bottom w:w="28" w:type="dxa"/>
            </w:tcMar>
            <w:vAlign w:val="center"/>
          </w:tcPr>
          <w:p>
            <w:pPr>
              <w:pStyle w:val="TableContents"/>
              <w:spacing w:lineRule="atLeast" w:line="280" w:before="0" w:after="0"/>
              <w:rPr/>
            </w:pPr>
            <w:r>
              <w:rPr/>
              <w:t> </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60" w:type="dxa"/>
            <w:tcBorders>
              <w:bottom w:val="single" w:sz="6" w:space="0" w:color="000000"/>
            </w:tcBorders>
            <w:shd w:fill="auto" w:val="clear"/>
            <w:tcMar>
              <w:bottom w:w="28" w:type="dxa"/>
            </w:tcMar>
            <w:vAlign w:val="center"/>
          </w:tcPr>
          <w:p>
            <w:pPr>
              <w:pStyle w:val="TableContents"/>
              <w:spacing w:lineRule="atLeast" w:line="280" w:before="0" w:after="0"/>
              <w:rPr/>
            </w:pPr>
            <w:r>
              <w:rPr/>
              <w:t> </w:t>
            </w:r>
          </w:p>
        </w:tc>
        <w:tc>
          <w:tcPr>
            <w:tcW w:w="350" w:type="dxa"/>
            <w:tcBorders>
              <w:bottom w:val="single" w:sz="6" w:space="0" w:color="000000"/>
            </w:tcBorders>
            <w:shd w:fill="auto" w:val="clear"/>
            <w:tcMar>
              <w:bottom w:w="28" w:type="dxa"/>
            </w:tcMar>
            <w:vAlign w:val="center"/>
          </w:tcPr>
          <w:p>
            <w:pPr>
              <w:pStyle w:val="TableContents"/>
              <w:spacing w:lineRule="atLeast" w:line="280" w:before="0" w:after="0"/>
              <w:jc w:val="right"/>
              <w:rPr>
                <w:rFonts w:ascii="ARIAL" w:hAnsi="ARIAL"/>
                <w:sz w:val="16"/>
              </w:rPr>
            </w:pPr>
            <w:r>
              <w:rPr>
                <w:rFonts w:ascii="ARIAL" w:hAnsi="ARIAL"/>
                <w:sz w:val="16"/>
              </w:rPr>
              <w:t>10%</w:t>
            </w:r>
          </w:p>
        </w:tc>
        <w:tc>
          <w:tcPr>
            <w:tcW w:w="60" w:type="dxa"/>
            <w:tcBorders>
              <w:bottom w:val="single" w:sz="6" w:space="0" w:color="000000"/>
            </w:tcBorders>
            <w:shd w:fill="auto" w:val="clear"/>
            <w:tcMar>
              <w:bottom w:w="28" w:type="dxa"/>
            </w:tcMar>
            <w:vAlign w:val="center"/>
          </w:tcPr>
          <w:p>
            <w:pPr>
              <w:pStyle w:val="TableContents"/>
              <w:spacing w:lineRule="atLeast" w:line="280" w:before="0" w:after="0"/>
              <w:rPr/>
            </w:pPr>
            <w:r>
              <w:rPr/>
              <w:t> </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60" w:type="dxa"/>
            <w:tcBorders>
              <w:bottom w:val="single" w:sz="6" w:space="0" w:color="000000"/>
            </w:tcBorders>
            <w:shd w:fill="auto" w:val="clear"/>
            <w:tcMar>
              <w:bottom w:w="28" w:type="dxa"/>
            </w:tcMar>
            <w:vAlign w:val="center"/>
          </w:tcPr>
          <w:p>
            <w:pPr>
              <w:pStyle w:val="TableContents"/>
              <w:spacing w:lineRule="atLeast" w:line="280" w:before="0" w:after="0"/>
              <w:rPr/>
            </w:pPr>
            <w:r>
              <w:rPr/>
              <w:t> </w:t>
            </w:r>
          </w:p>
        </w:tc>
        <w:tc>
          <w:tcPr>
            <w:tcW w:w="350" w:type="dxa"/>
            <w:tcBorders>
              <w:bottom w:val="single" w:sz="6" w:space="0" w:color="000000"/>
            </w:tcBorders>
            <w:shd w:fill="auto" w:val="clear"/>
            <w:tcMar>
              <w:bottom w:w="28" w:type="dxa"/>
            </w:tcMar>
            <w:vAlign w:val="center"/>
          </w:tcPr>
          <w:p>
            <w:pPr>
              <w:pStyle w:val="TableContents"/>
              <w:spacing w:lineRule="atLeast" w:line="280" w:before="0" w:after="0"/>
              <w:jc w:val="right"/>
              <w:rPr>
                <w:rFonts w:ascii="ARIAL" w:hAnsi="ARIAL"/>
                <w:sz w:val="16"/>
              </w:rPr>
            </w:pPr>
            <w:r>
              <w:rPr>
                <w:rFonts w:ascii="ARIAL" w:hAnsi="ARIAL"/>
                <w:sz w:val="16"/>
              </w:rPr>
              <w:t>10%</w:t>
            </w:r>
          </w:p>
        </w:tc>
        <w:tc>
          <w:tcPr>
            <w:tcW w:w="60" w:type="dxa"/>
            <w:tcBorders>
              <w:bottom w:val="single" w:sz="6" w:space="0" w:color="000000"/>
            </w:tcBorders>
            <w:shd w:fill="auto" w:val="clear"/>
            <w:tcMar>
              <w:bottom w:w="28" w:type="dxa"/>
            </w:tcMar>
            <w:vAlign w:val="center"/>
          </w:tcPr>
          <w:p>
            <w:pPr>
              <w:pStyle w:val="TableContents"/>
              <w:spacing w:lineRule="atLeast" w:line="280" w:before="0" w:after="0"/>
              <w:rPr/>
            </w:pPr>
            <w:r>
              <w:rPr/>
              <w:t> </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121" w:type="dxa"/>
            <w:tcBorders>
              <w:bottom w:val="single" w:sz="6" w:space="0" w:color="000000"/>
            </w:tcBorders>
            <w:shd w:fill="auto" w:val="clear"/>
            <w:tcMar>
              <w:bottom w:w="28" w:type="dxa"/>
            </w:tcMar>
            <w:vAlign w:val="center"/>
          </w:tcPr>
          <w:p>
            <w:pPr>
              <w:pStyle w:val="TableContents"/>
              <w:spacing w:lineRule="atLeast" w:line="280" w:before="0" w:after="0"/>
              <w:rPr/>
            </w:pPr>
            <w:r>
              <w:rPr/>
              <w:t> </w:t>
            </w:r>
          </w:p>
        </w:tc>
        <w:tc>
          <w:tcPr>
            <w:tcW w:w="589" w:type="dxa"/>
            <w:tcBorders>
              <w:bottom w:val="single" w:sz="6" w:space="0" w:color="000000"/>
            </w:tcBorders>
            <w:shd w:fill="auto" w:val="clear"/>
            <w:tcMar>
              <w:bottom w:w="28" w:type="dxa"/>
            </w:tcMar>
            <w:vAlign w:val="center"/>
          </w:tcPr>
          <w:p>
            <w:pPr>
              <w:pStyle w:val="TableContents"/>
              <w:spacing w:lineRule="atLeast" w:line="280" w:before="0" w:after="0"/>
              <w:jc w:val="right"/>
              <w:rPr>
                <w:rFonts w:ascii="ARIAL" w:hAnsi="ARIAL"/>
                <w:sz w:val="16"/>
              </w:rPr>
            </w:pPr>
            <w:r>
              <w:rPr>
                <w:rFonts w:ascii="ARIAL" w:hAnsi="ARIAL"/>
                <w:sz w:val="16"/>
              </w:rPr>
              <w:t>100%</w:t>
            </w:r>
          </w:p>
        </w:tc>
        <w:tc>
          <w:tcPr>
            <w:tcW w:w="60" w:type="dxa"/>
            <w:tcBorders>
              <w:bottom w:val="single" w:sz="6" w:space="0" w:color="000000"/>
            </w:tcBorders>
            <w:shd w:fill="auto" w:val="clear"/>
            <w:tcMar>
              <w:bottom w:w="28" w:type="dxa"/>
            </w:tcMar>
            <w:vAlign w:val="center"/>
          </w:tcPr>
          <w:p>
            <w:pPr>
              <w:pStyle w:val="TableContents"/>
              <w:spacing w:lineRule="atLeast" w:line="280" w:before="0" w:after="0"/>
              <w:rPr/>
            </w:pPr>
            <w:r>
              <w:rPr/>
              <w:t> </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191" w:type="dxa"/>
            <w:tcBorders>
              <w:bottom w:val="single" w:sz="6" w:space="0" w:color="000000"/>
            </w:tcBorders>
            <w:shd w:fill="auto" w:val="clear"/>
            <w:tcMar>
              <w:bottom w:w="28" w:type="dxa"/>
            </w:tcMar>
            <w:vAlign w:val="center"/>
          </w:tcPr>
          <w:p>
            <w:pPr>
              <w:pStyle w:val="TableContents"/>
              <w:spacing w:lineRule="atLeast" w:line="280" w:before="0" w:after="0"/>
              <w:rPr/>
            </w:pPr>
            <w:r>
              <w:rPr/>
              <w:t> </w:t>
            </w:r>
          </w:p>
        </w:tc>
        <w:tc>
          <w:tcPr>
            <w:tcW w:w="639" w:type="dxa"/>
            <w:tcBorders>
              <w:bottom w:val="single" w:sz="6" w:space="0" w:color="000000"/>
            </w:tcBorders>
            <w:shd w:fill="auto" w:val="clear"/>
            <w:tcMar>
              <w:bottom w:w="28" w:type="dxa"/>
            </w:tcMar>
            <w:vAlign w:val="center"/>
          </w:tcPr>
          <w:p>
            <w:pPr>
              <w:pStyle w:val="TableContents"/>
              <w:spacing w:lineRule="atLeast" w:line="280" w:before="0" w:after="0"/>
              <w:jc w:val="right"/>
              <w:rPr>
                <w:rFonts w:ascii="ARIAL" w:hAnsi="ARIAL"/>
                <w:sz w:val="16"/>
              </w:rPr>
            </w:pPr>
            <w:r>
              <w:rPr>
                <w:rFonts w:ascii="ARIAL" w:hAnsi="ARIAL"/>
                <w:sz w:val="16"/>
              </w:rPr>
              <w:t>25%</w:t>
            </w:r>
          </w:p>
        </w:tc>
        <w:tc>
          <w:tcPr>
            <w:tcW w:w="60" w:type="dxa"/>
            <w:tcBorders>
              <w:bottom w:val="single" w:sz="6" w:space="0" w:color="000000"/>
            </w:tcBorders>
            <w:shd w:fill="auto" w:val="clear"/>
            <w:tcMar>
              <w:bottom w:w="28" w:type="dxa"/>
            </w:tcMar>
            <w:vAlign w:val="center"/>
          </w:tcPr>
          <w:p>
            <w:pPr>
              <w:pStyle w:val="TableContents"/>
              <w:spacing w:lineRule="atLeast" w:line="280" w:before="0" w:after="0"/>
              <w:rPr/>
            </w:pPr>
            <w:r>
              <w:rPr/>
              <w:t> </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60" w:type="dxa"/>
            <w:tcBorders>
              <w:bottom w:val="single" w:sz="6" w:space="0" w:color="000000"/>
            </w:tcBorders>
            <w:shd w:fill="auto" w:val="clear"/>
            <w:tcMar>
              <w:bottom w:w="28" w:type="dxa"/>
            </w:tcMar>
            <w:vAlign w:val="center"/>
          </w:tcPr>
          <w:p>
            <w:pPr>
              <w:pStyle w:val="TableContents"/>
              <w:spacing w:lineRule="atLeast" w:line="280" w:before="0" w:after="0"/>
              <w:rPr/>
            </w:pPr>
            <w:r>
              <w:rPr/>
              <w:t> </w:t>
            </w:r>
          </w:p>
        </w:tc>
        <w:tc>
          <w:tcPr>
            <w:tcW w:w="440" w:type="dxa"/>
            <w:tcBorders>
              <w:bottom w:val="single" w:sz="6" w:space="0" w:color="000000"/>
            </w:tcBorders>
            <w:shd w:fill="auto" w:val="clear"/>
            <w:tcMar>
              <w:bottom w:w="28" w:type="dxa"/>
            </w:tcMar>
            <w:vAlign w:val="center"/>
          </w:tcPr>
          <w:p>
            <w:pPr>
              <w:pStyle w:val="TableContents"/>
              <w:spacing w:lineRule="atLeast" w:line="280" w:before="0" w:after="0"/>
              <w:jc w:val="right"/>
              <w:rPr>
                <w:rFonts w:ascii="ARIAL" w:hAnsi="ARIAL"/>
                <w:sz w:val="16"/>
              </w:rPr>
            </w:pPr>
            <w:r>
              <w:rPr>
                <w:rFonts w:ascii="ARIAL" w:hAnsi="ARIAL"/>
                <w:sz w:val="16"/>
              </w:rPr>
              <w:t>125%</w:t>
            </w:r>
          </w:p>
        </w:tc>
        <w:tc>
          <w:tcPr>
            <w:tcW w:w="75" w:type="dxa"/>
            <w:tcBorders>
              <w:bottom w:val="single" w:sz="6" w:space="0" w:color="000000"/>
              <w:right w:val="single" w:sz="6" w:space="0" w:color="000000"/>
            </w:tcBorders>
            <w:shd w:fill="auto" w:val="clear"/>
            <w:tcMar>
              <w:bottom w:w="28" w:type="dxa"/>
              <w:right w:w="40" w:type="dxa"/>
            </w:tcMar>
            <w:vAlign w:val="center"/>
          </w:tcPr>
          <w:p>
            <w:pPr>
              <w:pStyle w:val="TableContents"/>
              <w:spacing w:lineRule="atLeast" w:line="280" w:before="0" w:after="0"/>
              <w:rPr/>
            </w:pPr>
            <w:r>
              <w:rPr/>
              <w:t> </w:t>
            </w:r>
          </w:p>
        </w:tc>
      </w:tr>
      <w:tr>
        <w:trPr/>
        <w:tc>
          <w:tcPr>
            <w:tcW w:w="890" w:type="dxa"/>
            <w:tcBorders>
              <w:left w:val="single" w:sz="6" w:space="0" w:color="000000"/>
              <w:bottom w:val="single" w:sz="6" w:space="0" w:color="000000"/>
            </w:tcBorders>
            <w:shd w:fill="auto" w:val="clear"/>
            <w:tcMar>
              <w:left w:w="160" w:type="dxa"/>
              <w:bottom w:w="28" w:type="dxa"/>
            </w:tcMar>
            <w:vAlign w:val="center"/>
          </w:tcPr>
          <w:p>
            <w:pPr>
              <w:pStyle w:val="TableContents"/>
              <w:spacing w:lineRule="atLeast" w:line="280" w:before="0" w:after="0"/>
              <w:rPr>
                <w:rFonts w:ascii="ARIAL" w:hAnsi="ARIAL"/>
                <w:sz w:val="16"/>
              </w:rPr>
            </w:pPr>
            <w:r>
              <w:rPr>
                <w:rFonts w:ascii="ARIAL" w:hAnsi="ARIAL"/>
                <w:sz w:val="16"/>
              </w:rPr>
              <w:t>Attainment</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195" w:type="dxa"/>
            <w:tcBorders>
              <w:bottom w:val="single" w:sz="6" w:space="0" w:color="000000"/>
            </w:tcBorders>
            <w:shd w:fill="auto" w:val="clear"/>
            <w:tcMar>
              <w:bottom w:w="28" w:type="dxa"/>
            </w:tcMar>
            <w:vAlign w:val="center"/>
          </w:tcPr>
          <w:p>
            <w:pPr>
              <w:pStyle w:val="TableContents"/>
              <w:spacing w:lineRule="atLeast" w:line="280" w:before="0" w:after="0"/>
              <w:rPr/>
            </w:pPr>
            <w:r>
              <w:rPr/>
              <w:t> </w:t>
            </w:r>
          </w:p>
        </w:tc>
        <w:tc>
          <w:tcPr>
            <w:tcW w:w="650" w:type="dxa"/>
            <w:tcBorders>
              <w:bottom w:val="single" w:sz="6" w:space="0" w:color="000000"/>
            </w:tcBorders>
            <w:shd w:fill="auto" w:val="clear"/>
            <w:tcMar>
              <w:bottom w:w="28" w:type="dxa"/>
            </w:tcMar>
            <w:vAlign w:val="center"/>
          </w:tcPr>
          <w:p>
            <w:pPr>
              <w:pStyle w:val="TableContents"/>
              <w:spacing w:lineRule="atLeast" w:line="280" w:before="0" w:after="0"/>
              <w:jc w:val="right"/>
              <w:rPr>
                <w:rFonts w:ascii="ARIAL" w:hAnsi="ARIAL"/>
                <w:sz w:val="16"/>
              </w:rPr>
            </w:pPr>
            <w:r>
              <w:rPr>
                <w:rFonts w:ascii="ARIAL" w:hAnsi="ARIAL"/>
                <w:sz w:val="16"/>
              </w:rPr>
              <w:t>0%</w:t>
            </w:r>
          </w:p>
        </w:tc>
        <w:tc>
          <w:tcPr>
            <w:tcW w:w="60" w:type="dxa"/>
            <w:tcBorders>
              <w:bottom w:val="single" w:sz="6" w:space="0" w:color="000000"/>
            </w:tcBorders>
            <w:shd w:fill="auto" w:val="clear"/>
            <w:tcMar>
              <w:bottom w:w="28" w:type="dxa"/>
            </w:tcMar>
            <w:vAlign w:val="center"/>
          </w:tcPr>
          <w:p>
            <w:pPr>
              <w:pStyle w:val="TableContents"/>
              <w:spacing w:lineRule="atLeast" w:line="280" w:before="0" w:after="0"/>
              <w:rPr/>
            </w:pPr>
            <w:r>
              <w:rPr/>
              <w:t> </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132" w:type="dxa"/>
            <w:tcBorders>
              <w:bottom w:val="single" w:sz="6" w:space="0" w:color="000000"/>
            </w:tcBorders>
            <w:shd w:fill="auto" w:val="clear"/>
            <w:tcMar>
              <w:bottom w:w="28" w:type="dxa"/>
            </w:tcMar>
            <w:vAlign w:val="center"/>
          </w:tcPr>
          <w:p>
            <w:pPr>
              <w:pStyle w:val="TableContents"/>
              <w:spacing w:lineRule="atLeast" w:line="280" w:before="0" w:after="0"/>
              <w:rPr/>
            </w:pPr>
            <w:r>
              <w:rPr/>
              <w:t> </w:t>
            </w:r>
          </w:p>
        </w:tc>
        <w:tc>
          <w:tcPr>
            <w:tcW w:w="443" w:type="dxa"/>
            <w:tcBorders>
              <w:bottom w:val="single" w:sz="6" w:space="0" w:color="000000"/>
            </w:tcBorders>
            <w:shd w:fill="auto" w:val="clear"/>
            <w:tcMar>
              <w:bottom w:w="28" w:type="dxa"/>
            </w:tcMar>
            <w:vAlign w:val="center"/>
          </w:tcPr>
          <w:p>
            <w:pPr>
              <w:pStyle w:val="TableContents"/>
              <w:spacing w:lineRule="atLeast" w:line="280" w:before="0" w:after="0"/>
              <w:jc w:val="right"/>
              <w:rPr>
                <w:rFonts w:ascii="ARIAL" w:hAnsi="ARIAL"/>
                <w:sz w:val="16"/>
              </w:rPr>
            </w:pPr>
            <w:r>
              <w:rPr>
                <w:rFonts w:ascii="ARIAL" w:hAnsi="ARIAL"/>
                <w:sz w:val="16"/>
              </w:rPr>
              <w:t>0%</w:t>
            </w:r>
          </w:p>
        </w:tc>
        <w:tc>
          <w:tcPr>
            <w:tcW w:w="60" w:type="dxa"/>
            <w:tcBorders>
              <w:bottom w:val="single" w:sz="6" w:space="0" w:color="000000"/>
            </w:tcBorders>
            <w:shd w:fill="auto" w:val="clear"/>
            <w:tcMar>
              <w:bottom w:w="28" w:type="dxa"/>
            </w:tcMar>
            <w:vAlign w:val="center"/>
          </w:tcPr>
          <w:p>
            <w:pPr>
              <w:pStyle w:val="TableContents"/>
              <w:spacing w:lineRule="atLeast" w:line="280" w:before="0" w:after="0"/>
              <w:rPr/>
            </w:pPr>
            <w:r>
              <w:rPr/>
              <w:t> </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177" w:type="dxa"/>
            <w:tcBorders>
              <w:bottom w:val="single" w:sz="6" w:space="0" w:color="000000"/>
            </w:tcBorders>
            <w:shd w:fill="auto" w:val="clear"/>
            <w:tcMar>
              <w:bottom w:w="28" w:type="dxa"/>
            </w:tcMar>
            <w:vAlign w:val="center"/>
          </w:tcPr>
          <w:p>
            <w:pPr>
              <w:pStyle w:val="TableContents"/>
              <w:spacing w:lineRule="atLeast" w:line="280" w:before="0" w:after="0"/>
              <w:rPr/>
            </w:pPr>
            <w:r>
              <w:rPr/>
              <w:t> </w:t>
            </w:r>
          </w:p>
        </w:tc>
        <w:tc>
          <w:tcPr>
            <w:tcW w:w="593" w:type="dxa"/>
            <w:tcBorders>
              <w:bottom w:val="single" w:sz="6" w:space="0" w:color="000000"/>
            </w:tcBorders>
            <w:shd w:fill="auto" w:val="clear"/>
            <w:tcMar>
              <w:bottom w:w="28" w:type="dxa"/>
            </w:tcMar>
            <w:vAlign w:val="center"/>
          </w:tcPr>
          <w:p>
            <w:pPr>
              <w:pStyle w:val="TableContents"/>
              <w:spacing w:lineRule="atLeast" w:line="280" w:before="0" w:after="0"/>
              <w:jc w:val="right"/>
              <w:rPr>
                <w:rFonts w:ascii="ARIAL" w:hAnsi="ARIAL"/>
                <w:sz w:val="16"/>
              </w:rPr>
            </w:pPr>
            <w:r>
              <w:rPr>
                <w:rFonts w:ascii="ARIAL" w:hAnsi="ARIAL"/>
                <w:sz w:val="16"/>
              </w:rPr>
              <w:t>0%</w:t>
            </w:r>
          </w:p>
        </w:tc>
        <w:tc>
          <w:tcPr>
            <w:tcW w:w="60" w:type="dxa"/>
            <w:tcBorders>
              <w:bottom w:val="single" w:sz="6" w:space="0" w:color="000000"/>
            </w:tcBorders>
            <w:shd w:fill="auto" w:val="clear"/>
            <w:tcMar>
              <w:bottom w:w="28" w:type="dxa"/>
            </w:tcMar>
            <w:vAlign w:val="center"/>
          </w:tcPr>
          <w:p>
            <w:pPr>
              <w:pStyle w:val="TableContents"/>
              <w:spacing w:lineRule="atLeast" w:line="280" w:before="0" w:after="0"/>
              <w:rPr/>
            </w:pPr>
            <w:r>
              <w:rPr/>
              <w:t> </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146" w:type="dxa"/>
            <w:tcBorders>
              <w:bottom w:val="single" w:sz="6" w:space="0" w:color="000000"/>
            </w:tcBorders>
            <w:shd w:fill="auto" w:val="clear"/>
            <w:tcMar>
              <w:bottom w:w="28" w:type="dxa"/>
            </w:tcMar>
            <w:vAlign w:val="center"/>
          </w:tcPr>
          <w:p>
            <w:pPr>
              <w:pStyle w:val="TableContents"/>
              <w:spacing w:lineRule="atLeast" w:line="280" w:before="0" w:after="0"/>
              <w:rPr/>
            </w:pPr>
            <w:r>
              <w:rPr/>
              <w:t> </w:t>
            </w:r>
          </w:p>
        </w:tc>
        <w:tc>
          <w:tcPr>
            <w:tcW w:w="489" w:type="dxa"/>
            <w:tcBorders>
              <w:bottom w:val="single" w:sz="6" w:space="0" w:color="000000"/>
            </w:tcBorders>
            <w:shd w:fill="auto" w:val="clear"/>
            <w:tcMar>
              <w:bottom w:w="28" w:type="dxa"/>
            </w:tcMar>
            <w:vAlign w:val="center"/>
          </w:tcPr>
          <w:p>
            <w:pPr>
              <w:pStyle w:val="TableContents"/>
              <w:spacing w:lineRule="atLeast" w:line="280" w:before="0" w:after="0"/>
              <w:jc w:val="right"/>
              <w:rPr>
                <w:rFonts w:ascii="ARIAL" w:hAnsi="ARIAL"/>
                <w:sz w:val="16"/>
              </w:rPr>
            </w:pPr>
            <w:r>
              <w:rPr>
                <w:rFonts w:ascii="ARIAL" w:hAnsi="ARIAL"/>
                <w:sz w:val="16"/>
              </w:rPr>
              <w:t>0%</w:t>
            </w:r>
          </w:p>
        </w:tc>
        <w:tc>
          <w:tcPr>
            <w:tcW w:w="60" w:type="dxa"/>
            <w:tcBorders>
              <w:bottom w:val="single" w:sz="6" w:space="0" w:color="000000"/>
            </w:tcBorders>
            <w:shd w:fill="auto" w:val="clear"/>
            <w:tcMar>
              <w:bottom w:w="28" w:type="dxa"/>
            </w:tcMar>
            <w:vAlign w:val="center"/>
          </w:tcPr>
          <w:p>
            <w:pPr>
              <w:pStyle w:val="TableContents"/>
              <w:spacing w:lineRule="atLeast" w:line="280" w:before="0" w:after="0"/>
              <w:rPr/>
            </w:pPr>
            <w:r>
              <w:rPr/>
              <w:t> </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60" w:type="dxa"/>
            <w:tcBorders>
              <w:bottom w:val="single" w:sz="6" w:space="0" w:color="000000"/>
            </w:tcBorders>
            <w:shd w:fill="auto" w:val="clear"/>
            <w:tcMar>
              <w:bottom w:w="28" w:type="dxa"/>
            </w:tcMar>
            <w:vAlign w:val="center"/>
          </w:tcPr>
          <w:p>
            <w:pPr>
              <w:pStyle w:val="TableContents"/>
              <w:spacing w:lineRule="atLeast" w:line="280" w:before="0" w:after="0"/>
              <w:rPr/>
            </w:pPr>
            <w:r>
              <w:rPr/>
              <w:t> </w:t>
            </w:r>
          </w:p>
        </w:tc>
        <w:tc>
          <w:tcPr>
            <w:tcW w:w="350" w:type="dxa"/>
            <w:tcBorders>
              <w:bottom w:val="single" w:sz="6" w:space="0" w:color="000000"/>
            </w:tcBorders>
            <w:shd w:fill="auto" w:val="clear"/>
            <w:tcMar>
              <w:bottom w:w="28" w:type="dxa"/>
            </w:tcMar>
            <w:vAlign w:val="center"/>
          </w:tcPr>
          <w:p>
            <w:pPr>
              <w:pStyle w:val="TableContents"/>
              <w:spacing w:lineRule="atLeast" w:line="280" w:before="0" w:after="0"/>
              <w:jc w:val="right"/>
              <w:rPr>
                <w:rFonts w:ascii="ARIAL" w:hAnsi="ARIAL"/>
                <w:sz w:val="16"/>
              </w:rPr>
            </w:pPr>
            <w:r>
              <w:rPr>
                <w:rFonts w:ascii="ARIAL" w:hAnsi="ARIAL"/>
                <w:sz w:val="16"/>
              </w:rPr>
              <w:t>0%</w:t>
            </w:r>
          </w:p>
        </w:tc>
        <w:tc>
          <w:tcPr>
            <w:tcW w:w="60" w:type="dxa"/>
            <w:tcBorders>
              <w:bottom w:val="single" w:sz="6" w:space="0" w:color="000000"/>
            </w:tcBorders>
            <w:shd w:fill="auto" w:val="clear"/>
            <w:tcMar>
              <w:bottom w:w="28" w:type="dxa"/>
            </w:tcMar>
            <w:vAlign w:val="center"/>
          </w:tcPr>
          <w:p>
            <w:pPr>
              <w:pStyle w:val="TableContents"/>
              <w:spacing w:lineRule="atLeast" w:line="280" w:before="0" w:after="0"/>
              <w:rPr/>
            </w:pPr>
            <w:r>
              <w:rPr/>
              <w:t> </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60" w:type="dxa"/>
            <w:tcBorders>
              <w:bottom w:val="single" w:sz="6" w:space="0" w:color="000000"/>
            </w:tcBorders>
            <w:shd w:fill="auto" w:val="clear"/>
            <w:tcMar>
              <w:bottom w:w="28" w:type="dxa"/>
            </w:tcMar>
            <w:vAlign w:val="center"/>
          </w:tcPr>
          <w:p>
            <w:pPr>
              <w:pStyle w:val="TableContents"/>
              <w:spacing w:lineRule="atLeast" w:line="280" w:before="0" w:after="0"/>
              <w:rPr/>
            </w:pPr>
            <w:r>
              <w:rPr/>
              <w:t> </w:t>
            </w:r>
          </w:p>
        </w:tc>
        <w:tc>
          <w:tcPr>
            <w:tcW w:w="350" w:type="dxa"/>
            <w:tcBorders>
              <w:bottom w:val="single" w:sz="6" w:space="0" w:color="000000"/>
            </w:tcBorders>
            <w:shd w:fill="auto" w:val="clear"/>
            <w:tcMar>
              <w:bottom w:w="28" w:type="dxa"/>
            </w:tcMar>
            <w:vAlign w:val="center"/>
          </w:tcPr>
          <w:p>
            <w:pPr>
              <w:pStyle w:val="TableContents"/>
              <w:spacing w:lineRule="atLeast" w:line="280" w:before="0" w:after="0"/>
              <w:jc w:val="right"/>
              <w:rPr>
                <w:rFonts w:ascii="ARIAL" w:hAnsi="ARIAL"/>
                <w:sz w:val="16"/>
              </w:rPr>
            </w:pPr>
            <w:r>
              <w:rPr>
                <w:rFonts w:ascii="ARIAL" w:hAnsi="ARIAL"/>
                <w:sz w:val="16"/>
              </w:rPr>
              <w:t>0%</w:t>
            </w:r>
          </w:p>
        </w:tc>
        <w:tc>
          <w:tcPr>
            <w:tcW w:w="60" w:type="dxa"/>
            <w:tcBorders>
              <w:bottom w:val="single" w:sz="6" w:space="0" w:color="000000"/>
            </w:tcBorders>
            <w:shd w:fill="auto" w:val="clear"/>
            <w:tcMar>
              <w:bottom w:w="28" w:type="dxa"/>
            </w:tcMar>
            <w:vAlign w:val="center"/>
          </w:tcPr>
          <w:p>
            <w:pPr>
              <w:pStyle w:val="TableContents"/>
              <w:spacing w:lineRule="atLeast" w:line="280" w:before="0" w:after="0"/>
              <w:rPr/>
            </w:pPr>
            <w:r>
              <w:rPr/>
              <w:t> </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121" w:type="dxa"/>
            <w:tcBorders>
              <w:bottom w:val="single" w:sz="6" w:space="0" w:color="000000"/>
            </w:tcBorders>
            <w:shd w:fill="auto" w:val="clear"/>
            <w:tcMar>
              <w:bottom w:w="28" w:type="dxa"/>
            </w:tcMar>
            <w:vAlign w:val="center"/>
          </w:tcPr>
          <w:p>
            <w:pPr>
              <w:pStyle w:val="TableContents"/>
              <w:spacing w:lineRule="atLeast" w:line="280" w:before="0" w:after="0"/>
              <w:rPr/>
            </w:pPr>
            <w:r>
              <w:rPr/>
              <w:t> </w:t>
            </w:r>
          </w:p>
        </w:tc>
        <w:tc>
          <w:tcPr>
            <w:tcW w:w="589" w:type="dxa"/>
            <w:tcBorders>
              <w:bottom w:val="single" w:sz="6" w:space="0" w:color="000000"/>
            </w:tcBorders>
            <w:shd w:fill="auto" w:val="clear"/>
            <w:tcMar>
              <w:bottom w:w="28" w:type="dxa"/>
            </w:tcMar>
            <w:vAlign w:val="center"/>
          </w:tcPr>
          <w:p>
            <w:pPr>
              <w:pStyle w:val="TableContents"/>
              <w:spacing w:lineRule="atLeast" w:line="280" w:before="0" w:after="0"/>
              <w:jc w:val="right"/>
              <w:rPr>
                <w:rFonts w:ascii="ARIAL" w:hAnsi="ARIAL"/>
                <w:sz w:val="16"/>
              </w:rPr>
            </w:pPr>
            <w:r>
              <w:rPr>
                <w:rFonts w:ascii="ARIAL" w:hAnsi="ARIAL"/>
                <w:sz w:val="16"/>
              </w:rPr>
              <w:t>0%</w:t>
            </w:r>
          </w:p>
        </w:tc>
        <w:tc>
          <w:tcPr>
            <w:tcW w:w="60" w:type="dxa"/>
            <w:tcBorders>
              <w:bottom w:val="single" w:sz="6" w:space="0" w:color="000000"/>
            </w:tcBorders>
            <w:shd w:fill="auto" w:val="clear"/>
            <w:tcMar>
              <w:bottom w:w="28" w:type="dxa"/>
            </w:tcMar>
            <w:vAlign w:val="center"/>
          </w:tcPr>
          <w:p>
            <w:pPr>
              <w:pStyle w:val="TableContents"/>
              <w:spacing w:lineRule="atLeast" w:line="280" w:before="0" w:after="0"/>
              <w:rPr/>
            </w:pPr>
            <w:r>
              <w:rPr/>
              <w:t> </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191" w:type="dxa"/>
            <w:tcBorders>
              <w:bottom w:val="single" w:sz="6" w:space="0" w:color="000000"/>
            </w:tcBorders>
            <w:shd w:fill="auto" w:val="clear"/>
            <w:tcMar>
              <w:bottom w:w="28" w:type="dxa"/>
            </w:tcMar>
            <w:vAlign w:val="center"/>
          </w:tcPr>
          <w:p>
            <w:pPr>
              <w:pStyle w:val="TableContents"/>
              <w:spacing w:lineRule="atLeast" w:line="280" w:before="0" w:after="0"/>
              <w:rPr/>
            </w:pPr>
            <w:r>
              <w:rPr/>
              <w:t> </w:t>
            </w:r>
          </w:p>
        </w:tc>
        <w:tc>
          <w:tcPr>
            <w:tcW w:w="639" w:type="dxa"/>
            <w:tcBorders>
              <w:bottom w:val="single" w:sz="6" w:space="0" w:color="000000"/>
            </w:tcBorders>
            <w:shd w:fill="auto" w:val="clear"/>
            <w:tcMar>
              <w:bottom w:w="28" w:type="dxa"/>
            </w:tcMar>
            <w:vAlign w:val="center"/>
          </w:tcPr>
          <w:p>
            <w:pPr>
              <w:pStyle w:val="TableContents"/>
              <w:spacing w:lineRule="atLeast" w:line="280" w:before="0" w:after="0"/>
              <w:jc w:val="right"/>
              <w:rPr>
                <w:rFonts w:ascii="ARIAL" w:hAnsi="ARIAL"/>
                <w:sz w:val="16"/>
              </w:rPr>
            </w:pPr>
            <w:r>
              <w:rPr>
                <w:rFonts w:ascii="ARIAL" w:hAnsi="ARIAL"/>
                <w:sz w:val="16"/>
              </w:rPr>
              <w:t>0%</w:t>
            </w:r>
          </w:p>
        </w:tc>
        <w:tc>
          <w:tcPr>
            <w:tcW w:w="60" w:type="dxa"/>
            <w:tcBorders>
              <w:bottom w:val="single" w:sz="6" w:space="0" w:color="000000"/>
            </w:tcBorders>
            <w:shd w:fill="auto" w:val="clear"/>
            <w:tcMar>
              <w:bottom w:w="28" w:type="dxa"/>
            </w:tcMar>
            <w:vAlign w:val="center"/>
          </w:tcPr>
          <w:p>
            <w:pPr>
              <w:pStyle w:val="TableContents"/>
              <w:spacing w:lineRule="atLeast" w:line="280" w:before="0" w:after="0"/>
              <w:rPr/>
            </w:pPr>
            <w:r>
              <w:rPr/>
              <w:t> </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60" w:type="dxa"/>
            <w:tcBorders>
              <w:bottom w:val="single" w:sz="6" w:space="0" w:color="000000"/>
            </w:tcBorders>
            <w:shd w:fill="auto" w:val="clear"/>
            <w:tcMar>
              <w:bottom w:w="28" w:type="dxa"/>
            </w:tcMar>
            <w:vAlign w:val="center"/>
          </w:tcPr>
          <w:p>
            <w:pPr>
              <w:pStyle w:val="TableContents"/>
              <w:spacing w:lineRule="atLeast" w:line="280" w:before="0" w:after="0"/>
              <w:rPr/>
            </w:pPr>
            <w:r>
              <w:rPr/>
              <w:t> </w:t>
            </w:r>
          </w:p>
        </w:tc>
        <w:tc>
          <w:tcPr>
            <w:tcW w:w="440" w:type="dxa"/>
            <w:tcBorders>
              <w:bottom w:val="single" w:sz="6" w:space="0" w:color="000000"/>
            </w:tcBorders>
            <w:shd w:fill="auto" w:val="clear"/>
            <w:tcMar>
              <w:bottom w:w="28" w:type="dxa"/>
            </w:tcMar>
            <w:vAlign w:val="center"/>
          </w:tcPr>
          <w:p>
            <w:pPr>
              <w:pStyle w:val="TableContents"/>
              <w:spacing w:lineRule="atLeast" w:line="280" w:before="0" w:after="0"/>
              <w:jc w:val="right"/>
              <w:rPr>
                <w:rFonts w:ascii="ARIAL" w:hAnsi="ARIAL"/>
                <w:sz w:val="16"/>
              </w:rPr>
            </w:pPr>
            <w:r>
              <w:rPr>
                <w:rFonts w:ascii="ARIAL" w:hAnsi="ARIAL"/>
                <w:sz w:val="16"/>
              </w:rPr>
              <w:t>0%</w:t>
            </w:r>
          </w:p>
        </w:tc>
        <w:tc>
          <w:tcPr>
            <w:tcW w:w="75" w:type="dxa"/>
            <w:tcBorders>
              <w:bottom w:val="single" w:sz="6" w:space="0" w:color="000000"/>
              <w:right w:val="single" w:sz="6" w:space="0" w:color="000000"/>
            </w:tcBorders>
            <w:shd w:fill="auto" w:val="clear"/>
            <w:tcMar>
              <w:bottom w:w="28" w:type="dxa"/>
              <w:right w:w="40" w:type="dxa"/>
            </w:tcMar>
            <w:vAlign w:val="center"/>
          </w:tcPr>
          <w:p>
            <w:pPr>
              <w:pStyle w:val="TableContents"/>
              <w:spacing w:lineRule="atLeast" w:line="280" w:before="0" w:after="0"/>
              <w:rPr/>
            </w:pPr>
            <w:r>
              <w:rPr/>
              <w:t> </w:t>
            </w:r>
          </w:p>
        </w:tc>
      </w:tr>
    </w:tbl>
    <w:p>
      <w:pPr>
        <w:pStyle w:val="TextBody"/>
        <w:spacing w:before="0" w:after="0"/>
        <w:jc w:val="left"/>
        <w:rPr/>
      </w:pPr>
      <w:r>
        <w:rPr/>
        <w:t> </w:t>
      </w:r>
    </w:p>
    <w:tbl>
      <w:tblPr>
        <w:tblW w:w="3775" w:type="dxa"/>
        <w:jc w:val="left"/>
        <w:tblInd w:w="0" w:type="dxa"/>
        <w:tblCellMar>
          <w:top w:w="0" w:type="dxa"/>
          <w:left w:w="0" w:type="dxa"/>
          <w:bottom w:w="0" w:type="dxa"/>
          <w:right w:w="0" w:type="dxa"/>
        </w:tblCellMar>
      </w:tblPr>
      <w:tblGrid>
        <w:gridCol w:w="305"/>
        <w:gridCol w:w="3470"/>
      </w:tblGrid>
      <w:tr>
        <w:trPr/>
        <w:tc>
          <w:tcPr>
            <w:tcW w:w="305" w:type="dxa"/>
            <w:tcBorders/>
            <w:shd w:fill="auto" w:val="clear"/>
            <w:vAlign w:val="center"/>
          </w:tcPr>
          <w:p>
            <w:pPr>
              <w:pStyle w:val="TableContents"/>
              <w:spacing w:before="0" w:after="283"/>
              <w:jc w:val="left"/>
              <w:rPr/>
            </w:pPr>
            <w:r>
              <w:rPr/>
              <w:t>(1)</w:t>
            </w:r>
          </w:p>
        </w:tc>
        <w:tc>
          <w:tcPr>
            <w:tcW w:w="3470" w:type="dxa"/>
            <w:tcBorders/>
            <w:shd w:fill="auto" w:val="clear"/>
            <w:vAlign w:val="center"/>
          </w:tcPr>
          <w:p>
            <w:pPr>
              <w:pStyle w:val="TableContents"/>
              <w:spacing w:before="0" w:after="0"/>
              <w:jc w:val="left"/>
              <w:rPr>
                <w:rFonts w:ascii="ARIAL" w:hAnsi="ARIAL"/>
                <w:sz w:val="16"/>
              </w:rPr>
            </w:pPr>
            <w:r>
              <w:rPr>
                <w:rFonts w:ascii="ARIAL" w:hAnsi="ARIAL"/>
                <w:sz w:val="16"/>
              </w:rPr>
              <w:t xml:space="preserve">Patient Experience; (2) Employee Engagement </w:t>
            </w:r>
          </w:p>
        </w:tc>
      </w:tr>
    </w:tbl>
    <w:p>
      <w:pPr>
        <w:pStyle w:val="TextBody"/>
        <w:spacing w:before="240" w:after="0"/>
        <w:jc w:val="left"/>
        <w:rPr>
          <w:rFonts w:ascii="ARIAL" w:hAnsi="ARIAL"/>
          <w:sz w:val="20"/>
        </w:rPr>
      </w:pPr>
      <w:r>
        <w:rPr>
          <w:rFonts w:ascii="ARIAL" w:hAnsi="ARIAL"/>
          <w:sz w:val="20"/>
        </w:rPr>
        <w:t xml:space="preserve">In addition to his annual incentive compensation opportunity under the EPIP as referenced above, Mr. Medley received a cash award of $62,500 in 2022 for achieving an operational improvement plan during the fourth quarter of 2022 for the region he oversees pursuant to goals for such quarter applicable to Mr. Medley (but no other named executive officers) approved by the Compensation Committee during the prior fiscal quarter. Mr. Medley also received a cash award of $82,500 in recognition of his contributions to the successful completion of certain strategic transactions and operational improvement plans. </w:t>
      </w:r>
    </w:p>
    <w:p>
      <w:pPr>
        <w:pStyle w:val="TextBody"/>
        <w:spacing w:before="240" w:after="0"/>
        <w:jc w:val="left"/>
        <w:rPr>
          <w:rFonts w:ascii="ARIAL" w:hAnsi="ARIAL"/>
          <w:b/>
          <w:i/>
          <w:sz w:val="20"/>
        </w:rPr>
      </w:pPr>
      <w:r>
        <w:rPr>
          <w:rFonts w:ascii="ARIAL" w:hAnsi="ARIAL"/>
          <w:b/>
          <w:i/>
          <w:sz w:val="20"/>
        </w:rPr>
        <w:t xml:space="preserve">Long-Term Incentives (LTI) </w:t>
      </w:r>
    </w:p>
    <w:p>
      <w:pPr>
        <w:pStyle w:val="TextBody"/>
        <w:spacing w:before="240" w:after="0"/>
        <w:jc w:val="left"/>
        <w:rPr>
          <w:rFonts w:ascii="ARIAL" w:hAnsi="ARIAL"/>
          <w:sz w:val="20"/>
        </w:rPr>
      </w:pPr>
      <w:r>
        <w:rPr>
          <w:rFonts w:ascii="ARIAL" w:hAnsi="ARIAL"/>
          <w:sz w:val="20"/>
        </w:rPr>
        <w:t xml:space="preserve">Equity-based long-term incentives remain a very important part of the Company’s executive compensation program and were the largest component of our named executive officers’ target compensation for 2022. Equity-based awards are designed to reward the executives for their longer-term contributions to the success and growth of the Company and are directly linked to maximizing stockholder value. They also serve as a key retention tool.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50 </w:t>
      </w:r>
      <w:r>
        <w:br w:type="page"/>
      </w:r>
    </w:p>
    <w:p>
      <w:pPr>
        <w:pStyle w:val="HorizontalLine"/>
        <w:rPr/>
      </w:pPr>
      <w:r>
        <w:rPr/>
      </w:r>
    </w:p>
    <w:p>
      <w:pPr>
        <w:pStyle w:val="TextBody"/>
        <w:spacing w:before="0" w:after="0"/>
        <w:jc w:val="left"/>
        <w:rPr>
          <w:rFonts w:ascii="ARIAL" w:hAnsi="ARIAL"/>
          <w:sz w:val="20"/>
        </w:rPr>
      </w:pPr>
      <w:r>
        <w:rPr>
          <w:rFonts w:ascii="ARIAL" w:hAnsi="ARIAL"/>
          <w:sz w:val="20"/>
        </w:rPr>
        <w:t xml:space="preserve">Equity-based incentive awards are made pursuant to the Company’s 2009 Stock Option and Award Plan, as most recently amended and restated in March 2021 and approved by our stockholders in May 2021 (the “2009 Plan”). The Board approved the further amendment and restatement of the 2009 Plan on March 22, 2023, subject to stockholder approval at this Meeting as described in Proposal 4 beginning on page 81 of this Proxy Statement. This plan provides for a wide variety of equity-based compensation awards, including incentive stock options, non-qualified stock options, stock appreciation rights, restricted stock, performance awards and other equity-based awards. The Company has historically made equity-based awards to its executive officers only in the form of both performance-based and time-based restricted stock and non-qualified stock options, as these types of awards are most consistently used by the Company’s peer group and are thus deemed to provide the most competitive compensation element for LTI compensation. </w:t>
      </w:r>
    </w:p>
    <w:p>
      <w:pPr>
        <w:pStyle w:val="TextBody"/>
        <w:spacing w:before="240" w:after="0"/>
        <w:jc w:val="left"/>
        <w:rPr>
          <w:rFonts w:ascii="ARIAL" w:hAnsi="ARIAL"/>
          <w:b/>
          <w:i/>
          <w:sz w:val="20"/>
        </w:rPr>
      </w:pPr>
      <w:r>
        <w:rPr>
          <w:rFonts w:ascii="ARIAL" w:hAnsi="ARIAL"/>
          <w:b/>
          <w:i/>
          <w:sz w:val="20"/>
        </w:rPr>
        <w:t xml:space="preserve">2022 LTI Awards </w:t>
      </w:r>
    </w:p>
    <w:p>
      <w:pPr>
        <w:pStyle w:val="TextBody"/>
        <w:spacing w:before="240" w:after="0"/>
        <w:jc w:val="left"/>
        <w:rPr>
          <w:rFonts w:ascii="ARIAL" w:hAnsi="ARIAL"/>
          <w:sz w:val="20"/>
        </w:rPr>
      </w:pPr>
      <w:r>
        <w:rPr>
          <w:rFonts w:ascii="ARIAL" w:hAnsi="ARIAL"/>
          <w:sz w:val="20"/>
        </w:rPr>
        <w:t xml:space="preserve">For 2022, consistent with recent years, our named executive officers received 50% of their target annual LTI awards (based on the number of shares subject to such awards) in the form of performance-based restricted stock with three-year cumulative performance targets. The other 50% of the target annual LTI awards (based on the number of shares subject to such awards) granted to each named executive officer in 2022 was allocated evenly between non-qualified stock options and time-based restricted stock, both of which vest in one-third increments on each of the first three anniversaries of the grant date (March 1, 2022). A total of 75% of the target annual LTI award granted to each of our named executive officers in 2022 was in the form of performance-based restricted stock or non-qualified stock options, which will result in value to the named executive officer only to the extent the Company achieves its long-term performance goals and/or the Company’s stock price increases in the future. The Company believes that the LTI program properly aligns our executives’ interests with those of stockholders and helps to ensure that our executive management team is focused on maximizing the Company’s long-term performance while also assisting in attracting and retaining valuable executive talent. </w:t>
      </w:r>
    </w:p>
    <w:p>
      <w:pPr>
        <w:pStyle w:val="TextBody"/>
        <w:spacing w:before="240" w:after="0"/>
        <w:jc w:val="left"/>
        <w:rPr>
          <w:rFonts w:ascii="ARIAL" w:hAnsi="ARIAL"/>
          <w:sz w:val="20"/>
        </w:rPr>
      </w:pPr>
      <w:r>
        <w:rPr>
          <w:rFonts w:ascii="ARIAL" w:hAnsi="ARIAL"/>
          <w:sz w:val="20"/>
        </w:rPr>
        <w:t xml:space="preserve">The closing price of the Company’s stock on the grant date for these awards was $10.18 per share: </w:t>
      </w:r>
    </w:p>
    <w:p>
      <w:pPr>
        <w:pStyle w:val="TextBody"/>
        <w:spacing w:before="0" w:after="0"/>
        <w:jc w:val="left"/>
        <w:rPr/>
      </w:pPr>
      <w:r>
        <w:rPr/>
        <w:t> </w:t>
      </w:r>
    </w:p>
    <w:tbl>
      <w:tblPr>
        <w:tblW w:w="8465" w:type="dxa"/>
        <w:jc w:val="left"/>
        <w:tblInd w:w="0" w:type="dxa"/>
        <w:tblCellMar>
          <w:top w:w="0" w:type="dxa"/>
          <w:left w:w="0" w:type="dxa"/>
          <w:bottom w:w="0" w:type="dxa"/>
          <w:right w:w="0" w:type="dxa"/>
        </w:tblCellMar>
      </w:tblPr>
      <w:tblGrid>
        <w:gridCol w:w="4025"/>
        <w:gridCol w:w="60"/>
        <w:gridCol w:w="80"/>
        <w:gridCol w:w="1080"/>
        <w:gridCol w:w="60"/>
        <w:gridCol w:w="60"/>
        <w:gridCol w:w="92"/>
        <w:gridCol w:w="1233"/>
        <w:gridCol w:w="60"/>
        <w:gridCol w:w="60"/>
        <w:gridCol w:w="110"/>
        <w:gridCol w:w="1470"/>
        <w:gridCol w:w="75"/>
      </w:tblGrid>
      <w:tr>
        <w:trPr/>
        <w:tc>
          <w:tcPr>
            <w:tcW w:w="402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10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2" w:type="dxa"/>
            <w:tcBorders/>
            <w:shd w:fill="auto" w:val="clear"/>
            <w:vAlign w:val="center"/>
          </w:tcPr>
          <w:p>
            <w:pPr>
              <w:pStyle w:val="TableContents"/>
              <w:spacing w:before="0" w:after="283"/>
              <w:rPr>
                <w:sz w:val="4"/>
                <w:szCs w:val="4"/>
              </w:rPr>
            </w:pPr>
            <w:r>
              <w:rPr>
                <w:sz w:val="4"/>
                <w:szCs w:val="4"/>
              </w:rPr>
            </w:r>
          </w:p>
        </w:tc>
        <w:tc>
          <w:tcPr>
            <w:tcW w:w="123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47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4025" w:type="dxa"/>
            <w:tcBorders>
              <w:top w:val="single" w:sz="6" w:space="0" w:color="000000"/>
              <w:left w:val="single" w:sz="6" w:space="0" w:color="000000"/>
              <w:right w:val="single" w:sz="6" w:space="0" w:color="000000"/>
            </w:tcBorders>
            <w:shd w:fill="auto" w:val="clear"/>
            <w:tcMar>
              <w:top w:w="28" w:type="dxa"/>
              <w:left w:w="160" w:type="dxa"/>
              <w:right w:w="28" w:type="dxa"/>
            </w:tcMar>
            <w:vAlign w:val="center"/>
          </w:tcPr>
          <w:p>
            <w:pPr>
              <w:pStyle w:val="TableContents"/>
              <w:spacing w:before="0" w:after="283"/>
              <w:rPr/>
            </w:pPr>
            <w:r>
              <w:rPr/>
              <w:t> </w:t>
            </w:r>
          </w:p>
        </w:tc>
        <w:tc>
          <w:tcPr>
            <w:tcW w:w="1280" w:type="dxa"/>
            <w:gridSpan w:val="4"/>
            <w:tcBorders>
              <w:top w:val="single" w:sz="6" w:space="0" w:color="000000"/>
            </w:tcBorders>
            <w:shd w:fill="auto" w:val="clear"/>
            <w:tcMar>
              <w:top w:w="28" w:type="dxa"/>
            </w:tcMar>
            <w:vAlign w:val="center"/>
          </w:tcPr>
          <w:p>
            <w:pPr>
              <w:pStyle w:val="TableContents"/>
              <w:spacing w:before="0" w:after="283"/>
              <w:rPr/>
            </w:pPr>
            <w:r>
              <w:rPr/>
              <w:t> </w:t>
            </w:r>
          </w:p>
        </w:tc>
        <w:tc>
          <w:tcPr>
            <w:tcW w:w="1445" w:type="dxa"/>
            <w:gridSpan w:val="4"/>
            <w:tcBorders>
              <w:top w:val="single" w:sz="6" w:space="0" w:color="000000"/>
              <w:left w:val="single" w:sz="6" w:space="0" w:color="000000"/>
              <w:right w:val="single" w:sz="6" w:space="0" w:color="000000"/>
            </w:tcBorders>
            <w:shd w:fill="auto" w:val="clear"/>
            <w:tcMar>
              <w:top w:w="28" w:type="dxa"/>
              <w:left w:w="28" w:type="dxa"/>
              <w:right w:w="28" w:type="dxa"/>
            </w:tcMar>
            <w:vAlign w:val="center"/>
          </w:tcPr>
          <w:p>
            <w:pPr>
              <w:pStyle w:val="TableContents"/>
              <w:spacing w:before="0" w:after="283"/>
              <w:rPr/>
            </w:pPr>
            <w:r>
              <w:rPr/>
              <w:t> </w:t>
            </w:r>
          </w:p>
        </w:tc>
        <w:tc>
          <w:tcPr>
            <w:tcW w:w="1715" w:type="dxa"/>
            <w:gridSpan w:val="4"/>
            <w:tcBorders>
              <w:top w:val="single" w:sz="6" w:space="0" w:color="000000"/>
              <w:right w:val="single" w:sz="6" w:space="0" w:color="000000"/>
            </w:tcBorders>
            <w:shd w:fill="auto" w:val="clear"/>
            <w:tcMar>
              <w:top w:w="28" w:type="dxa"/>
              <w:right w:w="28" w:type="dxa"/>
            </w:tcMar>
            <w:vAlign w:val="center"/>
          </w:tcPr>
          <w:p>
            <w:pPr>
              <w:pStyle w:val="TableContents"/>
              <w:spacing w:before="0" w:after="283"/>
              <w:rPr/>
            </w:pPr>
            <w:r>
              <w:rPr/>
              <w:t> </w:t>
            </w:r>
          </w:p>
        </w:tc>
      </w:tr>
      <w:tr>
        <w:trPr/>
        <w:tc>
          <w:tcPr>
            <w:tcW w:w="4025" w:type="dxa"/>
            <w:tcBorders>
              <w:left w:val="single" w:sz="6" w:space="0" w:color="000000"/>
              <w:bottom w:val="single" w:sz="6" w:space="0" w:color="000000"/>
              <w:right w:val="single" w:sz="6" w:space="0" w:color="000000"/>
            </w:tcBorders>
            <w:shd w:fill="auto" w:val="clear"/>
            <w:tcMar>
              <w:left w:w="160" w:type="dxa"/>
              <w:bottom w:w="28" w:type="dxa"/>
              <w:right w:w="28" w:type="dxa"/>
            </w:tcMar>
            <w:vAlign w:val="center"/>
          </w:tcPr>
          <w:p>
            <w:pPr>
              <w:pStyle w:val="TableContents"/>
              <w:spacing w:before="0" w:after="283"/>
              <w:jc w:val="center"/>
              <w:rPr>
                <w:b/>
              </w:rPr>
            </w:pPr>
            <w:r>
              <w:rPr>
                <w:b/>
              </w:rPr>
              <w:t>Named Executive Officer</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1160" w:type="dxa"/>
            <w:gridSpan w:val="2"/>
            <w:tcBorders>
              <w:bottom w:val="single" w:sz="6" w:space="0" w:color="000000"/>
            </w:tcBorders>
            <w:shd w:fill="auto" w:val="clear"/>
            <w:tcMar>
              <w:bottom w:w="28" w:type="dxa"/>
            </w:tcMar>
            <w:vAlign w:val="center"/>
          </w:tcPr>
          <w:p>
            <w:pPr>
              <w:pStyle w:val="TableContents"/>
              <w:spacing w:before="0" w:after="0"/>
              <w:jc w:val="center"/>
              <w:rPr>
                <w:rFonts w:ascii="ARIAL" w:hAnsi="ARIAL"/>
                <w:b/>
                <w:sz w:val="16"/>
              </w:rPr>
            </w:pPr>
            <w:r>
              <w:rPr>
                <w:rFonts w:ascii="ARIAL" w:hAnsi="ARIAL"/>
                <w:b/>
                <w:sz w:val="16"/>
              </w:rPr>
              <w:t>Non-Qualified</w:t>
            </w:r>
          </w:p>
          <w:p>
            <w:pPr>
              <w:pStyle w:val="TableContents"/>
              <w:spacing w:before="0" w:after="20"/>
              <w:jc w:val="center"/>
              <w:rPr>
                <w:rFonts w:ascii="ARIAL" w:hAnsi="ARIAL"/>
                <w:b/>
                <w:sz w:val="16"/>
              </w:rPr>
            </w:pPr>
            <w:r>
              <w:rPr>
                <w:rFonts w:ascii="ARIAL" w:hAnsi="ARIAL"/>
                <w:b/>
                <w:sz w:val="16"/>
              </w:rPr>
              <w:t>Stock Options</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60" w:type="dxa"/>
            <w:tcBorders>
              <w:left w:val="single" w:sz="6" w:space="0" w:color="000000"/>
              <w:bottom w:val="single" w:sz="6" w:space="0" w:color="000000"/>
            </w:tcBorders>
            <w:shd w:fill="auto" w:val="clear"/>
            <w:tcMar>
              <w:left w:w="28" w:type="dxa"/>
              <w:bottom w:w="28" w:type="dxa"/>
            </w:tcMar>
            <w:vAlign w:val="center"/>
          </w:tcPr>
          <w:p>
            <w:pPr>
              <w:pStyle w:val="TableContents"/>
              <w:spacing w:before="0" w:after="283"/>
              <w:rPr/>
            </w:pPr>
            <w:r>
              <w:rPr/>
              <w:t> </w:t>
            </w:r>
          </w:p>
        </w:tc>
        <w:tc>
          <w:tcPr>
            <w:tcW w:w="1325" w:type="dxa"/>
            <w:gridSpan w:val="2"/>
            <w:tcBorders>
              <w:bottom w:val="single" w:sz="6" w:space="0" w:color="000000"/>
            </w:tcBorders>
            <w:shd w:fill="auto" w:val="clear"/>
            <w:tcMar>
              <w:bottom w:w="28" w:type="dxa"/>
            </w:tcMar>
            <w:vAlign w:val="center"/>
          </w:tcPr>
          <w:p>
            <w:pPr>
              <w:pStyle w:val="TableContents"/>
              <w:spacing w:before="0" w:after="0"/>
              <w:jc w:val="center"/>
              <w:rPr>
                <w:rFonts w:ascii="ARIAL" w:hAnsi="ARIAL"/>
                <w:b/>
                <w:sz w:val="16"/>
              </w:rPr>
            </w:pPr>
            <w:r>
              <w:rPr>
                <w:rFonts w:ascii="ARIAL" w:hAnsi="ARIAL"/>
                <w:b/>
                <w:sz w:val="16"/>
              </w:rPr>
              <w:t>Time Vesting</w:t>
            </w:r>
          </w:p>
          <w:p>
            <w:pPr>
              <w:pStyle w:val="TableContents"/>
              <w:spacing w:before="0" w:after="20"/>
              <w:jc w:val="center"/>
              <w:rPr>
                <w:rFonts w:ascii="ARIAL" w:hAnsi="ARIAL"/>
                <w:b/>
                <w:sz w:val="16"/>
              </w:rPr>
            </w:pPr>
            <w:r>
              <w:rPr>
                <w:rFonts w:ascii="ARIAL" w:hAnsi="ARIAL"/>
                <w:b/>
                <w:sz w:val="16"/>
              </w:rPr>
              <w:t>Restricted Stock</w:t>
            </w:r>
          </w:p>
        </w:tc>
        <w:tc>
          <w:tcPr>
            <w:tcW w:w="60" w:type="dxa"/>
            <w:tcBorders>
              <w:bottom w:val="single" w:sz="6" w:space="0" w:color="000000"/>
              <w:right w:val="single" w:sz="6" w:space="0" w:color="000000"/>
            </w:tcBorders>
            <w:shd w:fill="auto" w:val="clear"/>
            <w:tcMar>
              <w:bottom w:w="28" w:type="dxa"/>
              <w:right w:w="28" w:type="dxa"/>
            </w:tcMar>
            <w:vAlign w:val="center"/>
          </w:tcPr>
          <w:p>
            <w:pPr>
              <w:pStyle w:val="TableContents"/>
              <w:spacing w:before="0" w:after="283"/>
              <w:rPr/>
            </w:pPr>
            <w:r>
              <w:rPr/>
              <w:t> </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1580" w:type="dxa"/>
            <w:gridSpan w:val="2"/>
            <w:tcBorders>
              <w:bottom w:val="single" w:sz="6" w:space="0" w:color="000000"/>
            </w:tcBorders>
            <w:shd w:fill="auto" w:val="clear"/>
            <w:tcMar>
              <w:bottom w:w="28" w:type="dxa"/>
            </w:tcMar>
            <w:vAlign w:val="center"/>
          </w:tcPr>
          <w:p>
            <w:pPr>
              <w:pStyle w:val="TableContents"/>
              <w:spacing w:before="0" w:after="0"/>
              <w:jc w:val="center"/>
              <w:rPr>
                <w:rFonts w:ascii="ARIAL" w:hAnsi="ARIAL"/>
                <w:b/>
                <w:sz w:val="16"/>
              </w:rPr>
            </w:pPr>
            <w:r>
              <w:rPr>
                <w:rFonts w:ascii="ARIAL" w:hAnsi="ARIAL"/>
                <w:b/>
                <w:sz w:val="16"/>
              </w:rPr>
              <w:t>Performance-Based</w:t>
            </w:r>
          </w:p>
          <w:p>
            <w:pPr>
              <w:pStyle w:val="TableContents"/>
              <w:spacing w:before="0" w:after="20"/>
              <w:jc w:val="center"/>
              <w:rPr>
                <w:rFonts w:ascii="ARIAL" w:hAnsi="ARIAL"/>
                <w:b/>
                <w:sz w:val="16"/>
              </w:rPr>
            </w:pPr>
            <w:r>
              <w:rPr>
                <w:rFonts w:ascii="ARIAL" w:hAnsi="ARIAL"/>
                <w:b/>
                <w:sz w:val="16"/>
              </w:rPr>
              <w:t>Restricted Stock</w:t>
            </w:r>
          </w:p>
        </w:tc>
        <w:tc>
          <w:tcPr>
            <w:tcW w:w="75" w:type="dxa"/>
            <w:tcBorders>
              <w:bottom w:val="single" w:sz="6" w:space="0" w:color="000000"/>
              <w:right w:val="single" w:sz="6" w:space="0" w:color="000000"/>
            </w:tcBorders>
            <w:shd w:fill="auto" w:val="clear"/>
            <w:tcMar>
              <w:bottom w:w="28" w:type="dxa"/>
              <w:right w:w="40" w:type="dxa"/>
            </w:tcMar>
            <w:vAlign w:val="center"/>
          </w:tcPr>
          <w:p>
            <w:pPr>
              <w:pStyle w:val="TableContents"/>
              <w:spacing w:before="0" w:after="283"/>
              <w:rPr/>
            </w:pPr>
            <w:r>
              <w:rPr/>
              <w:t> </w:t>
            </w:r>
          </w:p>
        </w:tc>
      </w:tr>
      <w:tr>
        <w:trPr/>
        <w:tc>
          <w:tcPr>
            <w:tcW w:w="4025" w:type="dxa"/>
            <w:tcBorders>
              <w:left w:val="single" w:sz="6" w:space="0" w:color="000000"/>
              <w:right w:val="single" w:sz="6" w:space="0" w:color="000000"/>
            </w:tcBorders>
            <w:shd w:fill="auto" w:val="clear"/>
            <w:tcMar>
              <w:left w:w="160" w:type="dxa"/>
              <w:right w:w="28" w:type="dxa"/>
            </w:tcMar>
            <w:vAlign w:val="center"/>
          </w:tcPr>
          <w:p>
            <w:pPr>
              <w:pStyle w:val="TableContents"/>
              <w:spacing w:before="0" w:after="283"/>
              <w:rPr/>
            </w:pPr>
            <w:r>
              <w:rPr/>
              <w:t> </w:t>
            </w:r>
          </w:p>
        </w:tc>
        <w:tc>
          <w:tcPr>
            <w:tcW w:w="1280" w:type="dxa"/>
            <w:gridSpan w:val="4"/>
            <w:tcBorders>
              <w:right w:val="single" w:sz="6" w:space="0" w:color="000000"/>
            </w:tcBorders>
            <w:shd w:fill="auto" w:val="clear"/>
            <w:tcMar>
              <w:right w:w="28" w:type="dxa"/>
            </w:tcMar>
            <w:vAlign w:val="center"/>
          </w:tcPr>
          <w:p>
            <w:pPr>
              <w:pStyle w:val="TableContents"/>
              <w:spacing w:before="0" w:after="283"/>
              <w:rPr/>
            </w:pPr>
            <w:r>
              <w:rPr/>
              <w:t> </w:t>
            </w:r>
          </w:p>
        </w:tc>
        <w:tc>
          <w:tcPr>
            <w:tcW w:w="1445" w:type="dxa"/>
            <w:gridSpan w:val="4"/>
            <w:tcBorders>
              <w:right w:val="single" w:sz="6" w:space="0" w:color="000000"/>
            </w:tcBorders>
            <w:shd w:fill="auto" w:val="clear"/>
            <w:tcMar>
              <w:right w:w="28" w:type="dxa"/>
            </w:tcMar>
            <w:vAlign w:val="center"/>
          </w:tcPr>
          <w:p>
            <w:pPr>
              <w:pStyle w:val="TableContents"/>
              <w:spacing w:before="0" w:after="283"/>
              <w:rPr/>
            </w:pPr>
            <w:r>
              <w:rPr/>
              <w:t> </w:t>
            </w:r>
          </w:p>
        </w:tc>
        <w:tc>
          <w:tcPr>
            <w:tcW w:w="1715" w:type="dxa"/>
            <w:gridSpan w:val="4"/>
            <w:tcBorders>
              <w:right w:val="single" w:sz="6" w:space="0" w:color="000000"/>
            </w:tcBorders>
            <w:shd w:fill="auto" w:val="clear"/>
            <w:tcMar>
              <w:right w:w="28" w:type="dxa"/>
            </w:tcMar>
            <w:vAlign w:val="center"/>
          </w:tcPr>
          <w:p>
            <w:pPr>
              <w:pStyle w:val="TableContents"/>
              <w:spacing w:before="0" w:after="283"/>
              <w:rPr/>
            </w:pPr>
            <w:r>
              <w:rPr/>
              <w:t> </w:t>
            </w:r>
          </w:p>
        </w:tc>
      </w:tr>
      <w:tr>
        <w:trPr/>
        <w:tc>
          <w:tcPr>
            <w:tcW w:w="4025" w:type="dxa"/>
            <w:tcBorders>
              <w:left w:val="single" w:sz="6" w:space="0" w:color="000000"/>
              <w:bottom w:val="single" w:sz="6" w:space="0" w:color="000000"/>
              <w:right w:val="single" w:sz="6" w:space="0" w:color="000000"/>
            </w:tcBorders>
            <w:shd w:fill="auto" w:val="clear"/>
            <w:tcMar>
              <w:left w:w="160" w:type="dxa"/>
              <w:bottom w:w="28" w:type="dxa"/>
              <w:right w:w="28" w:type="dxa"/>
            </w:tcMar>
            <w:vAlign w:val="center"/>
          </w:tcPr>
          <w:p>
            <w:pPr>
              <w:pStyle w:val="TableContents"/>
              <w:spacing w:before="0" w:after="0"/>
              <w:rPr>
                <w:rFonts w:ascii="ARIAL" w:hAnsi="ARIAL"/>
                <w:sz w:val="20"/>
              </w:rPr>
            </w:pPr>
            <w:r>
              <w:rPr>
                <w:rFonts w:ascii="ARIAL" w:hAnsi="ARIAL"/>
                <w:sz w:val="20"/>
              </w:rPr>
              <w:t>CEO (Hingtgen)</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80" w:type="dxa"/>
            <w:tcBorders>
              <w:bottom w:val="single" w:sz="6" w:space="0" w:color="000000"/>
            </w:tcBorders>
            <w:shd w:fill="auto" w:val="clear"/>
            <w:tcMar>
              <w:bottom w:w="28" w:type="dxa"/>
            </w:tcMar>
            <w:vAlign w:val="center"/>
          </w:tcPr>
          <w:p>
            <w:pPr>
              <w:pStyle w:val="TableContents"/>
              <w:spacing w:before="0" w:after="283"/>
              <w:rPr/>
            </w:pPr>
            <w:r>
              <w:rPr/>
              <w:t> </w:t>
            </w:r>
          </w:p>
        </w:tc>
        <w:tc>
          <w:tcPr>
            <w:tcW w:w="1080" w:type="dxa"/>
            <w:tcBorders>
              <w:bottom w:val="single" w:sz="6" w:space="0" w:color="000000"/>
            </w:tcBorders>
            <w:shd w:fill="auto" w:val="clear"/>
            <w:tcMar>
              <w:bottom w:w="28" w:type="dxa"/>
            </w:tcMar>
            <w:vAlign w:val="center"/>
          </w:tcPr>
          <w:p>
            <w:pPr>
              <w:pStyle w:val="TableContents"/>
              <w:spacing w:before="0" w:after="283"/>
              <w:jc w:val="right"/>
              <w:rPr/>
            </w:pPr>
            <w:r>
              <w:rPr/>
              <w:t>100,000</w:t>
            </w:r>
          </w:p>
        </w:tc>
        <w:tc>
          <w:tcPr>
            <w:tcW w:w="60" w:type="dxa"/>
            <w:tcBorders>
              <w:bottom w:val="single" w:sz="6" w:space="0" w:color="000000"/>
              <w:right w:val="single" w:sz="6" w:space="0" w:color="000000"/>
            </w:tcBorders>
            <w:shd w:fill="auto" w:val="clear"/>
            <w:tcMar>
              <w:bottom w:w="28" w:type="dxa"/>
              <w:right w:w="28" w:type="dxa"/>
            </w:tcMar>
            <w:vAlign w:val="center"/>
          </w:tcPr>
          <w:p>
            <w:pPr>
              <w:pStyle w:val="TableContents"/>
              <w:spacing w:before="0" w:after="283"/>
              <w:rPr/>
            </w:pPr>
            <w:r>
              <w:rPr/>
              <w:t> </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92" w:type="dxa"/>
            <w:tcBorders>
              <w:bottom w:val="single" w:sz="6" w:space="0" w:color="000000"/>
            </w:tcBorders>
            <w:shd w:fill="auto" w:val="clear"/>
            <w:tcMar>
              <w:bottom w:w="28" w:type="dxa"/>
            </w:tcMar>
            <w:vAlign w:val="center"/>
          </w:tcPr>
          <w:p>
            <w:pPr>
              <w:pStyle w:val="TableContents"/>
              <w:spacing w:before="0" w:after="283"/>
              <w:rPr/>
            </w:pPr>
            <w:r>
              <w:rPr/>
              <w:t> </w:t>
            </w:r>
          </w:p>
        </w:tc>
        <w:tc>
          <w:tcPr>
            <w:tcW w:w="1233" w:type="dxa"/>
            <w:tcBorders>
              <w:bottom w:val="single" w:sz="6" w:space="0" w:color="000000"/>
            </w:tcBorders>
            <w:shd w:fill="auto" w:val="clear"/>
            <w:tcMar>
              <w:bottom w:w="28" w:type="dxa"/>
            </w:tcMar>
            <w:vAlign w:val="center"/>
          </w:tcPr>
          <w:p>
            <w:pPr>
              <w:pStyle w:val="TableContents"/>
              <w:spacing w:before="0" w:after="283"/>
              <w:jc w:val="right"/>
              <w:rPr/>
            </w:pPr>
            <w:r>
              <w:rPr/>
              <w:t>100,000</w:t>
            </w:r>
          </w:p>
        </w:tc>
        <w:tc>
          <w:tcPr>
            <w:tcW w:w="60" w:type="dxa"/>
            <w:tcBorders>
              <w:bottom w:val="single" w:sz="6" w:space="0" w:color="000000"/>
              <w:right w:val="single" w:sz="6" w:space="0" w:color="000000"/>
            </w:tcBorders>
            <w:shd w:fill="auto" w:val="clear"/>
            <w:tcMar>
              <w:bottom w:w="28" w:type="dxa"/>
              <w:right w:w="28" w:type="dxa"/>
            </w:tcMar>
            <w:vAlign w:val="center"/>
          </w:tcPr>
          <w:p>
            <w:pPr>
              <w:pStyle w:val="TableContents"/>
              <w:spacing w:before="0" w:after="283"/>
              <w:rPr/>
            </w:pPr>
            <w:r>
              <w:rPr/>
              <w:t> </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110" w:type="dxa"/>
            <w:tcBorders>
              <w:bottom w:val="single" w:sz="6" w:space="0" w:color="000000"/>
            </w:tcBorders>
            <w:shd w:fill="auto" w:val="clear"/>
            <w:tcMar>
              <w:bottom w:w="28" w:type="dxa"/>
            </w:tcMar>
            <w:vAlign w:val="center"/>
          </w:tcPr>
          <w:p>
            <w:pPr>
              <w:pStyle w:val="TableContents"/>
              <w:spacing w:before="0" w:after="283"/>
              <w:rPr/>
            </w:pPr>
            <w:r>
              <w:rPr/>
              <w:t> </w:t>
            </w:r>
          </w:p>
        </w:tc>
        <w:tc>
          <w:tcPr>
            <w:tcW w:w="1470" w:type="dxa"/>
            <w:tcBorders>
              <w:bottom w:val="single" w:sz="6" w:space="0" w:color="000000"/>
            </w:tcBorders>
            <w:shd w:fill="auto" w:val="clear"/>
            <w:tcMar>
              <w:bottom w:w="28" w:type="dxa"/>
            </w:tcMar>
            <w:vAlign w:val="center"/>
          </w:tcPr>
          <w:p>
            <w:pPr>
              <w:pStyle w:val="TableContents"/>
              <w:spacing w:before="0" w:after="283"/>
              <w:jc w:val="right"/>
              <w:rPr/>
            </w:pPr>
            <w:r>
              <w:rPr/>
              <w:t>200,000</w:t>
            </w:r>
          </w:p>
        </w:tc>
        <w:tc>
          <w:tcPr>
            <w:tcW w:w="75" w:type="dxa"/>
            <w:tcBorders>
              <w:bottom w:val="single" w:sz="6" w:space="0" w:color="000000"/>
              <w:right w:val="single" w:sz="6" w:space="0" w:color="000000"/>
            </w:tcBorders>
            <w:shd w:fill="auto" w:val="clear"/>
            <w:tcMar>
              <w:bottom w:w="28" w:type="dxa"/>
              <w:right w:w="40" w:type="dxa"/>
            </w:tcMar>
            <w:vAlign w:val="center"/>
          </w:tcPr>
          <w:p>
            <w:pPr>
              <w:pStyle w:val="TableContents"/>
              <w:spacing w:before="0" w:after="283"/>
              <w:rPr/>
            </w:pPr>
            <w:r>
              <w:rPr/>
              <w:t> </w:t>
            </w:r>
          </w:p>
        </w:tc>
      </w:tr>
      <w:tr>
        <w:trPr/>
        <w:tc>
          <w:tcPr>
            <w:tcW w:w="4025" w:type="dxa"/>
            <w:tcBorders>
              <w:left w:val="single" w:sz="6" w:space="0" w:color="000000"/>
              <w:right w:val="single" w:sz="6" w:space="0" w:color="000000"/>
            </w:tcBorders>
            <w:shd w:fill="auto" w:val="clear"/>
            <w:tcMar>
              <w:left w:w="160" w:type="dxa"/>
              <w:right w:w="28" w:type="dxa"/>
            </w:tcMar>
            <w:vAlign w:val="center"/>
          </w:tcPr>
          <w:p>
            <w:pPr>
              <w:pStyle w:val="TableContents"/>
              <w:spacing w:before="0" w:after="283"/>
              <w:rPr/>
            </w:pPr>
            <w:r>
              <w:rPr/>
              <w:t> </w:t>
            </w:r>
          </w:p>
        </w:tc>
        <w:tc>
          <w:tcPr>
            <w:tcW w:w="1280" w:type="dxa"/>
            <w:gridSpan w:val="4"/>
            <w:tcBorders>
              <w:right w:val="single" w:sz="6" w:space="0" w:color="000000"/>
            </w:tcBorders>
            <w:shd w:fill="auto" w:val="clear"/>
            <w:tcMar>
              <w:right w:w="28" w:type="dxa"/>
            </w:tcMar>
            <w:vAlign w:val="center"/>
          </w:tcPr>
          <w:p>
            <w:pPr>
              <w:pStyle w:val="TableContents"/>
              <w:spacing w:before="0" w:after="283"/>
              <w:rPr/>
            </w:pPr>
            <w:r>
              <w:rPr/>
              <w:t> </w:t>
            </w:r>
          </w:p>
        </w:tc>
        <w:tc>
          <w:tcPr>
            <w:tcW w:w="1445" w:type="dxa"/>
            <w:gridSpan w:val="4"/>
            <w:tcBorders>
              <w:right w:val="single" w:sz="6" w:space="0" w:color="000000"/>
            </w:tcBorders>
            <w:shd w:fill="auto" w:val="clear"/>
            <w:tcMar>
              <w:right w:w="28" w:type="dxa"/>
            </w:tcMar>
            <w:vAlign w:val="center"/>
          </w:tcPr>
          <w:p>
            <w:pPr>
              <w:pStyle w:val="TableContents"/>
              <w:spacing w:before="0" w:after="283"/>
              <w:rPr/>
            </w:pPr>
            <w:r>
              <w:rPr/>
              <w:t> </w:t>
            </w:r>
          </w:p>
        </w:tc>
        <w:tc>
          <w:tcPr>
            <w:tcW w:w="1715" w:type="dxa"/>
            <w:gridSpan w:val="4"/>
            <w:tcBorders>
              <w:right w:val="single" w:sz="6" w:space="0" w:color="000000"/>
            </w:tcBorders>
            <w:shd w:fill="auto" w:val="clear"/>
            <w:tcMar>
              <w:right w:w="28" w:type="dxa"/>
            </w:tcMar>
            <w:vAlign w:val="center"/>
          </w:tcPr>
          <w:p>
            <w:pPr>
              <w:pStyle w:val="TableContents"/>
              <w:spacing w:before="0" w:after="283"/>
              <w:rPr/>
            </w:pPr>
            <w:r>
              <w:rPr/>
              <w:t> </w:t>
            </w:r>
          </w:p>
        </w:tc>
      </w:tr>
      <w:tr>
        <w:trPr/>
        <w:tc>
          <w:tcPr>
            <w:tcW w:w="4025" w:type="dxa"/>
            <w:tcBorders>
              <w:left w:val="single" w:sz="6" w:space="0" w:color="000000"/>
              <w:bottom w:val="single" w:sz="6" w:space="0" w:color="000000"/>
              <w:right w:val="single" w:sz="6" w:space="0" w:color="000000"/>
            </w:tcBorders>
            <w:shd w:fill="auto" w:val="clear"/>
            <w:tcMar>
              <w:left w:w="160" w:type="dxa"/>
              <w:bottom w:w="28" w:type="dxa"/>
              <w:right w:w="28" w:type="dxa"/>
            </w:tcMar>
            <w:vAlign w:val="center"/>
          </w:tcPr>
          <w:p>
            <w:pPr>
              <w:pStyle w:val="TableContents"/>
              <w:spacing w:before="0" w:after="0"/>
              <w:rPr>
                <w:rFonts w:ascii="ARIAL" w:hAnsi="ARIAL"/>
                <w:sz w:val="20"/>
              </w:rPr>
            </w:pPr>
            <w:r>
              <w:rPr>
                <w:rFonts w:ascii="ARIAL" w:hAnsi="ARIAL"/>
                <w:sz w:val="20"/>
              </w:rPr>
              <w:t>President/CFO (Hammons)</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80" w:type="dxa"/>
            <w:tcBorders>
              <w:bottom w:val="single" w:sz="6" w:space="0" w:color="000000"/>
            </w:tcBorders>
            <w:shd w:fill="auto" w:val="clear"/>
            <w:tcMar>
              <w:bottom w:w="28" w:type="dxa"/>
            </w:tcMar>
            <w:vAlign w:val="center"/>
          </w:tcPr>
          <w:p>
            <w:pPr>
              <w:pStyle w:val="TableContents"/>
              <w:spacing w:before="0" w:after="283"/>
              <w:rPr/>
            </w:pPr>
            <w:r>
              <w:rPr/>
              <w:t> </w:t>
            </w:r>
          </w:p>
        </w:tc>
        <w:tc>
          <w:tcPr>
            <w:tcW w:w="1080" w:type="dxa"/>
            <w:tcBorders>
              <w:bottom w:val="single" w:sz="6" w:space="0" w:color="000000"/>
            </w:tcBorders>
            <w:shd w:fill="auto" w:val="clear"/>
            <w:tcMar>
              <w:bottom w:w="28" w:type="dxa"/>
            </w:tcMar>
            <w:vAlign w:val="center"/>
          </w:tcPr>
          <w:p>
            <w:pPr>
              <w:pStyle w:val="TableContents"/>
              <w:spacing w:before="0" w:after="283"/>
              <w:jc w:val="right"/>
              <w:rPr/>
            </w:pPr>
            <w:r>
              <w:rPr/>
              <w:t>75,000</w:t>
            </w:r>
          </w:p>
        </w:tc>
        <w:tc>
          <w:tcPr>
            <w:tcW w:w="60" w:type="dxa"/>
            <w:tcBorders>
              <w:bottom w:val="single" w:sz="6" w:space="0" w:color="000000"/>
              <w:right w:val="single" w:sz="6" w:space="0" w:color="000000"/>
            </w:tcBorders>
            <w:shd w:fill="auto" w:val="clear"/>
            <w:tcMar>
              <w:bottom w:w="28" w:type="dxa"/>
              <w:right w:w="28" w:type="dxa"/>
            </w:tcMar>
            <w:vAlign w:val="center"/>
          </w:tcPr>
          <w:p>
            <w:pPr>
              <w:pStyle w:val="TableContents"/>
              <w:spacing w:before="0" w:after="283"/>
              <w:rPr/>
            </w:pPr>
            <w:r>
              <w:rPr/>
              <w:t> </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92" w:type="dxa"/>
            <w:tcBorders>
              <w:bottom w:val="single" w:sz="6" w:space="0" w:color="000000"/>
            </w:tcBorders>
            <w:shd w:fill="auto" w:val="clear"/>
            <w:tcMar>
              <w:bottom w:w="28" w:type="dxa"/>
            </w:tcMar>
            <w:vAlign w:val="center"/>
          </w:tcPr>
          <w:p>
            <w:pPr>
              <w:pStyle w:val="TableContents"/>
              <w:spacing w:before="0" w:after="283"/>
              <w:rPr/>
            </w:pPr>
            <w:r>
              <w:rPr/>
              <w:t> </w:t>
            </w:r>
          </w:p>
        </w:tc>
        <w:tc>
          <w:tcPr>
            <w:tcW w:w="1233" w:type="dxa"/>
            <w:tcBorders>
              <w:bottom w:val="single" w:sz="6" w:space="0" w:color="000000"/>
            </w:tcBorders>
            <w:shd w:fill="auto" w:val="clear"/>
            <w:tcMar>
              <w:bottom w:w="28" w:type="dxa"/>
            </w:tcMar>
            <w:vAlign w:val="center"/>
          </w:tcPr>
          <w:p>
            <w:pPr>
              <w:pStyle w:val="TableContents"/>
              <w:spacing w:before="0" w:after="283"/>
              <w:jc w:val="right"/>
              <w:rPr/>
            </w:pPr>
            <w:r>
              <w:rPr/>
              <w:t>75,000</w:t>
            </w:r>
          </w:p>
        </w:tc>
        <w:tc>
          <w:tcPr>
            <w:tcW w:w="60" w:type="dxa"/>
            <w:tcBorders>
              <w:bottom w:val="single" w:sz="6" w:space="0" w:color="000000"/>
              <w:right w:val="single" w:sz="6" w:space="0" w:color="000000"/>
            </w:tcBorders>
            <w:shd w:fill="auto" w:val="clear"/>
            <w:tcMar>
              <w:bottom w:w="28" w:type="dxa"/>
              <w:right w:w="28" w:type="dxa"/>
            </w:tcMar>
            <w:vAlign w:val="center"/>
          </w:tcPr>
          <w:p>
            <w:pPr>
              <w:pStyle w:val="TableContents"/>
              <w:spacing w:before="0" w:after="283"/>
              <w:rPr/>
            </w:pPr>
            <w:r>
              <w:rPr/>
              <w:t> </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110" w:type="dxa"/>
            <w:tcBorders>
              <w:bottom w:val="single" w:sz="6" w:space="0" w:color="000000"/>
            </w:tcBorders>
            <w:shd w:fill="auto" w:val="clear"/>
            <w:tcMar>
              <w:bottom w:w="28" w:type="dxa"/>
            </w:tcMar>
            <w:vAlign w:val="center"/>
          </w:tcPr>
          <w:p>
            <w:pPr>
              <w:pStyle w:val="TableContents"/>
              <w:spacing w:before="0" w:after="283"/>
              <w:rPr/>
            </w:pPr>
            <w:r>
              <w:rPr/>
              <w:t> </w:t>
            </w:r>
          </w:p>
        </w:tc>
        <w:tc>
          <w:tcPr>
            <w:tcW w:w="1470" w:type="dxa"/>
            <w:tcBorders>
              <w:bottom w:val="single" w:sz="6" w:space="0" w:color="000000"/>
            </w:tcBorders>
            <w:shd w:fill="auto" w:val="clear"/>
            <w:tcMar>
              <w:bottom w:w="28" w:type="dxa"/>
            </w:tcMar>
            <w:vAlign w:val="center"/>
          </w:tcPr>
          <w:p>
            <w:pPr>
              <w:pStyle w:val="TableContents"/>
              <w:spacing w:before="0" w:after="283"/>
              <w:jc w:val="right"/>
              <w:rPr/>
            </w:pPr>
            <w:r>
              <w:rPr/>
              <w:t>150,000</w:t>
            </w:r>
          </w:p>
        </w:tc>
        <w:tc>
          <w:tcPr>
            <w:tcW w:w="75" w:type="dxa"/>
            <w:tcBorders>
              <w:bottom w:val="single" w:sz="6" w:space="0" w:color="000000"/>
              <w:right w:val="single" w:sz="6" w:space="0" w:color="000000"/>
            </w:tcBorders>
            <w:shd w:fill="auto" w:val="clear"/>
            <w:tcMar>
              <w:bottom w:w="28" w:type="dxa"/>
              <w:right w:w="40" w:type="dxa"/>
            </w:tcMar>
            <w:vAlign w:val="center"/>
          </w:tcPr>
          <w:p>
            <w:pPr>
              <w:pStyle w:val="TableContents"/>
              <w:spacing w:before="0" w:after="283"/>
              <w:rPr/>
            </w:pPr>
            <w:r>
              <w:rPr/>
              <w:t> </w:t>
            </w:r>
          </w:p>
        </w:tc>
      </w:tr>
      <w:tr>
        <w:trPr/>
        <w:tc>
          <w:tcPr>
            <w:tcW w:w="4025" w:type="dxa"/>
            <w:tcBorders>
              <w:left w:val="single" w:sz="6" w:space="0" w:color="000000"/>
              <w:right w:val="single" w:sz="6" w:space="0" w:color="000000"/>
            </w:tcBorders>
            <w:shd w:fill="auto" w:val="clear"/>
            <w:tcMar>
              <w:left w:w="160" w:type="dxa"/>
              <w:right w:w="28" w:type="dxa"/>
            </w:tcMar>
            <w:vAlign w:val="center"/>
          </w:tcPr>
          <w:p>
            <w:pPr>
              <w:pStyle w:val="TableContents"/>
              <w:spacing w:before="0" w:after="283"/>
              <w:rPr/>
            </w:pPr>
            <w:r>
              <w:rPr/>
              <w:t> </w:t>
            </w:r>
          </w:p>
        </w:tc>
        <w:tc>
          <w:tcPr>
            <w:tcW w:w="1280" w:type="dxa"/>
            <w:gridSpan w:val="4"/>
            <w:tcBorders>
              <w:right w:val="single" w:sz="6" w:space="0" w:color="000000"/>
            </w:tcBorders>
            <w:shd w:fill="auto" w:val="clear"/>
            <w:tcMar>
              <w:right w:w="28" w:type="dxa"/>
            </w:tcMar>
            <w:vAlign w:val="center"/>
          </w:tcPr>
          <w:p>
            <w:pPr>
              <w:pStyle w:val="TableContents"/>
              <w:spacing w:before="0" w:after="283"/>
              <w:rPr/>
            </w:pPr>
            <w:r>
              <w:rPr/>
              <w:t> </w:t>
            </w:r>
          </w:p>
        </w:tc>
        <w:tc>
          <w:tcPr>
            <w:tcW w:w="1445" w:type="dxa"/>
            <w:gridSpan w:val="4"/>
            <w:tcBorders>
              <w:right w:val="single" w:sz="6" w:space="0" w:color="000000"/>
            </w:tcBorders>
            <w:shd w:fill="auto" w:val="clear"/>
            <w:tcMar>
              <w:right w:w="28" w:type="dxa"/>
            </w:tcMar>
            <w:vAlign w:val="center"/>
          </w:tcPr>
          <w:p>
            <w:pPr>
              <w:pStyle w:val="TableContents"/>
              <w:spacing w:before="0" w:after="283"/>
              <w:rPr/>
            </w:pPr>
            <w:r>
              <w:rPr/>
              <w:t> </w:t>
            </w:r>
          </w:p>
        </w:tc>
        <w:tc>
          <w:tcPr>
            <w:tcW w:w="1715" w:type="dxa"/>
            <w:gridSpan w:val="4"/>
            <w:tcBorders>
              <w:right w:val="single" w:sz="6" w:space="0" w:color="000000"/>
            </w:tcBorders>
            <w:shd w:fill="auto" w:val="clear"/>
            <w:tcMar>
              <w:right w:w="28" w:type="dxa"/>
            </w:tcMar>
            <w:vAlign w:val="center"/>
          </w:tcPr>
          <w:p>
            <w:pPr>
              <w:pStyle w:val="TableContents"/>
              <w:spacing w:before="0" w:after="283"/>
              <w:rPr/>
            </w:pPr>
            <w:r>
              <w:rPr/>
              <w:t> </w:t>
            </w:r>
          </w:p>
        </w:tc>
      </w:tr>
      <w:tr>
        <w:trPr/>
        <w:tc>
          <w:tcPr>
            <w:tcW w:w="4025" w:type="dxa"/>
            <w:tcBorders>
              <w:left w:val="single" w:sz="6" w:space="0" w:color="000000"/>
              <w:bottom w:val="single" w:sz="6" w:space="0" w:color="000000"/>
              <w:right w:val="single" w:sz="6" w:space="0" w:color="000000"/>
            </w:tcBorders>
            <w:shd w:fill="auto" w:val="clear"/>
            <w:tcMar>
              <w:left w:w="160" w:type="dxa"/>
              <w:bottom w:w="28" w:type="dxa"/>
              <w:right w:w="28" w:type="dxa"/>
            </w:tcMar>
            <w:vAlign w:val="center"/>
          </w:tcPr>
          <w:p>
            <w:pPr>
              <w:pStyle w:val="TableContents"/>
              <w:spacing w:before="0" w:after="0"/>
              <w:rPr>
                <w:rFonts w:ascii="ARIAL" w:hAnsi="ARIAL"/>
                <w:sz w:val="20"/>
              </w:rPr>
            </w:pPr>
            <w:r>
              <w:rPr>
                <w:rFonts w:ascii="ARIAL" w:hAnsi="ARIAL"/>
                <w:sz w:val="20"/>
              </w:rPr>
              <w:t>Executive Chairman (Smith)</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80" w:type="dxa"/>
            <w:tcBorders>
              <w:bottom w:val="single" w:sz="6" w:space="0" w:color="000000"/>
            </w:tcBorders>
            <w:shd w:fill="auto" w:val="clear"/>
            <w:tcMar>
              <w:bottom w:w="28" w:type="dxa"/>
            </w:tcMar>
            <w:vAlign w:val="center"/>
          </w:tcPr>
          <w:p>
            <w:pPr>
              <w:pStyle w:val="TableContents"/>
              <w:spacing w:before="0" w:after="283"/>
              <w:rPr/>
            </w:pPr>
            <w:r>
              <w:rPr/>
              <w:t> </w:t>
            </w:r>
          </w:p>
        </w:tc>
        <w:tc>
          <w:tcPr>
            <w:tcW w:w="1080" w:type="dxa"/>
            <w:tcBorders>
              <w:bottom w:val="single" w:sz="6" w:space="0" w:color="000000"/>
            </w:tcBorders>
            <w:shd w:fill="auto" w:val="clear"/>
            <w:tcMar>
              <w:bottom w:w="28" w:type="dxa"/>
            </w:tcMar>
            <w:vAlign w:val="center"/>
          </w:tcPr>
          <w:p>
            <w:pPr>
              <w:pStyle w:val="TableContents"/>
              <w:spacing w:before="0" w:after="283"/>
              <w:jc w:val="right"/>
              <w:rPr/>
            </w:pPr>
            <w:r>
              <w:rPr/>
              <w:t>90,000</w:t>
            </w:r>
          </w:p>
        </w:tc>
        <w:tc>
          <w:tcPr>
            <w:tcW w:w="60" w:type="dxa"/>
            <w:tcBorders>
              <w:bottom w:val="single" w:sz="6" w:space="0" w:color="000000"/>
              <w:right w:val="single" w:sz="6" w:space="0" w:color="000000"/>
            </w:tcBorders>
            <w:shd w:fill="auto" w:val="clear"/>
            <w:tcMar>
              <w:bottom w:w="28" w:type="dxa"/>
              <w:right w:w="28" w:type="dxa"/>
            </w:tcMar>
            <w:vAlign w:val="center"/>
          </w:tcPr>
          <w:p>
            <w:pPr>
              <w:pStyle w:val="TableContents"/>
              <w:spacing w:before="0" w:after="283"/>
              <w:rPr/>
            </w:pPr>
            <w:r>
              <w:rPr/>
              <w:t> </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92" w:type="dxa"/>
            <w:tcBorders>
              <w:bottom w:val="single" w:sz="6" w:space="0" w:color="000000"/>
            </w:tcBorders>
            <w:shd w:fill="auto" w:val="clear"/>
            <w:tcMar>
              <w:bottom w:w="28" w:type="dxa"/>
            </w:tcMar>
            <w:vAlign w:val="center"/>
          </w:tcPr>
          <w:p>
            <w:pPr>
              <w:pStyle w:val="TableContents"/>
              <w:spacing w:before="0" w:after="283"/>
              <w:rPr/>
            </w:pPr>
            <w:r>
              <w:rPr/>
              <w:t> </w:t>
            </w:r>
          </w:p>
        </w:tc>
        <w:tc>
          <w:tcPr>
            <w:tcW w:w="1233" w:type="dxa"/>
            <w:tcBorders>
              <w:bottom w:val="single" w:sz="6" w:space="0" w:color="000000"/>
            </w:tcBorders>
            <w:shd w:fill="auto" w:val="clear"/>
            <w:tcMar>
              <w:bottom w:w="28" w:type="dxa"/>
            </w:tcMar>
            <w:vAlign w:val="center"/>
          </w:tcPr>
          <w:p>
            <w:pPr>
              <w:pStyle w:val="TableContents"/>
              <w:spacing w:before="0" w:after="283"/>
              <w:jc w:val="right"/>
              <w:rPr/>
            </w:pPr>
            <w:r>
              <w:rPr/>
              <w:t>90,000</w:t>
            </w:r>
          </w:p>
        </w:tc>
        <w:tc>
          <w:tcPr>
            <w:tcW w:w="60" w:type="dxa"/>
            <w:tcBorders>
              <w:bottom w:val="single" w:sz="6" w:space="0" w:color="000000"/>
              <w:right w:val="single" w:sz="6" w:space="0" w:color="000000"/>
            </w:tcBorders>
            <w:shd w:fill="auto" w:val="clear"/>
            <w:tcMar>
              <w:bottom w:w="28" w:type="dxa"/>
              <w:right w:w="28" w:type="dxa"/>
            </w:tcMar>
            <w:vAlign w:val="center"/>
          </w:tcPr>
          <w:p>
            <w:pPr>
              <w:pStyle w:val="TableContents"/>
              <w:spacing w:before="0" w:after="283"/>
              <w:rPr/>
            </w:pPr>
            <w:r>
              <w:rPr/>
              <w:t> </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110" w:type="dxa"/>
            <w:tcBorders>
              <w:bottom w:val="single" w:sz="6" w:space="0" w:color="000000"/>
            </w:tcBorders>
            <w:shd w:fill="auto" w:val="clear"/>
            <w:tcMar>
              <w:bottom w:w="28" w:type="dxa"/>
            </w:tcMar>
            <w:vAlign w:val="center"/>
          </w:tcPr>
          <w:p>
            <w:pPr>
              <w:pStyle w:val="TableContents"/>
              <w:spacing w:before="0" w:after="283"/>
              <w:rPr/>
            </w:pPr>
            <w:r>
              <w:rPr/>
              <w:t> </w:t>
            </w:r>
          </w:p>
        </w:tc>
        <w:tc>
          <w:tcPr>
            <w:tcW w:w="1470" w:type="dxa"/>
            <w:tcBorders>
              <w:bottom w:val="single" w:sz="6" w:space="0" w:color="000000"/>
            </w:tcBorders>
            <w:shd w:fill="auto" w:val="clear"/>
            <w:tcMar>
              <w:bottom w:w="28" w:type="dxa"/>
            </w:tcMar>
            <w:vAlign w:val="center"/>
          </w:tcPr>
          <w:p>
            <w:pPr>
              <w:pStyle w:val="TableContents"/>
              <w:spacing w:before="0" w:after="283"/>
              <w:jc w:val="right"/>
              <w:rPr/>
            </w:pPr>
            <w:r>
              <w:rPr/>
              <w:t>180,000</w:t>
            </w:r>
          </w:p>
        </w:tc>
        <w:tc>
          <w:tcPr>
            <w:tcW w:w="75" w:type="dxa"/>
            <w:tcBorders>
              <w:bottom w:val="single" w:sz="6" w:space="0" w:color="000000"/>
              <w:right w:val="single" w:sz="6" w:space="0" w:color="000000"/>
            </w:tcBorders>
            <w:shd w:fill="auto" w:val="clear"/>
            <w:tcMar>
              <w:bottom w:w="28" w:type="dxa"/>
              <w:right w:w="40" w:type="dxa"/>
            </w:tcMar>
            <w:vAlign w:val="center"/>
          </w:tcPr>
          <w:p>
            <w:pPr>
              <w:pStyle w:val="TableContents"/>
              <w:spacing w:before="0" w:after="283"/>
              <w:rPr/>
            </w:pPr>
            <w:r>
              <w:rPr/>
              <w:t> </w:t>
            </w:r>
          </w:p>
        </w:tc>
      </w:tr>
      <w:tr>
        <w:trPr/>
        <w:tc>
          <w:tcPr>
            <w:tcW w:w="4025" w:type="dxa"/>
            <w:tcBorders>
              <w:left w:val="single" w:sz="6" w:space="0" w:color="000000"/>
              <w:right w:val="single" w:sz="6" w:space="0" w:color="000000"/>
            </w:tcBorders>
            <w:shd w:fill="auto" w:val="clear"/>
            <w:tcMar>
              <w:left w:w="160" w:type="dxa"/>
              <w:right w:w="28" w:type="dxa"/>
            </w:tcMar>
            <w:vAlign w:val="center"/>
          </w:tcPr>
          <w:p>
            <w:pPr>
              <w:pStyle w:val="TableContents"/>
              <w:spacing w:before="0" w:after="283"/>
              <w:rPr/>
            </w:pPr>
            <w:r>
              <w:rPr/>
              <w:t> </w:t>
            </w:r>
          </w:p>
        </w:tc>
        <w:tc>
          <w:tcPr>
            <w:tcW w:w="1280" w:type="dxa"/>
            <w:gridSpan w:val="4"/>
            <w:tcBorders>
              <w:right w:val="single" w:sz="6" w:space="0" w:color="000000"/>
            </w:tcBorders>
            <w:shd w:fill="auto" w:val="clear"/>
            <w:tcMar>
              <w:right w:w="28" w:type="dxa"/>
            </w:tcMar>
            <w:vAlign w:val="center"/>
          </w:tcPr>
          <w:p>
            <w:pPr>
              <w:pStyle w:val="TableContents"/>
              <w:spacing w:before="0" w:after="283"/>
              <w:rPr/>
            </w:pPr>
            <w:r>
              <w:rPr/>
              <w:t> </w:t>
            </w:r>
          </w:p>
        </w:tc>
        <w:tc>
          <w:tcPr>
            <w:tcW w:w="1445" w:type="dxa"/>
            <w:gridSpan w:val="4"/>
            <w:tcBorders>
              <w:right w:val="single" w:sz="6" w:space="0" w:color="000000"/>
            </w:tcBorders>
            <w:shd w:fill="auto" w:val="clear"/>
            <w:tcMar>
              <w:right w:w="28" w:type="dxa"/>
            </w:tcMar>
            <w:vAlign w:val="center"/>
          </w:tcPr>
          <w:p>
            <w:pPr>
              <w:pStyle w:val="TableContents"/>
              <w:spacing w:before="0" w:after="283"/>
              <w:rPr/>
            </w:pPr>
            <w:r>
              <w:rPr/>
              <w:t> </w:t>
            </w:r>
          </w:p>
        </w:tc>
        <w:tc>
          <w:tcPr>
            <w:tcW w:w="1715" w:type="dxa"/>
            <w:gridSpan w:val="4"/>
            <w:tcBorders>
              <w:right w:val="single" w:sz="6" w:space="0" w:color="000000"/>
            </w:tcBorders>
            <w:shd w:fill="auto" w:val="clear"/>
            <w:tcMar>
              <w:right w:w="28" w:type="dxa"/>
            </w:tcMar>
            <w:vAlign w:val="center"/>
          </w:tcPr>
          <w:p>
            <w:pPr>
              <w:pStyle w:val="TableContents"/>
              <w:spacing w:before="0" w:after="283"/>
              <w:rPr/>
            </w:pPr>
            <w:r>
              <w:rPr/>
              <w:t> </w:t>
            </w:r>
          </w:p>
        </w:tc>
      </w:tr>
      <w:tr>
        <w:trPr/>
        <w:tc>
          <w:tcPr>
            <w:tcW w:w="4025" w:type="dxa"/>
            <w:tcBorders>
              <w:left w:val="single" w:sz="6" w:space="0" w:color="000000"/>
              <w:bottom w:val="single" w:sz="6" w:space="0" w:color="000000"/>
              <w:right w:val="single" w:sz="6" w:space="0" w:color="000000"/>
            </w:tcBorders>
            <w:shd w:fill="auto" w:val="clear"/>
            <w:tcMar>
              <w:left w:w="160" w:type="dxa"/>
              <w:bottom w:w="28" w:type="dxa"/>
              <w:right w:w="28" w:type="dxa"/>
            </w:tcMar>
            <w:vAlign w:val="center"/>
          </w:tcPr>
          <w:p>
            <w:pPr>
              <w:pStyle w:val="TableContents"/>
              <w:spacing w:before="0" w:after="0"/>
              <w:rPr>
                <w:rFonts w:ascii="ARIAL" w:hAnsi="ARIAL"/>
                <w:sz w:val="20"/>
              </w:rPr>
            </w:pPr>
            <w:r>
              <w:rPr>
                <w:rFonts w:ascii="ARIAL" w:hAnsi="ARIAL"/>
                <w:sz w:val="20"/>
              </w:rPr>
              <w:t>President of Clinical Operations/CMO (Simon)</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80" w:type="dxa"/>
            <w:tcBorders>
              <w:bottom w:val="single" w:sz="6" w:space="0" w:color="000000"/>
            </w:tcBorders>
            <w:shd w:fill="auto" w:val="clear"/>
            <w:tcMar>
              <w:bottom w:w="28" w:type="dxa"/>
            </w:tcMar>
            <w:vAlign w:val="center"/>
          </w:tcPr>
          <w:p>
            <w:pPr>
              <w:pStyle w:val="TableContents"/>
              <w:spacing w:before="0" w:after="283"/>
              <w:rPr/>
            </w:pPr>
            <w:r>
              <w:rPr/>
              <w:t> </w:t>
            </w:r>
          </w:p>
        </w:tc>
        <w:tc>
          <w:tcPr>
            <w:tcW w:w="1080" w:type="dxa"/>
            <w:tcBorders>
              <w:bottom w:val="single" w:sz="6" w:space="0" w:color="000000"/>
            </w:tcBorders>
            <w:shd w:fill="auto" w:val="clear"/>
            <w:tcMar>
              <w:bottom w:w="28" w:type="dxa"/>
            </w:tcMar>
            <w:vAlign w:val="center"/>
          </w:tcPr>
          <w:p>
            <w:pPr>
              <w:pStyle w:val="TableContents"/>
              <w:spacing w:before="0" w:after="283"/>
              <w:jc w:val="right"/>
              <w:rPr/>
            </w:pPr>
            <w:r>
              <w:rPr/>
              <w:t>40,000</w:t>
            </w:r>
          </w:p>
        </w:tc>
        <w:tc>
          <w:tcPr>
            <w:tcW w:w="60" w:type="dxa"/>
            <w:tcBorders>
              <w:bottom w:val="single" w:sz="6" w:space="0" w:color="000000"/>
              <w:right w:val="single" w:sz="6" w:space="0" w:color="000000"/>
            </w:tcBorders>
            <w:shd w:fill="auto" w:val="clear"/>
            <w:tcMar>
              <w:bottom w:w="28" w:type="dxa"/>
              <w:right w:w="28" w:type="dxa"/>
            </w:tcMar>
            <w:vAlign w:val="center"/>
          </w:tcPr>
          <w:p>
            <w:pPr>
              <w:pStyle w:val="TableContents"/>
              <w:spacing w:before="0" w:after="283"/>
              <w:rPr/>
            </w:pPr>
            <w:r>
              <w:rPr/>
              <w:t> </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92" w:type="dxa"/>
            <w:tcBorders>
              <w:bottom w:val="single" w:sz="6" w:space="0" w:color="000000"/>
            </w:tcBorders>
            <w:shd w:fill="auto" w:val="clear"/>
            <w:tcMar>
              <w:bottom w:w="28" w:type="dxa"/>
            </w:tcMar>
            <w:vAlign w:val="center"/>
          </w:tcPr>
          <w:p>
            <w:pPr>
              <w:pStyle w:val="TableContents"/>
              <w:spacing w:before="0" w:after="283"/>
              <w:rPr/>
            </w:pPr>
            <w:r>
              <w:rPr/>
              <w:t> </w:t>
            </w:r>
          </w:p>
        </w:tc>
        <w:tc>
          <w:tcPr>
            <w:tcW w:w="1233" w:type="dxa"/>
            <w:tcBorders>
              <w:bottom w:val="single" w:sz="6" w:space="0" w:color="000000"/>
            </w:tcBorders>
            <w:shd w:fill="auto" w:val="clear"/>
            <w:tcMar>
              <w:bottom w:w="28" w:type="dxa"/>
            </w:tcMar>
            <w:vAlign w:val="center"/>
          </w:tcPr>
          <w:p>
            <w:pPr>
              <w:pStyle w:val="TableContents"/>
              <w:spacing w:before="0" w:after="283"/>
              <w:jc w:val="right"/>
              <w:rPr/>
            </w:pPr>
            <w:r>
              <w:rPr/>
              <w:t>40,000</w:t>
            </w:r>
          </w:p>
        </w:tc>
        <w:tc>
          <w:tcPr>
            <w:tcW w:w="60" w:type="dxa"/>
            <w:tcBorders>
              <w:bottom w:val="single" w:sz="6" w:space="0" w:color="000000"/>
              <w:right w:val="single" w:sz="6" w:space="0" w:color="000000"/>
            </w:tcBorders>
            <w:shd w:fill="auto" w:val="clear"/>
            <w:tcMar>
              <w:bottom w:w="28" w:type="dxa"/>
              <w:right w:w="28" w:type="dxa"/>
            </w:tcMar>
            <w:vAlign w:val="center"/>
          </w:tcPr>
          <w:p>
            <w:pPr>
              <w:pStyle w:val="TableContents"/>
              <w:spacing w:before="0" w:after="283"/>
              <w:rPr/>
            </w:pPr>
            <w:r>
              <w:rPr/>
              <w:t> </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110" w:type="dxa"/>
            <w:tcBorders>
              <w:bottom w:val="single" w:sz="6" w:space="0" w:color="000000"/>
            </w:tcBorders>
            <w:shd w:fill="auto" w:val="clear"/>
            <w:tcMar>
              <w:bottom w:w="28" w:type="dxa"/>
            </w:tcMar>
            <w:vAlign w:val="center"/>
          </w:tcPr>
          <w:p>
            <w:pPr>
              <w:pStyle w:val="TableContents"/>
              <w:spacing w:before="0" w:after="283"/>
              <w:rPr/>
            </w:pPr>
            <w:r>
              <w:rPr/>
              <w:t> </w:t>
            </w:r>
          </w:p>
        </w:tc>
        <w:tc>
          <w:tcPr>
            <w:tcW w:w="1470" w:type="dxa"/>
            <w:tcBorders>
              <w:bottom w:val="single" w:sz="6" w:space="0" w:color="000000"/>
            </w:tcBorders>
            <w:shd w:fill="auto" w:val="clear"/>
            <w:tcMar>
              <w:bottom w:w="28" w:type="dxa"/>
            </w:tcMar>
            <w:vAlign w:val="center"/>
          </w:tcPr>
          <w:p>
            <w:pPr>
              <w:pStyle w:val="TableContents"/>
              <w:spacing w:before="0" w:after="283"/>
              <w:jc w:val="right"/>
              <w:rPr/>
            </w:pPr>
            <w:r>
              <w:rPr/>
              <w:t>80,000</w:t>
            </w:r>
          </w:p>
        </w:tc>
        <w:tc>
          <w:tcPr>
            <w:tcW w:w="75" w:type="dxa"/>
            <w:tcBorders>
              <w:bottom w:val="single" w:sz="6" w:space="0" w:color="000000"/>
              <w:right w:val="single" w:sz="6" w:space="0" w:color="000000"/>
            </w:tcBorders>
            <w:shd w:fill="auto" w:val="clear"/>
            <w:tcMar>
              <w:bottom w:w="28" w:type="dxa"/>
              <w:right w:w="40" w:type="dxa"/>
            </w:tcMar>
            <w:vAlign w:val="center"/>
          </w:tcPr>
          <w:p>
            <w:pPr>
              <w:pStyle w:val="TableContents"/>
              <w:spacing w:before="0" w:after="283"/>
              <w:rPr/>
            </w:pPr>
            <w:r>
              <w:rPr/>
              <w:t> </w:t>
            </w:r>
          </w:p>
        </w:tc>
      </w:tr>
      <w:tr>
        <w:trPr/>
        <w:tc>
          <w:tcPr>
            <w:tcW w:w="4025" w:type="dxa"/>
            <w:tcBorders>
              <w:left w:val="single" w:sz="6" w:space="0" w:color="000000"/>
              <w:right w:val="single" w:sz="6" w:space="0" w:color="000000"/>
            </w:tcBorders>
            <w:shd w:fill="auto" w:val="clear"/>
            <w:tcMar>
              <w:left w:w="160" w:type="dxa"/>
              <w:right w:w="28" w:type="dxa"/>
            </w:tcMar>
            <w:vAlign w:val="center"/>
          </w:tcPr>
          <w:p>
            <w:pPr>
              <w:pStyle w:val="TableContents"/>
              <w:spacing w:before="0" w:after="283"/>
              <w:rPr/>
            </w:pPr>
            <w:r>
              <w:rPr/>
              <w:t> </w:t>
            </w:r>
          </w:p>
        </w:tc>
        <w:tc>
          <w:tcPr>
            <w:tcW w:w="1280" w:type="dxa"/>
            <w:gridSpan w:val="4"/>
            <w:tcBorders>
              <w:right w:val="single" w:sz="6" w:space="0" w:color="000000"/>
            </w:tcBorders>
            <w:shd w:fill="auto" w:val="clear"/>
            <w:tcMar>
              <w:right w:w="28" w:type="dxa"/>
            </w:tcMar>
            <w:vAlign w:val="center"/>
          </w:tcPr>
          <w:p>
            <w:pPr>
              <w:pStyle w:val="TableContents"/>
              <w:spacing w:before="0" w:after="283"/>
              <w:rPr/>
            </w:pPr>
            <w:r>
              <w:rPr/>
              <w:t> </w:t>
            </w:r>
          </w:p>
        </w:tc>
        <w:tc>
          <w:tcPr>
            <w:tcW w:w="1445" w:type="dxa"/>
            <w:gridSpan w:val="4"/>
            <w:tcBorders>
              <w:right w:val="single" w:sz="6" w:space="0" w:color="000000"/>
            </w:tcBorders>
            <w:shd w:fill="auto" w:val="clear"/>
            <w:tcMar>
              <w:right w:w="28" w:type="dxa"/>
            </w:tcMar>
            <w:vAlign w:val="center"/>
          </w:tcPr>
          <w:p>
            <w:pPr>
              <w:pStyle w:val="TableContents"/>
              <w:spacing w:before="0" w:after="283"/>
              <w:rPr/>
            </w:pPr>
            <w:r>
              <w:rPr/>
              <w:t> </w:t>
            </w:r>
          </w:p>
        </w:tc>
        <w:tc>
          <w:tcPr>
            <w:tcW w:w="1715" w:type="dxa"/>
            <w:gridSpan w:val="4"/>
            <w:tcBorders>
              <w:right w:val="single" w:sz="6" w:space="0" w:color="000000"/>
            </w:tcBorders>
            <w:shd w:fill="auto" w:val="clear"/>
            <w:tcMar>
              <w:right w:w="28" w:type="dxa"/>
            </w:tcMar>
            <w:vAlign w:val="center"/>
          </w:tcPr>
          <w:p>
            <w:pPr>
              <w:pStyle w:val="TableContents"/>
              <w:spacing w:before="0" w:after="283"/>
              <w:rPr/>
            </w:pPr>
            <w:r>
              <w:rPr/>
              <w:t> </w:t>
            </w:r>
          </w:p>
        </w:tc>
      </w:tr>
      <w:tr>
        <w:trPr/>
        <w:tc>
          <w:tcPr>
            <w:tcW w:w="4025" w:type="dxa"/>
            <w:tcBorders>
              <w:left w:val="single" w:sz="6" w:space="0" w:color="000000"/>
              <w:bottom w:val="single" w:sz="6" w:space="0" w:color="000000"/>
              <w:right w:val="single" w:sz="6" w:space="0" w:color="000000"/>
            </w:tcBorders>
            <w:shd w:fill="auto" w:val="clear"/>
            <w:tcMar>
              <w:left w:w="160" w:type="dxa"/>
              <w:bottom w:w="28" w:type="dxa"/>
              <w:right w:w="28" w:type="dxa"/>
            </w:tcMar>
            <w:vAlign w:val="center"/>
          </w:tcPr>
          <w:p>
            <w:pPr>
              <w:pStyle w:val="TableContents"/>
              <w:spacing w:before="0" w:after="0"/>
              <w:rPr>
                <w:rFonts w:ascii="ARIAL" w:hAnsi="ARIAL"/>
                <w:sz w:val="20"/>
              </w:rPr>
            </w:pPr>
            <w:r>
              <w:rPr>
                <w:rFonts w:ascii="ARIAL" w:hAnsi="ARIAL"/>
                <w:sz w:val="20"/>
              </w:rPr>
              <w:t>Regional President (Medley)</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80" w:type="dxa"/>
            <w:tcBorders>
              <w:bottom w:val="single" w:sz="6" w:space="0" w:color="000000"/>
            </w:tcBorders>
            <w:shd w:fill="auto" w:val="clear"/>
            <w:tcMar>
              <w:bottom w:w="28" w:type="dxa"/>
            </w:tcMar>
            <w:vAlign w:val="center"/>
          </w:tcPr>
          <w:p>
            <w:pPr>
              <w:pStyle w:val="TableContents"/>
              <w:spacing w:before="0" w:after="283"/>
              <w:rPr/>
            </w:pPr>
            <w:r>
              <w:rPr/>
              <w:t> </w:t>
            </w:r>
          </w:p>
        </w:tc>
        <w:tc>
          <w:tcPr>
            <w:tcW w:w="1080" w:type="dxa"/>
            <w:tcBorders>
              <w:bottom w:val="single" w:sz="6" w:space="0" w:color="000000"/>
            </w:tcBorders>
            <w:shd w:fill="auto" w:val="clear"/>
            <w:tcMar>
              <w:bottom w:w="28" w:type="dxa"/>
            </w:tcMar>
            <w:vAlign w:val="center"/>
          </w:tcPr>
          <w:p>
            <w:pPr>
              <w:pStyle w:val="TableContents"/>
              <w:spacing w:before="0" w:after="283"/>
              <w:jc w:val="right"/>
              <w:rPr/>
            </w:pPr>
            <w:r>
              <w:rPr/>
              <w:t>25,000</w:t>
            </w:r>
          </w:p>
        </w:tc>
        <w:tc>
          <w:tcPr>
            <w:tcW w:w="60" w:type="dxa"/>
            <w:tcBorders>
              <w:bottom w:val="single" w:sz="6" w:space="0" w:color="000000"/>
              <w:right w:val="single" w:sz="6" w:space="0" w:color="000000"/>
            </w:tcBorders>
            <w:shd w:fill="auto" w:val="clear"/>
            <w:tcMar>
              <w:bottom w:w="28" w:type="dxa"/>
              <w:right w:w="28" w:type="dxa"/>
            </w:tcMar>
            <w:vAlign w:val="center"/>
          </w:tcPr>
          <w:p>
            <w:pPr>
              <w:pStyle w:val="TableContents"/>
              <w:spacing w:before="0" w:after="283"/>
              <w:rPr/>
            </w:pPr>
            <w:r>
              <w:rPr/>
              <w:t> </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92" w:type="dxa"/>
            <w:tcBorders>
              <w:bottom w:val="single" w:sz="6" w:space="0" w:color="000000"/>
            </w:tcBorders>
            <w:shd w:fill="auto" w:val="clear"/>
            <w:tcMar>
              <w:bottom w:w="28" w:type="dxa"/>
            </w:tcMar>
            <w:vAlign w:val="center"/>
          </w:tcPr>
          <w:p>
            <w:pPr>
              <w:pStyle w:val="TableContents"/>
              <w:spacing w:before="0" w:after="283"/>
              <w:rPr/>
            </w:pPr>
            <w:r>
              <w:rPr/>
              <w:t> </w:t>
            </w:r>
          </w:p>
        </w:tc>
        <w:tc>
          <w:tcPr>
            <w:tcW w:w="1233" w:type="dxa"/>
            <w:tcBorders>
              <w:bottom w:val="single" w:sz="6" w:space="0" w:color="000000"/>
            </w:tcBorders>
            <w:shd w:fill="auto" w:val="clear"/>
            <w:tcMar>
              <w:bottom w:w="28" w:type="dxa"/>
            </w:tcMar>
            <w:vAlign w:val="center"/>
          </w:tcPr>
          <w:p>
            <w:pPr>
              <w:pStyle w:val="TableContents"/>
              <w:spacing w:before="0" w:after="283"/>
              <w:jc w:val="right"/>
              <w:rPr/>
            </w:pPr>
            <w:r>
              <w:rPr/>
              <w:t>25,000</w:t>
            </w:r>
          </w:p>
        </w:tc>
        <w:tc>
          <w:tcPr>
            <w:tcW w:w="60" w:type="dxa"/>
            <w:tcBorders>
              <w:bottom w:val="single" w:sz="6" w:space="0" w:color="000000"/>
              <w:right w:val="single" w:sz="6" w:space="0" w:color="000000"/>
            </w:tcBorders>
            <w:shd w:fill="auto" w:val="clear"/>
            <w:tcMar>
              <w:bottom w:w="28" w:type="dxa"/>
              <w:right w:w="28" w:type="dxa"/>
            </w:tcMar>
            <w:vAlign w:val="center"/>
          </w:tcPr>
          <w:p>
            <w:pPr>
              <w:pStyle w:val="TableContents"/>
              <w:spacing w:before="0" w:after="283"/>
              <w:rPr/>
            </w:pPr>
            <w:r>
              <w:rPr/>
              <w:t> </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110" w:type="dxa"/>
            <w:tcBorders>
              <w:bottom w:val="single" w:sz="6" w:space="0" w:color="000000"/>
            </w:tcBorders>
            <w:shd w:fill="auto" w:val="clear"/>
            <w:tcMar>
              <w:bottom w:w="28" w:type="dxa"/>
            </w:tcMar>
            <w:vAlign w:val="center"/>
          </w:tcPr>
          <w:p>
            <w:pPr>
              <w:pStyle w:val="TableContents"/>
              <w:spacing w:before="0" w:after="283"/>
              <w:rPr/>
            </w:pPr>
            <w:r>
              <w:rPr/>
              <w:t> </w:t>
            </w:r>
          </w:p>
        </w:tc>
        <w:tc>
          <w:tcPr>
            <w:tcW w:w="1470" w:type="dxa"/>
            <w:tcBorders>
              <w:bottom w:val="single" w:sz="6" w:space="0" w:color="000000"/>
            </w:tcBorders>
            <w:shd w:fill="auto" w:val="clear"/>
            <w:tcMar>
              <w:bottom w:w="28" w:type="dxa"/>
            </w:tcMar>
            <w:vAlign w:val="center"/>
          </w:tcPr>
          <w:p>
            <w:pPr>
              <w:pStyle w:val="TableContents"/>
              <w:spacing w:before="0" w:after="283"/>
              <w:jc w:val="right"/>
              <w:rPr/>
            </w:pPr>
            <w:r>
              <w:rPr/>
              <w:t>50,000</w:t>
            </w:r>
          </w:p>
        </w:tc>
        <w:tc>
          <w:tcPr>
            <w:tcW w:w="75" w:type="dxa"/>
            <w:tcBorders>
              <w:bottom w:val="single" w:sz="6" w:space="0" w:color="000000"/>
              <w:right w:val="single" w:sz="6" w:space="0" w:color="000000"/>
            </w:tcBorders>
            <w:shd w:fill="auto" w:val="clear"/>
            <w:tcMar>
              <w:bottom w:w="28" w:type="dxa"/>
              <w:right w:w="40" w:type="dxa"/>
            </w:tcMar>
            <w:vAlign w:val="center"/>
          </w:tcPr>
          <w:p>
            <w:pPr>
              <w:pStyle w:val="TableContents"/>
              <w:spacing w:before="0" w:after="283"/>
              <w:rPr/>
            </w:pPr>
            <w:r>
              <w:rPr/>
              <w:t> </w:t>
            </w:r>
          </w:p>
        </w:tc>
      </w:tr>
    </w:tbl>
    <w:p>
      <w:pPr>
        <w:pStyle w:val="TextBody"/>
        <w:spacing w:before="240" w:after="0"/>
        <w:jc w:val="left"/>
        <w:rPr>
          <w:rFonts w:ascii="ARIAL" w:hAnsi="ARIAL"/>
          <w:sz w:val="20"/>
        </w:rPr>
      </w:pPr>
      <w:r>
        <w:rPr>
          <w:rFonts w:ascii="ARIAL" w:hAnsi="ARIAL"/>
          <w:sz w:val="20"/>
        </w:rPr>
        <w:t xml:space="preserve">As previously discussed, the Compensation Committee generally utilizes a share-denominated approach to LTI grants. The Compensation Committee believes that this approach results in directly aligning our executives’ long-term incentive compensation with the interests of our stockholders. For 2022, our CEO received an annual LTI grant that consisted of the same number of shares of performance-based restricted stock, time-based restricted stock and stock options as he was awarded in 2021. Between the LTI grant date in March 2021 and the LTI grant date in March 2022, our stock price improved from $8.81 to $10.18, which resulted in an increase in the grant date fair value of the equity awards made in March 2022 compared to March 2021. Despite this improvement in our stock price, the grant date fair value of the Company’s aggregate target LTI awards to our CEO continued to be below the 25th percentile of our peer group in 2022.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51 </w:t>
      </w:r>
      <w:r>
        <w:br w:type="page"/>
      </w:r>
    </w:p>
    <w:p>
      <w:pPr>
        <w:pStyle w:val="HorizontalLine"/>
        <w:rPr/>
      </w:pPr>
      <w:r>
        <w:rPr/>
      </w:r>
    </w:p>
    <w:p>
      <w:pPr>
        <w:pStyle w:val="TextBody"/>
        <w:spacing w:before="0" w:after="0"/>
        <w:jc w:val="left"/>
        <w:rPr>
          <w:rFonts w:ascii="ARIAL" w:hAnsi="ARIAL"/>
          <w:sz w:val="20"/>
        </w:rPr>
      </w:pPr>
      <w:r>
        <w:rPr>
          <w:rFonts w:ascii="ARIAL" w:hAnsi="ARIAL"/>
          <w:sz w:val="20"/>
        </w:rPr>
        <w:t xml:space="preserve">For 2022, the three-year financial performance targets for the performance-based restricted stock awards granted to all named executive officers included Cumulative Consolidated Adjusted EBITDA Growth and Cumulative Same-Store Net Revenue Growth performance metrics. These were the same three-year financial performance targets used in the 2021 performance-based restricted stock awards. The Compensation Committee believes these metrics emphasize financial growth and align the interest of our named executive officers with the Company’s long-term business strategy. As in 2021, for the Chief Executive Officer, the Chief Financial Officer and the then-Executive Chairman, TSR Percentile Rank was included as an additional three-year financial performance target. The Compensation Committee believes that focusing on the long-term performance of the Company’s stock and tying such metric to our Chief Executive Officer’s, Chief Financial Officer’s and then-Executive Chairman’s long-term incentive compensation aligns the interests of our most senior executives with the interests of our stockholders as the Company executes on its long-range strategic plan. </w:t>
      </w:r>
    </w:p>
    <w:p>
      <w:pPr>
        <w:pStyle w:val="TextBody"/>
        <w:spacing w:before="240" w:after="0"/>
        <w:jc w:val="left"/>
        <w:rPr>
          <w:rFonts w:ascii="ARIAL" w:hAnsi="ARIAL"/>
          <w:sz w:val="20"/>
        </w:rPr>
      </w:pPr>
      <w:r>
        <w:rPr>
          <w:rFonts w:ascii="ARIAL" w:hAnsi="ARIAL"/>
          <w:sz w:val="20"/>
        </w:rPr>
        <w:t xml:space="preserve">The 2022 LTI awards to our named executive officers are further illustrated in the following table: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974"/>
        <w:gridCol w:w="60"/>
        <w:gridCol w:w="2632"/>
        <w:gridCol w:w="60"/>
        <w:gridCol w:w="3477"/>
        <w:gridCol w:w="60"/>
        <w:gridCol w:w="2942"/>
      </w:tblGrid>
      <w:tr>
        <w:trPr/>
        <w:tc>
          <w:tcPr>
            <w:tcW w:w="97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47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942" w:type="dxa"/>
            <w:tcBorders/>
            <w:shd w:fill="auto" w:val="clear"/>
            <w:vAlign w:val="center"/>
          </w:tcPr>
          <w:p>
            <w:pPr>
              <w:pStyle w:val="TableContents"/>
              <w:spacing w:before="0" w:after="283"/>
              <w:rPr>
                <w:sz w:val="4"/>
                <w:szCs w:val="4"/>
              </w:rPr>
            </w:pPr>
            <w:r>
              <w:rPr>
                <w:sz w:val="4"/>
                <w:szCs w:val="4"/>
              </w:rPr>
            </w:r>
          </w:p>
        </w:tc>
      </w:tr>
      <w:tr>
        <w:trPr/>
        <w:tc>
          <w:tcPr>
            <w:tcW w:w="974" w:type="dxa"/>
            <w:tcBorders/>
            <w:shd w:fill="auto" w:val="clear"/>
            <w:vAlign w:val="center"/>
          </w:tcPr>
          <w:p>
            <w:pPr>
              <w:pStyle w:val="TableContents"/>
              <w:spacing w:before="0" w:after="283"/>
              <w:rPr/>
            </w:pPr>
            <w:r>
              <w:rPr/>
              <w:t> </w:t>
            </w:r>
          </w:p>
        </w:tc>
        <w:tc>
          <w:tcPr>
            <w:tcW w:w="60" w:type="dxa"/>
            <w:tcBorders/>
            <w:shd w:fill="D8D8D8" w:val="clear"/>
            <w:vAlign w:val="center"/>
          </w:tcPr>
          <w:p>
            <w:pPr>
              <w:pStyle w:val="TableContents"/>
              <w:spacing w:before="0" w:after="283"/>
              <w:rPr/>
            </w:pPr>
            <w:r>
              <w:rPr/>
              <w:t> </w:t>
            </w:r>
          </w:p>
        </w:tc>
        <w:tc>
          <w:tcPr>
            <w:tcW w:w="2632" w:type="dxa"/>
            <w:tcBorders>
              <w:bottom w:val="single" w:sz="2" w:space="0" w:color="000000"/>
            </w:tcBorders>
            <w:shd w:fill="D8D8D8" w:val="clear"/>
            <w:tcMar>
              <w:bottom w:w="28" w:type="dxa"/>
            </w:tcMar>
            <w:vAlign w:val="center"/>
          </w:tcPr>
          <w:p>
            <w:pPr>
              <w:pStyle w:val="TableContents"/>
              <w:spacing w:before="0" w:after="20"/>
              <w:rPr>
                <w:rFonts w:ascii="ARIAL" w:hAnsi="ARIAL"/>
                <w:b/>
                <w:sz w:val="16"/>
              </w:rPr>
            </w:pPr>
            <w:r>
              <w:rPr>
                <w:rFonts w:ascii="ARIAL" w:hAnsi="ARIAL"/>
                <w:b/>
                <w:sz w:val="16"/>
              </w:rPr>
              <w:t>Time-based Restricted Stock</w:t>
            </w:r>
          </w:p>
        </w:tc>
        <w:tc>
          <w:tcPr>
            <w:tcW w:w="60" w:type="dxa"/>
            <w:tcBorders/>
            <w:shd w:fill="auto" w:val="clear"/>
            <w:vAlign w:val="center"/>
          </w:tcPr>
          <w:p>
            <w:pPr>
              <w:pStyle w:val="TableContents"/>
              <w:spacing w:before="0" w:after="283"/>
              <w:rPr/>
            </w:pPr>
            <w:r>
              <w:rPr/>
              <w:t> </w:t>
            </w:r>
          </w:p>
        </w:tc>
        <w:tc>
          <w:tcPr>
            <w:tcW w:w="3477" w:type="dxa"/>
            <w:tcBorders>
              <w:bottom w:val="single" w:sz="2" w:space="0" w:color="000000"/>
            </w:tcBorders>
            <w:shd w:fill="auto" w:val="clear"/>
            <w:tcMar>
              <w:bottom w:w="28" w:type="dxa"/>
            </w:tcMar>
            <w:vAlign w:val="center"/>
          </w:tcPr>
          <w:p>
            <w:pPr>
              <w:pStyle w:val="TableContents"/>
              <w:spacing w:before="0" w:after="20"/>
              <w:rPr>
                <w:rFonts w:ascii="ARIAL" w:hAnsi="ARIAL"/>
                <w:b/>
                <w:sz w:val="16"/>
              </w:rPr>
            </w:pPr>
            <w:r>
              <w:rPr>
                <w:rFonts w:ascii="ARIAL" w:hAnsi="ARIAL"/>
                <w:b/>
                <w:sz w:val="16"/>
              </w:rPr>
              <w:t>Performance-based Restricted Stock</w:t>
            </w:r>
          </w:p>
        </w:tc>
        <w:tc>
          <w:tcPr>
            <w:tcW w:w="60" w:type="dxa"/>
            <w:tcBorders/>
            <w:shd w:fill="D8D8D8" w:val="clear"/>
            <w:vAlign w:val="center"/>
          </w:tcPr>
          <w:p>
            <w:pPr>
              <w:pStyle w:val="TableContents"/>
              <w:spacing w:before="0" w:after="283"/>
              <w:rPr/>
            </w:pPr>
            <w:r>
              <w:rPr/>
              <w:t> </w:t>
            </w:r>
          </w:p>
        </w:tc>
        <w:tc>
          <w:tcPr>
            <w:tcW w:w="2942" w:type="dxa"/>
            <w:tcBorders>
              <w:bottom w:val="single" w:sz="2" w:space="0" w:color="000000"/>
            </w:tcBorders>
            <w:shd w:fill="D8D8D8" w:val="clear"/>
            <w:tcMar>
              <w:bottom w:w="28" w:type="dxa"/>
            </w:tcMar>
            <w:vAlign w:val="center"/>
          </w:tcPr>
          <w:p>
            <w:pPr>
              <w:pStyle w:val="TableContents"/>
              <w:spacing w:before="0" w:after="20"/>
              <w:rPr>
                <w:rFonts w:ascii="ARIAL" w:hAnsi="ARIAL"/>
                <w:b/>
                <w:sz w:val="16"/>
              </w:rPr>
            </w:pPr>
            <w:r>
              <w:rPr>
                <w:rFonts w:ascii="ARIAL" w:hAnsi="ARIAL"/>
                <w:b/>
                <w:sz w:val="16"/>
              </w:rPr>
              <w:t>Non-Qualified Stock Options</w:t>
            </w:r>
          </w:p>
        </w:tc>
      </w:tr>
      <w:tr>
        <w:trPr/>
        <w:tc>
          <w:tcPr>
            <w:tcW w:w="974" w:type="dxa"/>
            <w:tcBorders>
              <w:bottom w:val="single" w:sz="6" w:space="0" w:color="666666"/>
            </w:tcBorders>
            <w:shd w:fill="auto" w:val="clear"/>
            <w:tcMar>
              <w:bottom w:w="28" w:type="dxa"/>
            </w:tcMar>
            <w:vAlign w:val="center"/>
          </w:tcPr>
          <w:p>
            <w:pPr>
              <w:pStyle w:val="TableContents"/>
              <w:spacing w:before="0" w:after="0"/>
              <w:rPr>
                <w:rFonts w:ascii="ARIAL" w:hAnsi="ARIAL"/>
                <w:sz w:val="18"/>
              </w:rPr>
            </w:pPr>
            <w:r>
              <w:rPr>
                <w:rFonts w:ascii="ARIAL" w:hAnsi="ARIAL"/>
                <w:sz w:val="18"/>
              </w:rPr>
              <w:t>Weighting</w:t>
            </w:r>
          </w:p>
        </w:tc>
        <w:tc>
          <w:tcPr>
            <w:tcW w:w="60" w:type="dxa"/>
            <w:tcBorders>
              <w:bottom w:val="single" w:sz="6" w:space="0" w:color="666666"/>
            </w:tcBorders>
            <w:shd w:fill="D8D8D8" w:val="clear"/>
            <w:tcMar>
              <w:bottom w:w="28" w:type="dxa"/>
            </w:tcMar>
            <w:vAlign w:val="center"/>
          </w:tcPr>
          <w:p>
            <w:pPr>
              <w:pStyle w:val="TableContents"/>
              <w:spacing w:before="0" w:after="283"/>
              <w:rPr/>
            </w:pPr>
            <w:r>
              <w:rPr/>
              <w:t> </w:t>
            </w:r>
          </w:p>
        </w:tc>
        <w:tc>
          <w:tcPr>
            <w:tcW w:w="2632" w:type="dxa"/>
            <w:tcBorders>
              <w:bottom w:val="single" w:sz="6" w:space="0" w:color="666666"/>
            </w:tcBorders>
            <w:shd w:fill="D8D8D8" w:val="clear"/>
            <w:tcMar>
              <w:bottom w:w="28" w:type="dxa"/>
            </w:tcMar>
            <w:vAlign w:val="center"/>
          </w:tcPr>
          <w:p>
            <w:pPr>
              <w:pStyle w:val="TableContents"/>
              <w:spacing w:before="0" w:after="283"/>
              <w:rPr/>
            </w:pPr>
            <w:r>
              <w:rPr/>
              <w:t>25%</w:t>
            </w:r>
          </w:p>
        </w:tc>
        <w:tc>
          <w:tcPr>
            <w:tcW w:w="60" w:type="dxa"/>
            <w:tcBorders>
              <w:bottom w:val="single" w:sz="6" w:space="0" w:color="666666"/>
            </w:tcBorders>
            <w:shd w:fill="auto" w:val="clear"/>
            <w:tcMar>
              <w:bottom w:w="28" w:type="dxa"/>
            </w:tcMar>
            <w:vAlign w:val="center"/>
          </w:tcPr>
          <w:p>
            <w:pPr>
              <w:pStyle w:val="TableContents"/>
              <w:spacing w:before="0" w:after="283"/>
              <w:rPr/>
            </w:pPr>
            <w:r>
              <w:rPr/>
              <w:t> </w:t>
            </w:r>
          </w:p>
        </w:tc>
        <w:tc>
          <w:tcPr>
            <w:tcW w:w="3477" w:type="dxa"/>
            <w:tcBorders>
              <w:bottom w:val="single" w:sz="6" w:space="0" w:color="666666"/>
            </w:tcBorders>
            <w:shd w:fill="auto" w:val="clear"/>
            <w:tcMar>
              <w:bottom w:w="28" w:type="dxa"/>
            </w:tcMar>
            <w:vAlign w:val="center"/>
          </w:tcPr>
          <w:p>
            <w:pPr>
              <w:pStyle w:val="TableContents"/>
              <w:spacing w:before="0" w:after="283"/>
              <w:rPr/>
            </w:pPr>
            <w:r>
              <w:rPr/>
              <w:t>50%</w:t>
            </w:r>
          </w:p>
        </w:tc>
        <w:tc>
          <w:tcPr>
            <w:tcW w:w="60" w:type="dxa"/>
            <w:tcBorders>
              <w:bottom w:val="single" w:sz="6" w:space="0" w:color="666666"/>
            </w:tcBorders>
            <w:shd w:fill="D8D8D8" w:val="clear"/>
            <w:tcMar>
              <w:bottom w:w="28" w:type="dxa"/>
            </w:tcMar>
            <w:vAlign w:val="center"/>
          </w:tcPr>
          <w:p>
            <w:pPr>
              <w:pStyle w:val="TableContents"/>
              <w:spacing w:before="0" w:after="283"/>
              <w:rPr/>
            </w:pPr>
            <w:r>
              <w:rPr/>
              <w:t> </w:t>
            </w:r>
          </w:p>
        </w:tc>
        <w:tc>
          <w:tcPr>
            <w:tcW w:w="2942" w:type="dxa"/>
            <w:tcBorders>
              <w:bottom w:val="single" w:sz="6" w:space="0" w:color="666666"/>
            </w:tcBorders>
            <w:shd w:fill="D8D8D8" w:val="clear"/>
            <w:tcMar>
              <w:bottom w:w="28" w:type="dxa"/>
            </w:tcMar>
            <w:vAlign w:val="center"/>
          </w:tcPr>
          <w:p>
            <w:pPr>
              <w:pStyle w:val="TableContents"/>
              <w:spacing w:before="0" w:after="283"/>
              <w:rPr/>
            </w:pPr>
            <w:r>
              <w:rPr/>
              <w:t>25%</w:t>
            </w:r>
          </w:p>
        </w:tc>
      </w:tr>
      <w:tr>
        <w:trPr/>
        <w:tc>
          <w:tcPr>
            <w:tcW w:w="974" w:type="dxa"/>
            <w:tcBorders>
              <w:bottom w:val="single" w:sz="6" w:space="0" w:color="666666"/>
            </w:tcBorders>
            <w:shd w:fill="auto" w:val="clear"/>
            <w:tcMar>
              <w:bottom w:w="28" w:type="dxa"/>
            </w:tcMar>
            <w:vAlign w:val="center"/>
          </w:tcPr>
          <w:p>
            <w:pPr>
              <w:pStyle w:val="TableContents"/>
              <w:spacing w:before="0" w:after="0"/>
              <w:rPr>
                <w:rFonts w:ascii="ARIAL" w:hAnsi="ARIAL"/>
                <w:sz w:val="18"/>
              </w:rPr>
            </w:pPr>
            <w:r>
              <w:rPr>
                <w:rFonts w:ascii="ARIAL" w:hAnsi="ARIAL"/>
                <w:sz w:val="18"/>
              </w:rPr>
              <w:t>Objectives</w:t>
            </w:r>
          </w:p>
        </w:tc>
        <w:tc>
          <w:tcPr>
            <w:tcW w:w="60" w:type="dxa"/>
            <w:tcBorders>
              <w:bottom w:val="single" w:sz="6" w:space="0" w:color="666666"/>
            </w:tcBorders>
            <w:shd w:fill="D8D8D8" w:val="clear"/>
            <w:tcMar>
              <w:bottom w:w="28" w:type="dxa"/>
            </w:tcMar>
            <w:vAlign w:val="center"/>
          </w:tcPr>
          <w:p>
            <w:pPr>
              <w:pStyle w:val="TableContents"/>
              <w:spacing w:before="0" w:after="283"/>
              <w:rPr/>
            </w:pPr>
            <w:r>
              <w:rPr/>
              <w:t> </w:t>
            </w:r>
          </w:p>
        </w:tc>
        <w:tc>
          <w:tcPr>
            <w:tcW w:w="2632" w:type="dxa"/>
            <w:tcBorders>
              <w:bottom w:val="single" w:sz="6" w:space="0" w:color="666666"/>
            </w:tcBorders>
            <w:shd w:fill="D8D8D8" w:val="clear"/>
            <w:tcMar>
              <w:bottom w:w="28" w:type="dxa"/>
            </w:tcMar>
            <w:vAlign w:val="center"/>
          </w:tcPr>
          <w:p>
            <w:pPr>
              <w:pStyle w:val="TableContents"/>
              <w:spacing w:before="0" w:after="0"/>
              <w:rPr/>
            </w:pPr>
            <w:r>
              <w:rPr/>
              <w:t>•  </w:t>
            </w:r>
            <w:r>
              <w:rPr>
                <w:rFonts w:ascii="ARIAL" w:hAnsi="ARIAL"/>
                <w:sz w:val="18"/>
              </w:rPr>
              <w:t>Drive behaviors to create value for stockholders by linking executive compensation to stock price performance</w:t>
            </w:r>
          </w:p>
          <w:p>
            <w:pPr>
              <w:pStyle w:val="TableContents"/>
              <w:spacing w:before="0" w:after="0"/>
              <w:rPr/>
            </w:pPr>
            <w:r>
              <w:rPr/>
              <w:t>•  </w:t>
            </w:r>
            <w:r>
              <w:rPr>
                <w:rFonts w:ascii="ARIAL" w:hAnsi="ARIAL"/>
                <w:sz w:val="18"/>
              </w:rPr>
              <w:t>Encourage retention</w:t>
            </w:r>
          </w:p>
          <w:p>
            <w:pPr>
              <w:pStyle w:val="TableContents"/>
              <w:spacing w:before="0" w:after="20"/>
              <w:rPr/>
            </w:pPr>
            <w:r>
              <w:rPr/>
              <w:t>•  </w:t>
            </w:r>
            <w:r>
              <w:rPr>
                <w:rFonts w:ascii="ARIAL" w:hAnsi="ARIAL"/>
                <w:sz w:val="18"/>
              </w:rPr>
              <w:t>Result in actual share ownership (thereby supporting the Company’s equity ownership guidelines)</w:t>
            </w:r>
          </w:p>
        </w:tc>
        <w:tc>
          <w:tcPr>
            <w:tcW w:w="60" w:type="dxa"/>
            <w:tcBorders>
              <w:bottom w:val="single" w:sz="6" w:space="0" w:color="666666"/>
            </w:tcBorders>
            <w:shd w:fill="auto" w:val="clear"/>
            <w:tcMar>
              <w:bottom w:w="28" w:type="dxa"/>
            </w:tcMar>
            <w:vAlign w:val="center"/>
          </w:tcPr>
          <w:p>
            <w:pPr>
              <w:pStyle w:val="TableContents"/>
              <w:spacing w:before="0" w:after="283"/>
              <w:rPr/>
            </w:pPr>
            <w:r>
              <w:rPr/>
              <w:t> </w:t>
            </w:r>
          </w:p>
        </w:tc>
        <w:tc>
          <w:tcPr>
            <w:tcW w:w="3477" w:type="dxa"/>
            <w:tcBorders>
              <w:bottom w:val="single" w:sz="6" w:space="0" w:color="666666"/>
            </w:tcBorders>
            <w:shd w:fill="auto" w:val="clear"/>
            <w:tcMar>
              <w:bottom w:w="28" w:type="dxa"/>
            </w:tcMar>
            <w:vAlign w:val="center"/>
          </w:tcPr>
          <w:p>
            <w:pPr>
              <w:pStyle w:val="TableContents"/>
              <w:spacing w:before="0" w:after="0"/>
              <w:rPr/>
            </w:pPr>
            <w:r>
              <w:rPr/>
              <w:t>•  </w:t>
            </w:r>
            <w:r>
              <w:rPr>
                <w:rFonts w:ascii="ARIAL" w:hAnsi="ARIAL"/>
                <w:sz w:val="18"/>
              </w:rPr>
              <w:t>Align executives’ interests with the interests of stockholders</w:t>
            </w:r>
          </w:p>
          <w:p>
            <w:pPr>
              <w:pStyle w:val="TableContents"/>
              <w:spacing w:before="0" w:after="0"/>
              <w:rPr/>
            </w:pPr>
            <w:r>
              <w:rPr/>
              <w:t>•  </w:t>
            </w:r>
            <w:r>
              <w:rPr>
                <w:rFonts w:ascii="ARIAL" w:hAnsi="ARIAL"/>
                <w:sz w:val="18"/>
              </w:rPr>
              <w:t>Reinforce the critical objective of building stockholder value over the long term</w:t>
            </w:r>
          </w:p>
          <w:p>
            <w:pPr>
              <w:pStyle w:val="TableContents"/>
              <w:spacing w:before="0" w:after="20"/>
              <w:rPr/>
            </w:pPr>
            <w:r>
              <w:rPr/>
              <w:t>•  </w:t>
            </w:r>
            <w:r>
              <w:rPr>
                <w:rFonts w:ascii="ARIAL" w:hAnsi="ARIAL"/>
                <w:sz w:val="18"/>
              </w:rPr>
              <w:t>Focus management attention upon the execution of our long-term business strategy</w:t>
            </w:r>
          </w:p>
        </w:tc>
        <w:tc>
          <w:tcPr>
            <w:tcW w:w="60" w:type="dxa"/>
            <w:tcBorders>
              <w:bottom w:val="single" w:sz="6" w:space="0" w:color="666666"/>
            </w:tcBorders>
            <w:shd w:fill="D8D8D8" w:val="clear"/>
            <w:tcMar>
              <w:bottom w:w="28" w:type="dxa"/>
            </w:tcMar>
            <w:vAlign w:val="center"/>
          </w:tcPr>
          <w:p>
            <w:pPr>
              <w:pStyle w:val="TableContents"/>
              <w:spacing w:before="0" w:after="283"/>
              <w:rPr/>
            </w:pPr>
            <w:r>
              <w:rPr/>
              <w:t> </w:t>
            </w:r>
          </w:p>
        </w:tc>
        <w:tc>
          <w:tcPr>
            <w:tcW w:w="2942" w:type="dxa"/>
            <w:tcBorders>
              <w:bottom w:val="single" w:sz="6" w:space="0" w:color="666666"/>
            </w:tcBorders>
            <w:shd w:fill="D8D8D8" w:val="clear"/>
            <w:tcMar>
              <w:bottom w:w="28" w:type="dxa"/>
            </w:tcMar>
            <w:vAlign w:val="center"/>
          </w:tcPr>
          <w:p>
            <w:pPr>
              <w:pStyle w:val="TableContents"/>
              <w:spacing w:before="0" w:after="0"/>
              <w:rPr/>
            </w:pPr>
            <w:r>
              <w:rPr/>
              <w:t>•  </w:t>
            </w:r>
            <w:r>
              <w:rPr>
                <w:rFonts w:ascii="ARIAL" w:hAnsi="ARIAL"/>
                <w:sz w:val="18"/>
              </w:rPr>
              <w:t>Provide a direct link between executive officer compensation and the potential future increases in stock value delivered to stockholders</w:t>
            </w:r>
          </w:p>
          <w:p>
            <w:pPr>
              <w:pStyle w:val="TableContents"/>
              <w:spacing w:before="0" w:after="20"/>
              <w:rPr/>
            </w:pPr>
            <w:r>
              <w:rPr/>
              <w:t>•  </w:t>
            </w:r>
            <w:r>
              <w:rPr>
                <w:rFonts w:ascii="ARIAL" w:hAnsi="ARIAL"/>
                <w:sz w:val="18"/>
              </w:rPr>
              <w:t>Inherently performance-based, as option holders only realize benefits if the value of our stock increases following the grant date</w:t>
            </w:r>
          </w:p>
        </w:tc>
      </w:tr>
      <w:tr>
        <w:trPr/>
        <w:tc>
          <w:tcPr>
            <w:tcW w:w="974" w:type="dxa"/>
            <w:tcBorders>
              <w:bottom w:val="single" w:sz="6" w:space="0" w:color="666666"/>
            </w:tcBorders>
            <w:shd w:fill="auto" w:val="clear"/>
            <w:tcMar>
              <w:bottom w:w="28" w:type="dxa"/>
            </w:tcMar>
            <w:vAlign w:val="center"/>
          </w:tcPr>
          <w:p>
            <w:pPr>
              <w:pStyle w:val="TableContents"/>
              <w:spacing w:before="0" w:after="283"/>
              <w:rPr>
                <w:sz w:val="18"/>
              </w:rPr>
            </w:pPr>
            <w:r>
              <w:rPr>
                <w:sz w:val="18"/>
              </w:rPr>
              <w:t>Performance Conditions</w:t>
            </w:r>
          </w:p>
        </w:tc>
        <w:tc>
          <w:tcPr>
            <w:tcW w:w="60" w:type="dxa"/>
            <w:tcBorders>
              <w:bottom w:val="single" w:sz="6" w:space="0" w:color="666666"/>
            </w:tcBorders>
            <w:shd w:fill="D8D8D8" w:val="clear"/>
            <w:tcMar>
              <w:bottom w:w="28" w:type="dxa"/>
            </w:tcMar>
            <w:vAlign w:val="center"/>
          </w:tcPr>
          <w:p>
            <w:pPr>
              <w:pStyle w:val="TableContents"/>
              <w:spacing w:before="0" w:after="283"/>
              <w:rPr/>
            </w:pPr>
            <w:r>
              <w:rPr/>
              <w:t> </w:t>
            </w:r>
          </w:p>
        </w:tc>
        <w:tc>
          <w:tcPr>
            <w:tcW w:w="2632" w:type="dxa"/>
            <w:tcBorders>
              <w:bottom w:val="single" w:sz="6" w:space="0" w:color="666666"/>
            </w:tcBorders>
            <w:shd w:fill="D8D8D8" w:val="clear"/>
            <w:tcMar>
              <w:bottom w:w="28" w:type="dxa"/>
            </w:tcMar>
            <w:vAlign w:val="center"/>
          </w:tcPr>
          <w:p>
            <w:pPr>
              <w:pStyle w:val="TableContents"/>
              <w:spacing w:before="0" w:after="283"/>
              <w:rPr>
                <w:sz w:val="18"/>
              </w:rPr>
            </w:pPr>
            <w:r>
              <w:rPr>
                <w:sz w:val="18"/>
              </w:rPr>
              <w:t>N/A</w:t>
            </w:r>
          </w:p>
        </w:tc>
        <w:tc>
          <w:tcPr>
            <w:tcW w:w="60" w:type="dxa"/>
            <w:tcBorders>
              <w:bottom w:val="single" w:sz="6" w:space="0" w:color="666666"/>
            </w:tcBorders>
            <w:shd w:fill="auto" w:val="clear"/>
            <w:tcMar>
              <w:bottom w:w="28" w:type="dxa"/>
            </w:tcMar>
            <w:vAlign w:val="center"/>
          </w:tcPr>
          <w:p>
            <w:pPr>
              <w:pStyle w:val="TableContents"/>
              <w:spacing w:before="0" w:after="283"/>
              <w:rPr/>
            </w:pPr>
            <w:r>
              <w:rPr/>
              <w:t> </w:t>
            </w:r>
          </w:p>
        </w:tc>
        <w:tc>
          <w:tcPr>
            <w:tcW w:w="3477" w:type="dxa"/>
            <w:tcBorders>
              <w:bottom w:val="single" w:sz="6" w:space="0" w:color="666666"/>
            </w:tcBorders>
            <w:shd w:fill="auto" w:val="clear"/>
            <w:tcMar>
              <w:bottom w:w="28" w:type="dxa"/>
            </w:tcMar>
            <w:vAlign w:val="center"/>
          </w:tcPr>
          <w:p>
            <w:pPr>
              <w:pStyle w:val="TableContents"/>
              <w:spacing w:before="0" w:after="0"/>
              <w:rPr>
                <w:rFonts w:ascii="ARIAL" w:hAnsi="ARIAL"/>
                <w:sz w:val="18"/>
              </w:rPr>
            </w:pPr>
            <w:r>
              <w:rPr>
                <w:rFonts w:ascii="ARIAL" w:hAnsi="ARIAL"/>
                <w:sz w:val="18"/>
              </w:rPr>
              <w:t>For the CEO, CFO and then-Executive Chairman only:</w:t>
            </w:r>
          </w:p>
          <w:p>
            <w:pPr>
              <w:pStyle w:val="TableContents"/>
              <w:spacing w:before="0" w:after="0"/>
              <w:rPr/>
            </w:pPr>
            <w:r>
              <w:rPr/>
              <w:t>•  </w:t>
            </w:r>
            <w:r>
              <w:rPr>
                <w:rFonts w:ascii="ARIAL" w:hAnsi="ARIAL"/>
                <w:sz w:val="18"/>
              </w:rPr>
              <w:t>40%: Cumulative Consolidated Adjusted EBITDA Growth (as defined below)</w:t>
            </w:r>
          </w:p>
          <w:p>
            <w:pPr>
              <w:pStyle w:val="TableContents"/>
              <w:spacing w:before="0" w:after="0"/>
              <w:rPr/>
            </w:pPr>
            <w:r>
              <w:rPr/>
              <w:t>•  </w:t>
            </w:r>
            <w:r>
              <w:rPr>
                <w:rFonts w:ascii="ARIAL" w:hAnsi="ARIAL"/>
                <w:sz w:val="18"/>
              </w:rPr>
              <w:t>40%: Cumulative Same-Store Net Revenue Growth (as defined below)</w:t>
            </w:r>
          </w:p>
          <w:p>
            <w:pPr>
              <w:pStyle w:val="TableContents"/>
              <w:spacing w:before="0" w:after="0"/>
              <w:rPr/>
            </w:pPr>
            <w:r>
              <w:rPr/>
              <w:t>•  </w:t>
            </w:r>
            <w:r>
              <w:rPr>
                <w:rFonts w:ascii="ARIAL" w:hAnsi="ARIAL"/>
                <w:sz w:val="18"/>
              </w:rPr>
              <w:t>20% TSR Percentile Rank</w:t>
            </w:r>
          </w:p>
          <w:p>
            <w:pPr>
              <w:pStyle w:val="TableContents"/>
              <w:spacing w:before="0" w:after="0"/>
              <w:rPr/>
            </w:pPr>
            <w:r>
              <w:rPr/>
              <w:t> </w:t>
            </w:r>
          </w:p>
          <w:p>
            <w:pPr>
              <w:pStyle w:val="TableContents"/>
              <w:spacing w:before="0" w:after="0"/>
              <w:rPr>
                <w:rFonts w:ascii="ARIAL" w:hAnsi="ARIAL"/>
                <w:sz w:val="16"/>
              </w:rPr>
            </w:pPr>
            <w:r>
              <w:rPr>
                <w:rFonts w:ascii="ARIAL" w:hAnsi="ARIAL"/>
                <w:sz w:val="16"/>
              </w:rPr>
              <w:t>For all other named executive officers:</w:t>
            </w:r>
          </w:p>
          <w:p>
            <w:pPr>
              <w:pStyle w:val="TableContents"/>
              <w:spacing w:before="0" w:after="0"/>
              <w:rPr/>
            </w:pPr>
            <w:r>
              <w:rPr/>
              <w:t>•  </w:t>
            </w:r>
            <w:r>
              <w:rPr>
                <w:rFonts w:ascii="ARIAL" w:hAnsi="ARIAL"/>
                <w:sz w:val="18"/>
              </w:rPr>
              <w:t>50%: Cumulative Consolidated Adjusted EBITDA Growth (as defined below)</w:t>
            </w:r>
          </w:p>
          <w:p>
            <w:pPr>
              <w:pStyle w:val="TableContents"/>
              <w:spacing w:before="0" w:after="20"/>
              <w:rPr/>
            </w:pPr>
            <w:r>
              <w:rPr/>
              <w:t>•  </w:t>
            </w:r>
            <w:r>
              <w:rPr>
                <w:rFonts w:ascii="ARIAL" w:hAnsi="ARIAL"/>
                <w:sz w:val="18"/>
              </w:rPr>
              <w:t>50%: Cumulative Same-Store Net Revenue Growth (as defined below)</w:t>
            </w:r>
          </w:p>
        </w:tc>
        <w:tc>
          <w:tcPr>
            <w:tcW w:w="60" w:type="dxa"/>
            <w:tcBorders>
              <w:bottom w:val="single" w:sz="6" w:space="0" w:color="666666"/>
            </w:tcBorders>
            <w:shd w:fill="D8D8D8" w:val="clear"/>
            <w:tcMar>
              <w:bottom w:w="28" w:type="dxa"/>
            </w:tcMar>
            <w:vAlign w:val="center"/>
          </w:tcPr>
          <w:p>
            <w:pPr>
              <w:pStyle w:val="TableContents"/>
              <w:spacing w:before="0" w:after="283"/>
              <w:rPr/>
            </w:pPr>
            <w:r>
              <w:rPr/>
              <w:t> </w:t>
            </w:r>
          </w:p>
        </w:tc>
        <w:tc>
          <w:tcPr>
            <w:tcW w:w="2942" w:type="dxa"/>
            <w:tcBorders>
              <w:bottom w:val="single" w:sz="6" w:space="0" w:color="666666"/>
            </w:tcBorders>
            <w:shd w:fill="D8D8D8" w:val="clear"/>
            <w:tcMar>
              <w:bottom w:w="28" w:type="dxa"/>
            </w:tcMar>
            <w:vAlign w:val="center"/>
          </w:tcPr>
          <w:p>
            <w:pPr>
              <w:pStyle w:val="TableContents"/>
              <w:spacing w:before="0" w:after="283"/>
              <w:rPr>
                <w:sz w:val="18"/>
              </w:rPr>
            </w:pPr>
            <w:r>
              <w:rPr>
                <w:sz w:val="18"/>
              </w:rPr>
              <w:t>N/A</w:t>
            </w:r>
          </w:p>
        </w:tc>
      </w:tr>
      <w:tr>
        <w:trPr/>
        <w:tc>
          <w:tcPr>
            <w:tcW w:w="974" w:type="dxa"/>
            <w:tcBorders>
              <w:bottom w:val="single" w:sz="6" w:space="0" w:color="666666"/>
            </w:tcBorders>
            <w:shd w:fill="auto" w:val="clear"/>
            <w:tcMar>
              <w:bottom w:w="28" w:type="dxa"/>
            </w:tcMar>
            <w:vAlign w:val="center"/>
          </w:tcPr>
          <w:p>
            <w:pPr>
              <w:pStyle w:val="TableContents"/>
              <w:spacing w:before="0" w:after="0"/>
              <w:rPr>
                <w:rFonts w:ascii="ARIAL" w:hAnsi="ARIAL"/>
                <w:sz w:val="18"/>
              </w:rPr>
            </w:pPr>
            <w:r>
              <w:rPr>
                <w:rFonts w:ascii="ARIAL" w:hAnsi="ARIAL"/>
                <w:sz w:val="18"/>
              </w:rPr>
              <w:t>Vesting</w:t>
            </w:r>
          </w:p>
        </w:tc>
        <w:tc>
          <w:tcPr>
            <w:tcW w:w="60" w:type="dxa"/>
            <w:tcBorders>
              <w:bottom w:val="single" w:sz="6" w:space="0" w:color="666666"/>
            </w:tcBorders>
            <w:shd w:fill="D8D8D8" w:val="clear"/>
            <w:tcMar>
              <w:bottom w:w="28" w:type="dxa"/>
            </w:tcMar>
            <w:vAlign w:val="center"/>
          </w:tcPr>
          <w:p>
            <w:pPr>
              <w:pStyle w:val="TableContents"/>
              <w:spacing w:before="0" w:after="283"/>
              <w:rPr/>
            </w:pPr>
            <w:r>
              <w:rPr/>
              <w:t> </w:t>
            </w:r>
          </w:p>
        </w:tc>
        <w:tc>
          <w:tcPr>
            <w:tcW w:w="2632" w:type="dxa"/>
            <w:tcBorders>
              <w:bottom w:val="single" w:sz="6" w:space="0" w:color="666666"/>
            </w:tcBorders>
            <w:shd w:fill="D8D8D8" w:val="clear"/>
            <w:tcMar>
              <w:bottom w:w="28" w:type="dxa"/>
            </w:tcMar>
            <w:vAlign w:val="center"/>
          </w:tcPr>
          <w:p>
            <w:pPr>
              <w:pStyle w:val="TableContents"/>
              <w:spacing w:before="0" w:after="283"/>
              <w:rPr/>
            </w:pPr>
            <w:r>
              <w:rPr/>
              <w:t>Vest in three equal installments on the first, second, and third anniversaries of the grant date</w:t>
            </w:r>
          </w:p>
        </w:tc>
        <w:tc>
          <w:tcPr>
            <w:tcW w:w="60" w:type="dxa"/>
            <w:tcBorders>
              <w:bottom w:val="single" w:sz="6" w:space="0" w:color="666666"/>
            </w:tcBorders>
            <w:shd w:fill="auto" w:val="clear"/>
            <w:tcMar>
              <w:bottom w:w="28" w:type="dxa"/>
            </w:tcMar>
            <w:vAlign w:val="center"/>
          </w:tcPr>
          <w:p>
            <w:pPr>
              <w:pStyle w:val="TableContents"/>
              <w:spacing w:before="0" w:after="283"/>
              <w:rPr/>
            </w:pPr>
            <w:r>
              <w:rPr/>
              <w:t> </w:t>
            </w:r>
          </w:p>
        </w:tc>
        <w:tc>
          <w:tcPr>
            <w:tcW w:w="3477" w:type="dxa"/>
            <w:tcBorders>
              <w:bottom w:val="single" w:sz="6" w:space="0" w:color="666666"/>
            </w:tcBorders>
            <w:shd w:fill="auto" w:val="clear"/>
            <w:tcMar>
              <w:bottom w:w="28" w:type="dxa"/>
            </w:tcMar>
            <w:vAlign w:val="center"/>
          </w:tcPr>
          <w:p>
            <w:pPr>
              <w:pStyle w:val="TableContents"/>
              <w:spacing w:before="0" w:after="283"/>
              <w:rPr/>
            </w:pPr>
            <w:r>
              <w:rPr/>
              <w:t>Three-year performance period (January 1, 2022 through December 31, 2024). Cliff vest on third anniversary of grant date following certification of results.</w:t>
            </w:r>
          </w:p>
        </w:tc>
        <w:tc>
          <w:tcPr>
            <w:tcW w:w="60" w:type="dxa"/>
            <w:tcBorders>
              <w:bottom w:val="single" w:sz="6" w:space="0" w:color="666666"/>
            </w:tcBorders>
            <w:shd w:fill="D8D8D8" w:val="clear"/>
            <w:tcMar>
              <w:bottom w:w="28" w:type="dxa"/>
            </w:tcMar>
            <w:vAlign w:val="center"/>
          </w:tcPr>
          <w:p>
            <w:pPr>
              <w:pStyle w:val="TableContents"/>
              <w:spacing w:before="0" w:after="283"/>
              <w:rPr/>
            </w:pPr>
            <w:r>
              <w:rPr/>
              <w:t> </w:t>
            </w:r>
          </w:p>
        </w:tc>
        <w:tc>
          <w:tcPr>
            <w:tcW w:w="2942" w:type="dxa"/>
            <w:tcBorders>
              <w:bottom w:val="single" w:sz="6" w:space="0" w:color="666666"/>
            </w:tcBorders>
            <w:shd w:fill="D8D8D8" w:val="clear"/>
            <w:tcMar>
              <w:bottom w:w="28" w:type="dxa"/>
            </w:tcMar>
            <w:vAlign w:val="center"/>
          </w:tcPr>
          <w:p>
            <w:pPr>
              <w:pStyle w:val="TableContents"/>
              <w:spacing w:before="0" w:after="283"/>
              <w:rPr/>
            </w:pPr>
            <w:r>
              <w:rPr/>
              <w:t>Vest in three equal installments on the first, second, and third anniversaries of the grant date. Expire 10 years after the date of grant</w:t>
            </w:r>
          </w:p>
        </w:tc>
      </w:tr>
      <w:tr>
        <w:trPr/>
        <w:tc>
          <w:tcPr>
            <w:tcW w:w="974" w:type="dxa"/>
            <w:tcBorders>
              <w:bottom w:val="single" w:sz="6" w:space="0" w:color="333333"/>
            </w:tcBorders>
            <w:shd w:fill="auto" w:val="clear"/>
            <w:tcMar>
              <w:bottom w:w="28" w:type="dxa"/>
            </w:tcMar>
            <w:vAlign w:val="center"/>
          </w:tcPr>
          <w:p>
            <w:pPr>
              <w:pStyle w:val="TableContents"/>
              <w:spacing w:before="0" w:after="0"/>
              <w:rPr>
                <w:rFonts w:ascii="ARIAL" w:hAnsi="ARIAL"/>
                <w:sz w:val="18"/>
              </w:rPr>
            </w:pPr>
            <w:r>
              <w:rPr>
                <w:rFonts w:ascii="ARIAL" w:hAnsi="ARIAL"/>
                <w:sz w:val="18"/>
              </w:rPr>
              <w:t>Payout</w:t>
            </w:r>
          </w:p>
        </w:tc>
        <w:tc>
          <w:tcPr>
            <w:tcW w:w="60" w:type="dxa"/>
            <w:tcBorders>
              <w:bottom w:val="single" w:sz="6" w:space="0" w:color="333333"/>
            </w:tcBorders>
            <w:shd w:fill="D8D8D8" w:val="clear"/>
            <w:tcMar>
              <w:bottom w:w="28" w:type="dxa"/>
            </w:tcMar>
            <w:vAlign w:val="center"/>
          </w:tcPr>
          <w:p>
            <w:pPr>
              <w:pStyle w:val="TableContents"/>
              <w:spacing w:before="0" w:after="283"/>
              <w:rPr/>
            </w:pPr>
            <w:r>
              <w:rPr/>
              <w:t> </w:t>
            </w:r>
          </w:p>
        </w:tc>
        <w:tc>
          <w:tcPr>
            <w:tcW w:w="2632" w:type="dxa"/>
            <w:tcBorders>
              <w:bottom w:val="single" w:sz="6" w:space="0" w:color="333333"/>
            </w:tcBorders>
            <w:shd w:fill="D8D8D8" w:val="clear"/>
            <w:tcMar>
              <w:bottom w:w="28" w:type="dxa"/>
            </w:tcMar>
            <w:vAlign w:val="center"/>
          </w:tcPr>
          <w:p>
            <w:pPr>
              <w:pStyle w:val="TableContents"/>
              <w:spacing w:before="0" w:after="283"/>
              <w:rPr/>
            </w:pPr>
            <w:r>
              <w:rPr/>
              <w:t>Participant acquires unrestricted shares of Common Stock upon vesting</w:t>
            </w:r>
          </w:p>
        </w:tc>
        <w:tc>
          <w:tcPr>
            <w:tcW w:w="60" w:type="dxa"/>
            <w:tcBorders>
              <w:bottom w:val="single" w:sz="6" w:space="0" w:color="333333"/>
            </w:tcBorders>
            <w:shd w:fill="auto" w:val="clear"/>
            <w:tcMar>
              <w:bottom w:w="28" w:type="dxa"/>
            </w:tcMar>
            <w:vAlign w:val="center"/>
          </w:tcPr>
          <w:p>
            <w:pPr>
              <w:pStyle w:val="TableContents"/>
              <w:spacing w:before="0" w:after="283"/>
              <w:rPr/>
            </w:pPr>
            <w:r>
              <w:rPr/>
              <w:t> </w:t>
            </w:r>
          </w:p>
        </w:tc>
        <w:tc>
          <w:tcPr>
            <w:tcW w:w="3477" w:type="dxa"/>
            <w:tcBorders>
              <w:bottom w:val="single" w:sz="6" w:space="0" w:color="333333"/>
            </w:tcBorders>
            <w:shd w:fill="auto" w:val="clear"/>
            <w:tcMar>
              <w:bottom w:w="28" w:type="dxa"/>
            </w:tcMar>
            <w:vAlign w:val="center"/>
          </w:tcPr>
          <w:p>
            <w:pPr>
              <w:pStyle w:val="TableContents"/>
              <w:spacing w:before="0" w:after="283"/>
              <w:rPr/>
            </w:pPr>
            <w:r>
              <w:rPr/>
              <w:t>Payment made in unrestricted shares of Common Stock based on actual performance</w:t>
            </w:r>
          </w:p>
        </w:tc>
        <w:tc>
          <w:tcPr>
            <w:tcW w:w="60" w:type="dxa"/>
            <w:tcBorders>
              <w:bottom w:val="single" w:sz="6" w:space="0" w:color="333333"/>
            </w:tcBorders>
            <w:shd w:fill="D8D8D8" w:val="clear"/>
            <w:tcMar>
              <w:bottom w:w="28" w:type="dxa"/>
            </w:tcMar>
            <w:vAlign w:val="center"/>
          </w:tcPr>
          <w:p>
            <w:pPr>
              <w:pStyle w:val="TableContents"/>
              <w:spacing w:before="0" w:after="283"/>
              <w:rPr/>
            </w:pPr>
            <w:r>
              <w:rPr/>
              <w:t> </w:t>
            </w:r>
          </w:p>
        </w:tc>
        <w:tc>
          <w:tcPr>
            <w:tcW w:w="2942" w:type="dxa"/>
            <w:tcBorders>
              <w:bottom w:val="single" w:sz="6" w:space="0" w:color="333333"/>
            </w:tcBorders>
            <w:shd w:fill="D8D8D8" w:val="clear"/>
            <w:tcMar>
              <w:bottom w:w="28" w:type="dxa"/>
            </w:tcMar>
            <w:vAlign w:val="center"/>
          </w:tcPr>
          <w:p>
            <w:pPr>
              <w:pStyle w:val="TableContents"/>
              <w:spacing w:before="0" w:after="283"/>
              <w:rPr/>
            </w:pPr>
            <w:r>
              <w:rPr/>
              <w:t>Upon exercise, participant may acquire Common Stock at the exercise price of $10.18 per share to the extent the share price has increased since the date of grant</w:t>
            </w:r>
          </w:p>
        </w:tc>
      </w:tr>
    </w:tbl>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52 </w:t>
      </w:r>
      <w:r>
        <w:br w:type="page"/>
      </w:r>
    </w:p>
    <w:p>
      <w:pPr>
        <w:pStyle w:val="HorizontalLine"/>
        <w:rPr/>
      </w:pPr>
      <w:r>
        <w:rPr/>
      </w:r>
    </w:p>
    <w:p>
      <w:pPr>
        <w:pStyle w:val="TextBody"/>
        <w:spacing w:before="0" w:after="0"/>
        <w:jc w:val="left"/>
        <w:rPr>
          <w:rFonts w:ascii="ARIAL" w:hAnsi="ARIAL"/>
          <w:sz w:val="20"/>
        </w:rPr>
      </w:pPr>
      <w:r>
        <w:rPr>
          <w:rFonts w:ascii="ARIAL" w:hAnsi="ARIAL"/>
          <w:sz w:val="20"/>
        </w:rPr>
        <w:t xml:space="preserve">The following table illustrates the potential vesting on the third anniversary of the grant date of the portion of the 2022 performance-based restricted stock awards allocated to each performance objective based on various levels of achievement of that performance objective: </w:t>
      </w:r>
    </w:p>
    <w:p>
      <w:pPr>
        <w:pStyle w:val="TextBody"/>
        <w:spacing w:before="0" w:after="0"/>
        <w:jc w:val="left"/>
        <w:rPr/>
      </w:pPr>
      <w:r>
        <w:rPr/>
        <w:t> </w:t>
      </w:r>
    </w:p>
    <w:tbl>
      <w:tblPr>
        <w:tblW w:w="8783" w:type="dxa"/>
        <w:jc w:val="left"/>
        <w:tblInd w:w="0" w:type="dxa"/>
        <w:tblCellMar>
          <w:top w:w="0" w:type="dxa"/>
          <w:left w:w="0" w:type="dxa"/>
          <w:bottom w:w="0" w:type="dxa"/>
          <w:right w:w="0" w:type="dxa"/>
        </w:tblCellMar>
      </w:tblPr>
      <w:tblGrid>
        <w:gridCol w:w="1747"/>
        <w:gridCol w:w="207"/>
        <w:gridCol w:w="2655"/>
        <w:gridCol w:w="60"/>
        <w:gridCol w:w="60"/>
        <w:gridCol w:w="60"/>
        <w:gridCol w:w="2025"/>
        <w:gridCol w:w="73"/>
        <w:gridCol w:w="1896"/>
      </w:tblGrid>
      <w:tr>
        <w:trPr/>
        <w:tc>
          <w:tcPr>
            <w:tcW w:w="174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6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025" w:type="dxa"/>
            <w:tcBorders/>
            <w:shd w:fill="auto" w:val="clear"/>
            <w:vAlign w:val="center"/>
          </w:tcPr>
          <w:p>
            <w:pPr>
              <w:pStyle w:val="TableContents"/>
              <w:spacing w:before="0" w:after="283"/>
              <w:rPr>
                <w:sz w:val="4"/>
                <w:szCs w:val="4"/>
              </w:rPr>
            </w:pPr>
            <w:r>
              <w:rPr>
                <w:sz w:val="4"/>
                <w:szCs w:val="4"/>
              </w:rPr>
            </w:r>
          </w:p>
        </w:tc>
        <w:tc>
          <w:tcPr>
            <w:tcW w:w="73" w:type="dxa"/>
            <w:tcBorders/>
            <w:shd w:fill="auto" w:val="clear"/>
            <w:vAlign w:val="center"/>
          </w:tcPr>
          <w:p>
            <w:pPr>
              <w:pStyle w:val="TableContents"/>
              <w:spacing w:before="0" w:after="283"/>
              <w:rPr>
                <w:sz w:val="4"/>
                <w:szCs w:val="4"/>
              </w:rPr>
            </w:pPr>
            <w:r>
              <w:rPr>
                <w:sz w:val="4"/>
                <w:szCs w:val="4"/>
              </w:rPr>
            </w:r>
          </w:p>
        </w:tc>
        <w:tc>
          <w:tcPr>
            <w:tcW w:w="1896" w:type="dxa"/>
            <w:tcBorders/>
            <w:shd w:fill="auto" w:val="clear"/>
            <w:vAlign w:val="center"/>
          </w:tcPr>
          <w:p>
            <w:pPr>
              <w:pStyle w:val="TableContents"/>
              <w:spacing w:before="0" w:after="283"/>
              <w:rPr>
                <w:sz w:val="4"/>
                <w:szCs w:val="4"/>
              </w:rPr>
            </w:pPr>
            <w:r>
              <w:rPr>
                <w:sz w:val="4"/>
                <w:szCs w:val="4"/>
              </w:rPr>
            </w:r>
          </w:p>
        </w:tc>
      </w:tr>
      <w:tr>
        <w:trPr/>
        <w:tc>
          <w:tcPr>
            <w:tcW w:w="4609" w:type="dxa"/>
            <w:gridSpan w:val="3"/>
            <w:tcBorders>
              <w:top w:val="single" w:sz="6" w:space="0" w:color="000000"/>
              <w:left w:val="single" w:sz="6" w:space="0" w:color="000000"/>
              <w:bottom w:val="single" w:sz="6" w:space="0" w:color="000000"/>
              <w:right w:val="single" w:sz="6" w:space="0" w:color="000000"/>
            </w:tcBorders>
            <w:shd w:fill="auto" w:val="clear"/>
            <w:tcMar>
              <w:top w:w="28" w:type="dxa"/>
              <w:left w:w="160" w:type="dxa"/>
              <w:bottom w:w="28" w:type="dxa"/>
              <w:right w:w="28" w:type="dxa"/>
            </w:tcMar>
            <w:vAlign w:val="center"/>
          </w:tcPr>
          <w:p>
            <w:pPr>
              <w:pStyle w:val="TableContents"/>
              <w:spacing w:before="0" w:after="283"/>
              <w:jc w:val="center"/>
              <w:rPr>
                <w:b/>
              </w:rPr>
            </w:pPr>
            <w:r>
              <w:rPr>
                <w:b/>
              </w:rPr>
              <w:t>Cumulative Consolidated Adjusted EBITDA</w:t>
              <w:br/>
              <w:t>Growth and Cumulative Same-Store Net</w:t>
              <w:br/>
              <w:t>Revenue Growth</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top w:val="single" w:sz="6" w:space="0" w:color="000000"/>
              <w:left w:val="single" w:sz="6" w:space="0" w:color="000000"/>
              <w:bottom w:val="single" w:sz="6" w:space="0" w:color="000000"/>
            </w:tcBorders>
            <w:shd w:fill="auto" w:val="clear"/>
            <w:tcMar>
              <w:top w:w="28" w:type="dxa"/>
              <w:left w:w="28" w:type="dxa"/>
              <w:bottom w:w="28" w:type="dxa"/>
            </w:tcMar>
            <w:vAlign w:val="center"/>
          </w:tcPr>
          <w:p>
            <w:pPr>
              <w:pStyle w:val="TableContents"/>
              <w:spacing w:before="0" w:after="283"/>
              <w:rPr/>
            </w:pPr>
            <w:r>
              <w:rPr/>
              <w:t> </w:t>
            </w:r>
          </w:p>
        </w:tc>
        <w:tc>
          <w:tcPr>
            <w:tcW w:w="3994" w:type="dxa"/>
            <w:gridSpan w:val="3"/>
            <w:tcBorders>
              <w:top w:val="single" w:sz="6" w:space="0" w:color="000000"/>
              <w:bottom w:val="single" w:sz="6" w:space="0" w:color="000000"/>
              <w:right w:val="single" w:sz="6" w:space="0" w:color="000000"/>
            </w:tcBorders>
            <w:shd w:fill="auto" w:val="clear"/>
            <w:tcMar>
              <w:top w:w="28" w:type="dxa"/>
              <w:bottom w:w="28" w:type="dxa"/>
              <w:right w:w="40" w:type="dxa"/>
            </w:tcMar>
            <w:vAlign w:val="center"/>
          </w:tcPr>
          <w:p>
            <w:pPr>
              <w:pStyle w:val="TableContents"/>
              <w:spacing w:before="0" w:after="0"/>
              <w:jc w:val="center"/>
              <w:rPr>
                <w:rFonts w:ascii="ARIAL" w:hAnsi="ARIAL"/>
                <w:b/>
                <w:sz w:val="18"/>
              </w:rPr>
            </w:pPr>
            <w:r>
              <w:rPr>
                <w:rFonts w:ascii="ARIAL" w:hAnsi="ARIAL"/>
                <w:b/>
                <w:sz w:val="18"/>
              </w:rPr>
              <w:t>TSR Percentile Rank</w:t>
            </w:r>
          </w:p>
          <w:p>
            <w:pPr>
              <w:pStyle w:val="TableContents"/>
              <w:spacing w:before="0" w:after="20"/>
              <w:jc w:val="center"/>
              <w:rPr>
                <w:rFonts w:ascii="ARIAL" w:hAnsi="ARIAL"/>
                <w:b/>
                <w:sz w:val="18"/>
              </w:rPr>
            </w:pPr>
            <w:r>
              <w:rPr>
                <w:rFonts w:ascii="ARIAL" w:hAnsi="ARIAL"/>
                <w:b/>
                <w:sz w:val="18"/>
              </w:rPr>
              <w:t>(CEO, CFO and then-Executive Chairman only)</w:t>
            </w:r>
          </w:p>
        </w:tc>
      </w:tr>
      <w:tr>
        <w:trPr/>
        <w:tc>
          <w:tcPr>
            <w:tcW w:w="1747" w:type="dxa"/>
            <w:tcBorders>
              <w:left w:val="single" w:sz="6" w:space="0" w:color="000000"/>
              <w:bottom w:val="single" w:sz="6" w:space="0" w:color="000000"/>
            </w:tcBorders>
            <w:shd w:fill="auto" w:val="clear"/>
            <w:tcMar>
              <w:left w:w="160" w:type="dxa"/>
              <w:bottom w:w="28" w:type="dxa"/>
            </w:tcMar>
            <w:vAlign w:val="center"/>
          </w:tcPr>
          <w:p>
            <w:pPr>
              <w:pStyle w:val="TableContents"/>
              <w:spacing w:before="0" w:after="0"/>
              <w:jc w:val="center"/>
              <w:rPr>
                <w:rFonts w:ascii="ARIAL" w:hAnsi="ARIAL"/>
                <w:b/>
                <w:sz w:val="18"/>
              </w:rPr>
            </w:pPr>
            <w:r>
              <w:rPr>
                <w:rFonts w:ascii="ARIAL" w:hAnsi="ARIAL"/>
                <w:b/>
                <w:sz w:val="18"/>
              </w:rPr>
              <w:t>% of Target</w:t>
            </w:r>
          </w:p>
          <w:p>
            <w:pPr>
              <w:pStyle w:val="TableContents"/>
              <w:spacing w:before="0" w:after="20"/>
              <w:jc w:val="center"/>
              <w:rPr>
                <w:rFonts w:ascii="ARIAL" w:hAnsi="ARIAL"/>
                <w:b/>
                <w:sz w:val="18"/>
              </w:rPr>
            </w:pPr>
            <w:r>
              <w:rPr>
                <w:rFonts w:ascii="ARIAL" w:hAnsi="ARIAL"/>
                <w:b/>
                <w:sz w:val="18"/>
              </w:rPr>
              <w:t>Achieved</w:t>
            </w:r>
          </w:p>
        </w:tc>
        <w:tc>
          <w:tcPr>
            <w:tcW w:w="207" w:type="dxa"/>
            <w:tcBorders>
              <w:left w:val="single" w:sz="6" w:space="0" w:color="000000"/>
              <w:bottom w:val="single" w:sz="6" w:space="0" w:color="000000"/>
            </w:tcBorders>
            <w:shd w:fill="auto" w:val="clear"/>
            <w:tcMar>
              <w:left w:w="28" w:type="dxa"/>
              <w:bottom w:w="28" w:type="dxa"/>
            </w:tcMar>
            <w:vAlign w:val="center"/>
          </w:tcPr>
          <w:p>
            <w:pPr>
              <w:pStyle w:val="TableContents"/>
              <w:spacing w:before="0" w:after="283"/>
              <w:rPr/>
            </w:pPr>
            <w:r>
              <w:rPr/>
              <w:t>  </w:t>
            </w:r>
          </w:p>
        </w:tc>
        <w:tc>
          <w:tcPr>
            <w:tcW w:w="2655" w:type="dxa"/>
            <w:tcBorders>
              <w:bottom w:val="single" w:sz="6" w:space="0" w:color="000000"/>
              <w:right w:val="single" w:sz="6" w:space="0" w:color="000000"/>
            </w:tcBorders>
            <w:shd w:fill="auto" w:val="clear"/>
            <w:tcMar>
              <w:bottom w:w="28" w:type="dxa"/>
              <w:right w:w="28" w:type="dxa"/>
            </w:tcMar>
            <w:vAlign w:val="center"/>
          </w:tcPr>
          <w:p>
            <w:pPr>
              <w:pStyle w:val="TableContents"/>
              <w:spacing w:before="0" w:after="283"/>
              <w:jc w:val="center"/>
              <w:rPr>
                <w:b/>
              </w:rPr>
            </w:pPr>
            <w:r>
              <w:rPr>
                <w:b/>
              </w:rPr>
              <w:t>% of Granted</w:t>
              <w:br/>
              <w:t>Shares Earned</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left w:val="single" w:sz="6" w:space="0" w:color="000000"/>
              <w:bottom w:val="single" w:sz="6" w:space="0" w:color="000000"/>
            </w:tcBorders>
            <w:shd w:fill="auto" w:val="clear"/>
            <w:tcMar>
              <w:left w:w="28" w:type="dxa"/>
              <w:bottom w:w="28" w:type="dxa"/>
            </w:tcMar>
            <w:vAlign w:val="center"/>
          </w:tcPr>
          <w:p>
            <w:pPr>
              <w:pStyle w:val="TableContents"/>
              <w:spacing w:before="0" w:after="283"/>
              <w:rPr/>
            </w:pPr>
            <w:r>
              <w:rPr/>
              <w:t> </w:t>
            </w:r>
          </w:p>
        </w:tc>
        <w:tc>
          <w:tcPr>
            <w:tcW w:w="2025" w:type="dxa"/>
            <w:tcBorders>
              <w:bottom w:val="single" w:sz="6" w:space="0" w:color="000000"/>
            </w:tcBorders>
            <w:shd w:fill="auto" w:val="clear"/>
            <w:tcMar>
              <w:bottom w:w="28" w:type="dxa"/>
            </w:tcMar>
            <w:vAlign w:val="center"/>
          </w:tcPr>
          <w:p>
            <w:pPr>
              <w:pStyle w:val="TableContents"/>
              <w:spacing w:before="0" w:after="283"/>
              <w:jc w:val="center"/>
              <w:rPr>
                <w:b/>
              </w:rPr>
            </w:pPr>
            <w:r>
              <w:rPr>
                <w:b/>
              </w:rPr>
              <w:t>Percentile Rank</w:t>
            </w:r>
          </w:p>
        </w:tc>
        <w:tc>
          <w:tcPr>
            <w:tcW w:w="73" w:type="dxa"/>
            <w:tcBorders>
              <w:left w:val="single" w:sz="6" w:space="0" w:color="000000"/>
              <w:bottom w:val="single" w:sz="6" w:space="0" w:color="000000"/>
            </w:tcBorders>
            <w:shd w:fill="auto" w:val="clear"/>
            <w:tcMar>
              <w:left w:w="28" w:type="dxa"/>
              <w:bottom w:w="28" w:type="dxa"/>
            </w:tcMar>
            <w:vAlign w:val="center"/>
          </w:tcPr>
          <w:p>
            <w:pPr>
              <w:pStyle w:val="TableContents"/>
              <w:spacing w:before="0" w:after="283"/>
              <w:rPr/>
            </w:pPr>
            <w:r>
              <w:rPr/>
              <w:t> </w:t>
            </w:r>
          </w:p>
        </w:tc>
        <w:tc>
          <w:tcPr>
            <w:tcW w:w="1896" w:type="dxa"/>
            <w:tcBorders>
              <w:bottom w:val="single" w:sz="6" w:space="0" w:color="000000"/>
              <w:right w:val="single" w:sz="6" w:space="0" w:color="000000"/>
            </w:tcBorders>
            <w:shd w:fill="auto" w:val="clear"/>
            <w:tcMar>
              <w:bottom w:w="28" w:type="dxa"/>
              <w:right w:w="40" w:type="dxa"/>
            </w:tcMar>
            <w:vAlign w:val="center"/>
          </w:tcPr>
          <w:p>
            <w:pPr>
              <w:pStyle w:val="TableContents"/>
              <w:spacing w:before="0" w:after="283"/>
              <w:jc w:val="center"/>
              <w:rPr>
                <w:b/>
              </w:rPr>
            </w:pPr>
            <w:r>
              <w:rPr>
                <w:b/>
              </w:rPr>
              <w:t>% of Granted</w:t>
              <w:br/>
              <w:t>Shares Earned</w:t>
            </w:r>
          </w:p>
        </w:tc>
      </w:tr>
      <w:tr>
        <w:trPr/>
        <w:tc>
          <w:tcPr>
            <w:tcW w:w="1747" w:type="dxa"/>
            <w:tcBorders>
              <w:left w:val="single" w:sz="6" w:space="0" w:color="000000"/>
              <w:right w:val="single" w:sz="6" w:space="0" w:color="000000"/>
            </w:tcBorders>
            <w:shd w:fill="auto" w:val="clear"/>
            <w:tcMar>
              <w:left w:w="160" w:type="dxa"/>
              <w:right w:w="28" w:type="dxa"/>
            </w:tcMar>
            <w:vAlign w:val="center"/>
          </w:tcPr>
          <w:p>
            <w:pPr>
              <w:pStyle w:val="TableContents"/>
              <w:spacing w:before="0" w:after="0"/>
              <w:jc w:val="center"/>
              <w:rPr>
                <w:rFonts w:ascii="ARIAL" w:hAnsi="ARIAL"/>
                <w:sz w:val="20"/>
              </w:rPr>
            </w:pPr>
            <w:r>
              <w:rPr>
                <w:rFonts w:ascii="ARIAL" w:hAnsi="ARIAL"/>
                <w:sz w:val="20"/>
              </w:rPr>
              <w:t>120%</w:t>
            </w:r>
          </w:p>
        </w:tc>
        <w:tc>
          <w:tcPr>
            <w:tcW w:w="207" w:type="dxa"/>
            <w:tcBorders/>
            <w:shd w:fill="auto" w:val="clear"/>
            <w:vAlign w:val="center"/>
          </w:tcPr>
          <w:p>
            <w:pPr>
              <w:pStyle w:val="TableContents"/>
              <w:spacing w:before="0" w:after="283"/>
              <w:rPr/>
            </w:pPr>
            <w:r>
              <w:rPr/>
              <w:t>  </w:t>
            </w:r>
          </w:p>
        </w:tc>
        <w:tc>
          <w:tcPr>
            <w:tcW w:w="2655" w:type="dxa"/>
            <w:tcBorders>
              <w:right w:val="single" w:sz="6" w:space="0" w:color="000000"/>
            </w:tcBorders>
            <w:shd w:fill="auto" w:val="clear"/>
            <w:tcMar>
              <w:right w:w="28" w:type="dxa"/>
            </w:tcMar>
            <w:vAlign w:val="center"/>
          </w:tcPr>
          <w:p>
            <w:pPr>
              <w:pStyle w:val="TableContents"/>
              <w:spacing w:before="0" w:after="283"/>
              <w:jc w:val="center"/>
              <w:rPr/>
            </w:pPr>
            <w:r>
              <w:rPr/>
              <w:t>200%</w:t>
            </w:r>
          </w:p>
        </w:tc>
        <w:tc>
          <w:tcPr>
            <w:tcW w:w="60" w:type="dxa"/>
            <w:tcBorders/>
            <w:shd w:fill="auto" w:val="clear"/>
            <w:vAlign w:val="center"/>
          </w:tcPr>
          <w:p>
            <w:pPr>
              <w:pStyle w:val="TableContents"/>
              <w:spacing w:before="0" w:after="283"/>
              <w:rPr/>
            </w:pPr>
            <w:r>
              <w:rPr/>
              <w:t> </w:t>
            </w:r>
          </w:p>
        </w:tc>
        <w:tc>
          <w:tcPr>
            <w:tcW w:w="60" w:type="dxa"/>
            <w:tcBorders>
              <w:right w:val="single" w:sz="6" w:space="0" w:color="000000"/>
            </w:tcBorders>
            <w:shd w:fill="auto" w:val="clear"/>
            <w:tcMar>
              <w:right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025" w:type="dxa"/>
            <w:tcBorders>
              <w:right w:val="single" w:sz="6" w:space="0" w:color="000000"/>
            </w:tcBorders>
            <w:shd w:fill="auto" w:val="clear"/>
            <w:tcMar>
              <w:right w:w="28" w:type="dxa"/>
            </w:tcMar>
            <w:vAlign w:val="center"/>
          </w:tcPr>
          <w:p>
            <w:pPr>
              <w:pStyle w:val="TableContents"/>
              <w:spacing w:before="0" w:after="0"/>
              <w:jc w:val="center"/>
              <w:rPr>
                <w:rFonts w:ascii="ARIAL" w:hAnsi="ARIAL"/>
                <w:sz w:val="20"/>
              </w:rPr>
            </w:pPr>
            <w:r>
              <w:rPr>
                <w:rFonts w:ascii="ARIAL" w:hAnsi="ARIAL"/>
                <w:sz w:val="20"/>
              </w:rPr>
              <w:t>75th Percentile</w:t>
            </w:r>
          </w:p>
        </w:tc>
        <w:tc>
          <w:tcPr>
            <w:tcW w:w="73" w:type="dxa"/>
            <w:tcBorders/>
            <w:shd w:fill="auto" w:val="clear"/>
            <w:vAlign w:val="center"/>
          </w:tcPr>
          <w:p>
            <w:pPr>
              <w:pStyle w:val="TableContents"/>
              <w:spacing w:before="0" w:after="283"/>
              <w:rPr/>
            </w:pPr>
            <w:r>
              <w:rPr/>
              <w:t> </w:t>
            </w:r>
          </w:p>
        </w:tc>
        <w:tc>
          <w:tcPr>
            <w:tcW w:w="1896" w:type="dxa"/>
            <w:tcBorders>
              <w:right w:val="single" w:sz="6" w:space="0" w:color="000000"/>
            </w:tcBorders>
            <w:shd w:fill="auto" w:val="clear"/>
            <w:tcMar>
              <w:right w:w="28" w:type="dxa"/>
            </w:tcMar>
            <w:vAlign w:val="center"/>
          </w:tcPr>
          <w:p>
            <w:pPr>
              <w:pStyle w:val="TableContents"/>
              <w:spacing w:before="0" w:after="283"/>
              <w:jc w:val="center"/>
              <w:rPr/>
            </w:pPr>
            <w:r>
              <w:rPr/>
              <w:t>200%</w:t>
            </w:r>
          </w:p>
        </w:tc>
      </w:tr>
      <w:tr>
        <w:trPr/>
        <w:tc>
          <w:tcPr>
            <w:tcW w:w="1747" w:type="dxa"/>
            <w:tcBorders>
              <w:top w:val="single" w:sz="6" w:space="0" w:color="000000"/>
              <w:left w:val="single" w:sz="6" w:space="0" w:color="000000"/>
              <w:right w:val="single" w:sz="6" w:space="0" w:color="000000"/>
            </w:tcBorders>
            <w:shd w:fill="auto" w:val="clear"/>
            <w:tcMar>
              <w:top w:w="28" w:type="dxa"/>
              <w:left w:w="160" w:type="dxa"/>
              <w:right w:w="28" w:type="dxa"/>
            </w:tcMar>
            <w:vAlign w:val="center"/>
          </w:tcPr>
          <w:p>
            <w:pPr>
              <w:pStyle w:val="TableContents"/>
              <w:spacing w:before="0" w:after="283"/>
              <w:jc w:val="center"/>
              <w:rPr/>
            </w:pPr>
            <w:r>
              <w:rPr/>
              <w:t>100%</w:t>
            </w:r>
          </w:p>
        </w:tc>
        <w:tc>
          <w:tcPr>
            <w:tcW w:w="207" w:type="dxa"/>
            <w:tcBorders>
              <w:top w:val="single" w:sz="6" w:space="0" w:color="000000"/>
            </w:tcBorders>
            <w:shd w:fill="auto" w:val="clear"/>
            <w:tcMar>
              <w:top w:w="28" w:type="dxa"/>
            </w:tcMar>
            <w:vAlign w:val="center"/>
          </w:tcPr>
          <w:p>
            <w:pPr>
              <w:pStyle w:val="TableContents"/>
              <w:spacing w:before="0" w:after="283"/>
              <w:rPr/>
            </w:pPr>
            <w:r>
              <w:rPr/>
              <w:t>  </w:t>
            </w:r>
          </w:p>
        </w:tc>
        <w:tc>
          <w:tcPr>
            <w:tcW w:w="2655" w:type="dxa"/>
            <w:tcBorders>
              <w:top w:val="single" w:sz="6" w:space="0" w:color="000000"/>
              <w:right w:val="single" w:sz="6" w:space="0" w:color="000000"/>
            </w:tcBorders>
            <w:shd w:fill="auto" w:val="clear"/>
            <w:tcMar>
              <w:top w:w="28" w:type="dxa"/>
              <w:right w:w="28" w:type="dxa"/>
            </w:tcMar>
            <w:vAlign w:val="center"/>
          </w:tcPr>
          <w:p>
            <w:pPr>
              <w:pStyle w:val="TableContents"/>
              <w:spacing w:before="0" w:after="283"/>
              <w:jc w:val="center"/>
              <w:rPr/>
            </w:pPr>
            <w:r>
              <w:rPr/>
              <w:t>100%</w:t>
            </w:r>
          </w:p>
        </w:tc>
        <w:tc>
          <w:tcPr>
            <w:tcW w:w="60" w:type="dxa"/>
            <w:tcBorders/>
            <w:shd w:fill="auto" w:val="clear"/>
            <w:vAlign w:val="center"/>
          </w:tcPr>
          <w:p>
            <w:pPr>
              <w:pStyle w:val="TableContents"/>
              <w:spacing w:before="0" w:after="283"/>
              <w:rPr/>
            </w:pPr>
            <w:r>
              <w:rPr/>
              <w:t> </w:t>
            </w:r>
          </w:p>
        </w:tc>
        <w:tc>
          <w:tcPr>
            <w:tcW w:w="60" w:type="dxa"/>
            <w:tcBorders>
              <w:right w:val="single" w:sz="6" w:space="0" w:color="000000"/>
            </w:tcBorders>
            <w:shd w:fill="auto" w:val="clear"/>
            <w:tcMar>
              <w:right w:w="28" w:type="dxa"/>
            </w:tcMar>
            <w:vAlign w:val="center"/>
          </w:tcPr>
          <w:p>
            <w:pPr>
              <w:pStyle w:val="TableContents"/>
              <w:spacing w:before="0" w:after="283"/>
              <w:rPr/>
            </w:pPr>
            <w:r>
              <w:rPr/>
              <w:t> </w:t>
            </w:r>
          </w:p>
        </w:tc>
        <w:tc>
          <w:tcPr>
            <w:tcW w:w="60" w:type="dxa"/>
            <w:tcBorders>
              <w:top w:val="single" w:sz="6" w:space="0" w:color="000000"/>
            </w:tcBorders>
            <w:shd w:fill="auto" w:val="clear"/>
            <w:tcMar>
              <w:top w:w="28" w:type="dxa"/>
            </w:tcMar>
            <w:vAlign w:val="center"/>
          </w:tcPr>
          <w:p>
            <w:pPr>
              <w:pStyle w:val="TableContents"/>
              <w:spacing w:before="0" w:after="283"/>
              <w:rPr/>
            </w:pPr>
            <w:r>
              <w:rPr/>
              <w:t> </w:t>
            </w:r>
          </w:p>
        </w:tc>
        <w:tc>
          <w:tcPr>
            <w:tcW w:w="2025" w:type="dxa"/>
            <w:tcBorders>
              <w:top w:val="single" w:sz="6" w:space="0" w:color="000000"/>
              <w:right w:val="single" w:sz="6" w:space="0" w:color="000000"/>
            </w:tcBorders>
            <w:shd w:fill="auto" w:val="clear"/>
            <w:tcMar>
              <w:top w:w="28" w:type="dxa"/>
              <w:right w:w="28" w:type="dxa"/>
            </w:tcMar>
            <w:vAlign w:val="center"/>
          </w:tcPr>
          <w:p>
            <w:pPr>
              <w:pStyle w:val="TableContents"/>
              <w:spacing w:before="0" w:after="283"/>
              <w:jc w:val="center"/>
              <w:rPr/>
            </w:pPr>
            <w:r>
              <w:rPr/>
              <w:t>50th Percentile</w:t>
            </w:r>
          </w:p>
        </w:tc>
        <w:tc>
          <w:tcPr>
            <w:tcW w:w="73" w:type="dxa"/>
            <w:tcBorders>
              <w:top w:val="single" w:sz="6" w:space="0" w:color="000000"/>
            </w:tcBorders>
            <w:shd w:fill="auto" w:val="clear"/>
            <w:tcMar>
              <w:top w:w="28" w:type="dxa"/>
            </w:tcMar>
            <w:vAlign w:val="center"/>
          </w:tcPr>
          <w:p>
            <w:pPr>
              <w:pStyle w:val="TableContents"/>
              <w:spacing w:before="0" w:after="283"/>
              <w:rPr/>
            </w:pPr>
            <w:r>
              <w:rPr/>
              <w:t> </w:t>
            </w:r>
          </w:p>
        </w:tc>
        <w:tc>
          <w:tcPr>
            <w:tcW w:w="1896" w:type="dxa"/>
            <w:tcBorders>
              <w:top w:val="single" w:sz="6" w:space="0" w:color="000000"/>
              <w:right w:val="single" w:sz="6" w:space="0" w:color="000000"/>
            </w:tcBorders>
            <w:shd w:fill="auto" w:val="clear"/>
            <w:tcMar>
              <w:top w:w="28" w:type="dxa"/>
              <w:right w:w="28" w:type="dxa"/>
            </w:tcMar>
            <w:vAlign w:val="center"/>
          </w:tcPr>
          <w:p>
            <w:pPr>
              <w:pStyle w:val="TableContents"/>
              <w:spacing w:before="0" w:after="283"/>
              <w:jc w:val="center"/>
              <w:rPr/>
            </w:pPr>
            <w:r>
              <w:rPr/>
              <w:t>100%</w:t>
            </w:r>
          </w:p>
        </w:tc>
      </w:tr>
      <w:tr>
        <w:trPr/>
        <w:tc>
          <w:tcPr>
            <w:tcW w:w="1747" w:type="dxa"/>
            <w:tcBorders>
              <w:top w:val="single" w:sz="6" w:space="0" w:color="000000"/>
              <w:left w:val="single" w:sz="6" w:space="0" w:color="000000"/>
              <w:right w:val="single" w:sz="6" w:space="0" w:color="000000"/>
            </w:tcBorders>
            <w:shd w:fill="auto" w:val="clear"/>
            <w:tcMar>
              <w:top w:w="28" w:type="dxa"/>
              <w:left w:w="160" w:type="dxa"/>
              <w:right w:w="28" w:type="dxa"/>
            </w:tcMar>
            <w:vAlign w:val="center"/>
          </w:tcPr>
          <w:p>
            <w:pPr>
              <w:pStyle w:val="TableContents"/>
              <w:spacing w:before="0" w:after="283"/>
              <w:jc w:val="center"/>
              <w:rPr/>
            </w:pPr>
            <w:r>
              <w:rPr/>
              <w:t>80%</w:t>
            </w:r>
          </w:p>
        </w:tc>
        <w:tc>
          <w:tcPr>
            <w:tcW w:w="207" w:type="dxa"/>
            <w:tcBorders>
              <w:top w:val="single" w:sz="6" w:space="0" w:color="000000"/>
            </w:tcBorders>
            <w:shd w:fill="auto" w:val="clear"/>
            <w:tcMar>
              <w:top w:w="28" w:type="dxa"/>
            </w:tcMar>
            <w:vAlign w:val="center"/>
          </w:tcPr>
          <w:p>
            <w:pPr>
              <w:pStyle w:val="TableContents"/>
              <w:spacing w:before="0" w:after="283"/>
              <w:rPr/>
            </w:pPr>
            <w:r>
              <w:rPr/>
              <w:t>  </w:t>
            </w:r>
          </w:p>
        </w:tc>
        <w:tc>
          <w:tcPr>
            <w:tcW w:w="2655" w:type="dxa"/>
            <w:tcBorders>
              <w:top w:val="single" w:sz="6" w:space="0" w:color="000000"/>
              <w:right w:val="single" w:sz="6" w:space="0" w:color="000000"/>
            </w:tcBorders>
            <w:shd w:fill="auto" w:val="clear"/>
            <w:tcMar>
              <w:top w:w="28" w:type="dxa"/>
              <w:right w:w="28" w:type="dxa"/>
            </w:tcMar>
            <w:vAlign w:val="center"/>
          </w:tcPr>
          <w:p>
            <w:pPr>
              <w:pStyle w:val="TableContents"/>
              <w:spacing w:before="0" w:after="283"/>
              <w:jc w:val="center"/>
              <w:rPr/>
            </w:pPr>
            <w:r>
              <w:rPr/>
              <w:t>  </w:t>
            </w:r>
            <w:r>
              <w:rPr/>
              <w:t>25%</w:t>
            </w:r>
          </w:p>
        </w:tc>
        <w:tc>
          <w:tcPr>
            <w:tcW w:w="60" w:type="dxa"/>
            <w:tcBorders/>
            <w:shd w:fill="auto" w:val="clear"/>
            <w:vAlign w:val="center"/>
          </w:tcPr>
          <w:p>
            <w:pPr>
              <w:pStyle w:val="TableContents"/>
              <w:spacing w:before="0" w:after="283"/>
              <w:rPr/>
            </w:pPr>
            <w:r>
              <w:rPr/>
              <w:t> </w:t>
            </w:r>
          </w:p>
        </w:tc>
        <w:tc>
          <w:tcPr>
            <w:tcW w:w="60" w:type="dxa"/>
            <w:tcBorders>
              <w:right w:val="single" w:sz="6" w:space="0" w:color="000000"/>
            </w:tcBorders>
            <w:shd w:fill="auto" w:val="clear"/>
            <w:tcMar>
              <w:right w:w="28" w:type="dxa"/>
            </w:tcMar>
            <w:vAlign w:val="center"/>
          </w:tcPr>
          <w:p>
            <w:pPr>
              <w:pStyle w:val="TableContents"/>
              <w:spacing w:before="0" w:after="283"/>
              <w:rPr/>
            </w:pPr>
            <w:r>
              <w:rPr/>
              <w:t> </w:t>
            </w:r>
          </w:p>
        </w:tc>
        <w:tc>
          <w:tcPr>
            <w:tcW w:w="60" w:type="dxa"/>
            <w:tcBorders>
              <w:top w:val="single" w:sz="6" w:space="0" w:color="000000"/>
            </w:tcBorders>
            <w:shd w:fill="auto" w:val="clear"/>
            <w:tcMar>
              <w:top w:w="28" w:type="dxa"/>
            </w:tcMar>
            <w:vAlign w:val="center"/>
          </w:tcPr>
          <w:p>
            <w:pPr>
              <w:pStyle w:val="TableContents"/>
              <w:spacing w:before="0" w:after="283"/>
              <w:rPr/>
            </w:pPr>
            <w:r>
              <w:rPr/>
              <w:t> </w:t>
            </w:r>
          </w:p>
        </w:tc>
        <w:tc>
          <w:tcPr>
            <w:tcW w:w="2025" w:type="dxa"/>
            <w:tcBorders>
              <w:top w:val="single" w:sz="6" w:space="0" w:color="000000"/>
              <w:right w:val="single" w:sz="6" w:space="0" w:color="000000"/>
            </w:tcBorders>
            <w:shd w:fill="auto" w:val="clear"/>
            <w:tcMar>
              <w:top w:w="28" w:type="dxa"/>
              <w:right w:w="28" w:type="dxa"/>
            </w:tcMar>
            <w:vAlign w:val="center"/>
          </w:tcPr>
          <w:p>
            <w:pPr>
              <w:pStyle w:val="TableContents"/>
              <w:spacing w:before="0" w:after="283"/>
              <w:jc w:val="center"/>
              <w:rPr/>
            </w:pPr>
            <w:r>
              <w:rPr/>
              <w:t>25th Percentile</w:t>
            </w:r>
          </w:p>
        </w:tc>
        <w:tc>
          <w:tcPr>
            <w:tcW w:w="73" w:type="dxa"/>
            <w:tcBorders>
              <w:top w:val="single" w:sz="6" w:space="0" w:color="000000"/>
            </w:tcBorders>
            <w:shd w:fill="auto" w:val="clear"/>
            <w:tcMar>
              <w:top w:w="28" w:type="dxa"/>
            </w:tcMar>
            <w:vAlign w:val="center"/>
          </w:tcPr>
          <w:p>
            <w:pPr>
              <w:pStyle w:val="TableContents"/>
              <w:spacing w:before="0" w:after="283"/>
              <w:rPr/>
            </w:pPr>
            <w:r>
              <w:rPr/>
              <w:t> </w:t>
            </w:r>
          </w:p>
        </w:tc>
        <w:tc>
          <w:tcPr>
            <w:tcW w:w="1896" w:type="dxa"/>
            <w:tcBorders>
              <w:top w:val="single" w:sz="6" w:space="0" w:color="000000"/>
              <w:right w:val="single" w:sz="6" w:space="0" w:color="000000"/>
            </w:tcBorders>
            <w:shd w:fill="auto" w:val="clear"/>
            <w:tcMar>
              <w:top w:w="28" w:type="dxa"/>
              <w:right w:w="28" w:type="dxa"/>
            </w:tcMar>
            <w:vAlign w:val="center"/>
          </w:tcPr>
          <w:p>
            <w:pPr>
              <w:pStyle w:val="TableContents"/>
              <w:spacing w:before="0" w:after="283"/>
              <w:jc w:val="center"/>
              <w:rPr/>
            </w:pPr>
            <w:r>
              <w:rPr/>
              <w:t>  </w:t>
            </w:r>
            <w:r>
              <w:rPr/>
              <w:t>25%</w:t>
            </w:r>
          </w:p>
        </w:tc>
      </w:tr>
      <w:tr>
        <w:trPr/>
        <w:tc>
          <w:tcPr>
            <w:tcW w:w="1747" w:type="dxa"/>
            <w:tcBorders>
              <w:top w:val="single" w:sz="6" w:space="0" w:color="000000"/>
              <w:left w:val="single" w:sz="6" w:space="0" w:color="000000"/>
              <w:bottom w:val="single" w:sz="6" w:space="0" w:color="000000"/>
              <w:right w:val="single" w:sz="6" w:space="0" w:color="000000"/>
            </w:tcBorders>
            <w:shd w:fill="auto" w:val="clear"/>
            <w:tcMar>
              <w:top w:w="28" w:type="dxa"/>
              <w:left w:w="160" w:type="dxa"/>
              <w:bottom w:w="28" w:type="dxa"/>
              <w:right w:w="28" w:type="dxa"/>
            </w:tcMar>
            <w:vAlign w:val="center"/>
          </w:tcPr>
          <w:p>
            <w:pPr>
              <w:pStyle w:val="TableContents"/>
              <w:spacing w:before="0" w:after="0"/>
              <w:jc w:val="center"/>
              <w:rPr>
                <w:rFonts w:ascii="ARIAL" w:hAnsi="ARIAL"/>
                <w:sz w:val="20"/>
              </w:rPr>
            </w:pPr>
            <w:r>
              <w:rPr>
                <w:rFonts w:ascii="ARIAL" w:hAnsi="ARIAL"/>
                <w:sz w:val="20"/>
              </w:rPr>
              <w:t>&lt; 80%    </w:t>
            </w:r>
          </w:p>
        </w:tc>
        <w:tc>
          <w:tcPr>
            <w:tcW w:w="207" w:type="dxa"/>
            <w:tcBorders>
              <w:top w:val="single" w:sz="6" w:space="0" w:color="000000"/>
              <w:bottom w:val="single" w:sz="6" w:space="0" w:color="000000"/>
            </w:tcBorders>
            <w:shd w:fill="auto" w:val="clear"/>
            <w:tcMar>
              <w:top w:w="28" w:type="dxa"/>
              <w:bottom w:w="28" w:type="dxa"/>
            </w:tcMar>
            <w:vAlign w:val="center"/>
          </w:tcPr>
          <w:p>
            <w:pPr>
              <w:pStyle w:val="TableContents"/>
              <w:spacing w:before="0" w:after="283"/>
              <w:rPr/>
            </w:pPr>
            <w:r>
              <w:rPr/>
              <w:t>  </w:t>
            </w:r>
          </w:p>
        </w:tc>
        <w:tc>
          <w:tcPr>
            <w:tcW w:w="2655" w:type="dxa"/>
            <w:tcBorders>
              <w:top w:val="single" w:sz="6" w:space="0" w:color="000000"/>
              <w:bottom w:val="single" w:sz="6" w:space="0" w:color="000000"/>
              <w:right w:val="single" w:sz="6" w:space="0" w:color="000000"/>
            </w:tcBorders>
            <w:shd w:fill="auto" w:val="clear"/>
            <w:tcMar>
              <w:top w:w="28" w:type="dxa"/>
              <w:bottom w:w="28" w:type="dxa"/>
              <w:right w:w="28" w:type="dxa"/>
            </w:tcMar>
            <w:vAlign w:val="center"/>
          </w:tcPr>
          <w:p>
            <w:pPr>
              <w:pStyle w:val="TableContents"/>
              <w:spacing w:before="0" w:after="283"/>
              <w:jc w:val="center"/>
              <w:rPr/>
            </w:pPr>
            <w:r>
              <w:rPr/>
              <w:t>    </w:t>
            </w:r>
            <w:r>
              <w:rPr/>
              <w:t>0%</w:t>
            </w:r>
          </w:p>
        </w:tc>
        <w:tc>
          <w:tcPr>
            <w:tcW w:w="60" w:type="dxa"/>
            <w:tcBorders/>
            <w:shd w:fill="auto" w:val="clear"/>
            <w:vAlign w:val="center"/>
          </w:tcPr>
          <w:p>
            <w:pPr>
              <w:pStyle w:val="TableContents"/>
              <w:spacing w:before="0" w:after="283"/>
              <w:rPr/>
            </w:pPr>
            <w:r>
              <w:rPr/>
              <w:t> </w:t>
            </w:r>
          </w:p>
        </w:tc>
        <w:tc>
          <w:tcPr>
            <w:tcW w:w="60" w:type="dxa"/>
            <w:tcBorders>
              <w:right w:val="single" w:sz="6" w:space="0" w:color="000000"/>
            </w:tcBorders>
            <w:shd w:fill="auto" w:val="clear"/>
            <w:tcMar>
              <w:right w:w="28" w:type="dxa"/>
            </w:tcMar>
            <w:vAlign w:val="center"/>
          </w:tcPr>
          <w:p>
            <w:pPr>
              <w:pStyle w:val="TableContents"/>
              <w:spacing w:before="0" w:after="283"/>
              <w:rPr/>
            </w:pPr>
            <w:r>
              <w:rPr/>
              <w:t> </w:t>
            </w:r>
          </w:p>
        </w:tc>
        <w:tc>
          <w:tcPr>
            <w:tcW w:w="60" w:type="dxa"/>
            <w:tcBorders>
              <w:top w:val="single" w:sz="6" w:space="0" w:color="000000"/>
              <w:bottom w:val="single" w:sz="6" w:space="0" w:color="000000"/>
            </w:tcBorders>
            <w:shd w:fill="auto" w:val="clear"/>
            <w:tcMar>
              <w:top w:w="28" w:type="dxa"/>
              <w:bottom w:w="28" w:type="dxa"/>
            </w:tcMar>
            <w:vAlign w:val="center"/>
          </w:tcPr>
          <w:p>
            <w:pPr>
              <w:pStyle w:val="TableContents"/>
              <w:spacing w:before="0" w:after="283"/>
              <w:rPr/>
            </w:pPr>
            <w:r>
              <w:rPr/>
              <w:t> </w:t>
            </w:r>
          </w:p>
        </w:tc>
        <w:tc>
          <w:tcPr>
            <w:tcW w:w="2025" w:type="dxa"/>
            <w:tcBorders>
              <w:top w:val="single" w:sz="6" w:space="0" w:color="000000"/>
              <w:bottom w:val="single" w:sz="6" w:space="0" w:color="000000"/>
              <w:right w:val="single" w:sz="6" w:space="0" w:color="000000"/>
            </w:tcBorders>
            <w:shd w:fill="auto" w:val="clear"/>
            <w:tcMar>
              <w:top w:w="28" w:type="dxa"/>
              <w:bottom w:w="28" w:type="dxa"/>
              <w:right w:w="28" w:type="dxa"/>
            </w:tcMar>
            <w:vAlign w:val="center"/>
          </w:tcPr>
          <w:p>
            <w:pPr>
              <w:pStyle w:val="TableContents"/>
              <w:spacing w:before="0" w:after="0"/>
              <w:jc w:val="center"/>
              <w:rPr>
                <w:rFonts w:ascii="ARIAL" w:hAnsi="ARIAL"/>
                <w:sz w:val="20"/>
              </w:rPr>
            </w:pPr>
            <w:r>
              <w:rPr>
                <w:rFonts w:ascii="ARIAL" w:hAnsi="ARIAL"/>
                <w:sz w:val="20"/>
              </w:rPr>
              <w:t>&lt; 25th Percentile</w:t>
            </w:r>
          </w:p>
        </w:tc>
        <w:tc>
          <w:tcPr>
            <w:tcW w:w="73" w:type="dxa"/>
            <w:tcBorders>
              <w:top w:val="single" w:sz="6" w:space="0" w:color="000000"/>
              <w:bottom w:val="single" w:sz="6" w:space="0" w:color="000000"/>
            </w:tcBorders>
            <w:shd w:fill="auto" w:val="clear"/>
            <w:tcMar>
              <w:top w:w="28" w:type="dxa"/>
              <w:bottom w:w="28" w:type="dxa"/>
            </w:tcMar>
            <w:vAlign w:val="center"/>
          </w:tcPr>
          <w:p>
            <w:pPr>
              <w:pStyle w:val="TableContents"/>
              <w:spacing w:before="0" w:after="283"/>
              <w:rPr/>
            </w:pPr>
            <w:r>
              <w:rPr/>
              <w:t> </w:t>
            </w:r>
          </w:p>
        </w:tc>
        <w:tc>
          <w:tcPr>
            <w:tcW w:w="1896" w:type="dxa"/>
            <w:tcBorders>
              <w:top w:val="single" w:sz="6" w:space="0" w:color="000000"/>
              <w:bottom w:val="single" w:sz="6" w:space="0" w:color="000000"/>
              <w:right w:val="single" w:sz="6" w:space="0" w:color="000000"/>
            </w:tcBorders>
            <w:shd w:fill="auto" w:val="clear"/>
            <w:tcMar>
              <w:top w:w="28" w:type="dxa"/>
              <w:bottom w:w="28" w:type="dxa"/>
              <w:right w:w="28" w:type="dxa"/>
            </w:tcMar>
            <w:vAlign w:val="center"/>
          </w:tcPr>
          <w:p>
            <w:pPr>
              <w:pStyle w:val="TableContents"/>
              <w:spacing w:before="0" w:after="283"/>
              <w:jc w:val="center"/>
              <w:rPr/>
            </w:pPr>
            <w:r>
              <w:rPr/>
              <w:t>    </w:t>
            </w:r>
            <w:r>
              <w:rPr/>
              <w:t>0%</w:t>
            </w:r>
          </w:p>
        </w:tc>
      </w:tr>
    </w:tbl>
    <w:p>
      <w:pPr>
        <w:pStyle w:val="TextBody"/>
        <w:spacing w:before="240" w:after="0"/>
        <w:jc w:val="left"/>
        <w:rPr/>
      </w:pPr>
      <w:r>
        <w:rPr/>
        <w:t>  </w:t>
      </w:r>
      <w:r>
        <w:rPr>
          <w:rFonts w:ascii="ARIAL" w:hAnsi="ARIAL"/>
          <w:i/>
          <w:sz w:val="20"/>
        </w:rPr>
        <w:t xml:space="preserve">Linear interpolation is used for performance between the points shown in the tables. </w:t>
      </w:r>
    </w:p>
    <w:p>
      <w:pPr>
        <w:pStyle w:val="TextBody"/>
        <w:spacing w:before="240" w:after="0"/>
        <w:jc w:val="left"/>
        <w:rPr>
          <w:rFonts w:ascii="ARIAL" w:hAnsi="ARIAL"/>
          <w:sz w:val="20"/>
        </w:rPr>
      </w:pPr>
      <w:r>
        <w:rPr>
          <w:rFonts w:ascii="ARIAL" w:hAnsi="ARIAL"/>
          <w:sz w:val="20"/>
        </w:rPr>
        <w:t xml:space="preserve">For purposes of determining the level of achievement for each portion of the performance-based awards, the determination of the level of achievement for Cumulative Consolidated Adjusted EBITDA Growth, Cumulative Same-Store Net Revenue Growth and TSR Percentile Rank (for the Chief Executive Officer, Chief Financial Officer and then-Executive Chairman only), as applicable, during the Performance Period, will be determined independently from each other and will not impact the determination of the level of achievement for the other portions of the award. </w:t>
      </w:r>
    </w:p>
    <w:p>
      <w:pPr>
        <w:pStyle w:val="TextBody"/>
        <w:spacing w:before="240" w:after="0"/>
        <w:jc w:val="left"/>
        <w:rPr>
          <w:rFonts w:ascii="ARIAL" w:hAnsi="ARIAL"/>
          <w:sz w:val="20"/>
        </w:rPr>
      </w:pPr>
      <w:r>
        <w:rPr>
          <w:rFonts w:ascii="ARIAL" w:hAnsi="ARIAL"/>
          <w:sz w:val="20"/>
        </w:rPr>
        <w:t xml:space="preserve">To the extent that the performance objectives are attained, the restrictions will lapse on the portion of the award subject to that performance objective on the third anniversary of the grant date subject to certain exceptions. To the extent that the minimum performance objective achievement (80% for Cumulative Consolidated Adjusted EBITDA Growth and Cumulative Same-Store Net Revenue Growth; 25th percentile for TSR Percentile Rank (for Chief Executive Officer, Chief Financial Officer and then-Executive Chairman only)) is not attained, the portion of the award subject to that performance objective will be forfeited in its entirety. </w:t>
      </w:r>
    </w:p>
    <w:p>
      <w:pPr>
        <w:pStyle w:val="TextBody"/>
        <w:spacing w:before="240" w:after="0"/>
        <w:jc w:val="left"/>
        <w:rPr>
          <w:rFonts w:ascii="ARIAL" w:hAnsi="ARIAL"/>
          <w:sz w:val="20"/>
        </w:rPr>
      </w:pPr>
      <w:r>
        <w:rPr>
          <w:rFonts w:ascii="ARIAL" w:hAnsi="ARIAL"/>
          <w:sz w:val="20"/>
        </w:rPr>
        <w:t xml:space="preserve">The following definitions will be used in determining achievement of the three-year performance targets for all performance-based restricted stock awards granted in 2022: </w:t>
      </w:r>
    </w:p>
    <w:p>
      <w:pPr>
        <w:pStyle w:val="TextBody"/>
        <w:spacing w:before="240" w:after="0"/>
        <w:jc w:val="left"/>
        <w:rPr/>
      </w:pPr>
      <w:r>
        <w:rPr/>
        <w:t>“</w:t>
      </w:r>
      <w:r>
        <w:rPr>
          <w:rFonts w:ascii="ARIAL" w:hAnsi="ARIAL"/>
          <w:sz w:val="20"/>
        </w:rPr>
        <w:t xml:space="preserve">Consolidated Adjusted EBITDA” for any fiscal year means Adjusted EBITDA as defined in the Company’s Annual Report on Form 10-K. </w:t>
      </w:r>
    </w:p>
    <w:p>
      <w:pPr>
        <w:pStyle w:val="TextBody"/>
        <w:spacing w:before="240" w:after="0"/>
        <w:jc w:val="left"/>
        <w:rPr/>
      </w:pPr>
      <w:r>
        <w:rPr/>
        <w:t>“</w:t>
      </w:r>
      <w:r>
        <w:rPr>
          <w:rFonts w:ascii="ARIAL" w:hAnsi="ARIAL"/>
          <w:sz w:val="20"/>
        </w:rPr>
        <w:t xml:space="preserve">Cumulative Consolidated Adjusted EBITDA Growth” over the Performance Period means the sum of each individual year’s Consolidated Adjusted EBITDA Growth, which is a fraction, the numerator of which is the excess of (A) the Company’s Consolidated Adjusted EBITDA at the end of the year less (B) the Company’s Consolidated Adjusted EBITDA for the prior period, and the denominator of which is the Consolidated Adjusted EBITDA for the prior period. To the extent that the Cumulative Consolidated Adjusted EBITDA Growth exceeds or falls short of the Cumulative Consolidated Adjusted EBITDA Growth target, the amount of over achievement or underachievement will be determined based on the sum of the three-years Consolidated Adjusted EBITDA results divided by the sum of the three-year Consolidated Adjusted EBITDA targets. </w:t>
      </w:r>
    </w:p>
    <w:p>
      <w:pPr>
        <w:pStyle w:val="TextBody"/>
        <w:spacing w:before="240" w:after="0"/>
        <w:jc w:val="left"/>
        <w:rPr/>
      </w:pPr>
      <w:r>
        <w:rPr/>
        <w:t>“</w:t>
      </w:r>
      <w:r>
        <w:rPr>
          <w:rFonts w:ascii="ARIAL" w:hAnsi="ARIAL"/>
          <w:sz w:val="20"/>
        </w:rPr>
        <w:t xml:space="preserve">Performance Period” means the three-year performance period beginning January 1, 2022 and ending December 31, 2024.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53 </w:t>
      </w:r>
      <w:r>
        <w:br w:type="page"/>
      </w:r>
    </w:p>
    <w:p>
      <w:pPr>
        <w:pStyle w:val="HorizontalLine"/>
        <w:rPr/>
      </w:pPr>
      <w:r>
        <w:rPr/>
      </w:r>
    </w:p>
    <w:p>
      <w:pPr>
        <w:pStyle w:val="TextBody"/>
        <w:spacing w:before="0" w:after="0"/>
        <w:jc w:val="left"/>
        <w:rPr/>
      </w:pPr>
      <w:r>
        <w:rPr/>
        <w:t>“</w:t>
      </w:r>
      <w:r>
        <w:rPr>
          <w:rFonts w:ascii="ARIAL" w:hAnsi="ARIAL"/>
          <w:sz w:val="20"/>
        </w:rPr>
        <w:t xml:space="preserve">Consolidated Adjusted EBITDA Target” means the Cumulative Three-Year Consolidated Adjusted EBITDA Growth Target, as approved by the Compensation Committee. </w:t>
      </w:r>
    </w:p>
    <w:p>
      <w:pPr>
        <w:pStyle w:val="TextBody"/>
        <w:spacing w:before="240" w:after="0"/>
        <w:jc w:val="left"/>
        <w:rPr/>
      </w:pPr>
      <w:r>
        <w:rPr/>
        <w:t>“</w:t>
      </w:r>
      <w:r>
        <w:rPr>
          <w:rFonts w:ascii="ARIAL" w:hAnsi="ARIAL"/>
          <w:sz w:val="20"/>
        </w:rPr>
        <w:t xml:space="preserve">Same-Store Net Revenue” for any fiscal year means Net Revenue as defined in the Company’s Annual Report on Form 10-K, related to those hospitals to the extent the Company operated them in both comparable periods, excluding those hospitals that have been previously classified as discontinued operations for accounting purposes. In addition, it excludes Net Revenue from hospitals divested or closed during the year of measurement, as well as, the comparable prior year. Same-Store Net Revenue should further be adjusted to exclude the effect of adverse or delayed federal, state or local governmental or regulatory action with regard to the Affordable Care Act, and other items as determined at the discretion of the Compensation Committee. </w:t>
      </w:r>
    </w:p>
    <w:p>
      <w:pPr>
        <w:pStyle w:val="TextBody"/>
        <w:spacing w:before="240" w:after="0"/>
        <w:jc w:val="left"/>
        <w:rPr/>
      </w:pPr>
      <w:r>
        <w:rPr/>
        <w:t>“</w:t>
      </w:r>
      <w:r>
        <w:rPr>
          <w:rFonts w:ascii="ARIAL" w:hAnsi="ARIAL"/>
          <w:sz w:val="20"/>
        </w:rPr>
        <w:t xml:space="preserve">Cumulative Same-Store Net Revenue Growth” over the Performance Period means the sum of each individual year’s Same-Store Net Revenue growth, which is a fraction, the numerator of which is the excess of (A) the Company’s Same-Store Net Revenue at the end of the year less (B) the Company’s Same-Store Net Revenue for the prior year, and the denominator of which is the Same-Store Net Revenue for the prior year. To the extent that the Cumulative Same-Store Net Revenue Growth exceeds or falls short of the Cumulative Same-Store Net Revenue Growth target, the amount of over achievement or underachievement will be determined based on the sum of the three-year Same-Store Net Revenue results divided by the sum of the three-year Same-Store Net Revenue Growth targets. </w:t>
      </w:r>
    </w:p>
    <w:p>
      <w:pPr>
        <w:pStyle w:val="TextBody"/>
        <w:spacing w:before="240" w:after="0"/>
        <w:jc w:val="left"/>
        <w:rPr/>
      </w:pPr>
      <w:r>
        <w:rPr/>
        <w:t>“</w:t>
      </w:r>
      <w:r>
        <w:rPr>
          <w:rFonts w:ascii="ARIAL" w:hAnsi="ARIAL"/>
          <w:sz w:val="20"/>
        </w:rPr>
        <w:t xml:space="preserve">Same-Store Net Revenue Target” means the Cumulative Three-Year Same-Store Net Revenue Growth Target, as approved by the Compensation Committee. </w:t>
      </w:r>
    </w:p>
    <w:p>
      <w:pPr>
        <w:pStyle w:val="TextBody"/>
        <w:spacing w:before="240" w:after="0"/>
        <w:jc w:val="left"/>
        <w:rPr>
          <w:rFonts w:ascii="ARIAL" w:hAnsi="ARIAL"/>
          <w:sz w:val="20"/>
        </w:rPr>
      </w:pPr>
      <w:r>
        <w:rPr>
          <w:rFonts w:ascii="ARIAL" w:hAnsi="ARIAL"/>
          <w:sz w:val="20"/>
        </w:rPr>
        <w:t xml:space="preserve">In addition, the following definitions will be used in determining achievement of the three-year TSR Percentile Rank performance target for the Chief Executive Officer, Chief Financial Officer and then-Executive Chairman, only: </w:t>
      </w:r>
    </w:p>
    <w:p>
      <w:pPr>
        <w:pStyle w:val="TextBody"/>
        <w:spacing w:before="240" w:after="0"/>
        <w:jc w:val="left"/>
        <w:rPr/>
      </w:pPr>
      <w:r>
        <w:rPr/>
        <w:t>“</w:t>
      </w:r>
      <w:r>
        <w:rPr>
          <w:rFonts w:ascii="ARIAL" w:hAnsi="ARIAL"/>
          <w:sz w:val="20"/>
        </w:rPr>
        <w:t xml:space="preserve">TSR” means total shareholder return as determined by dividing (i) the sum of (A) the Ending Period Average Price minus the Beginning Period Average Price plus (B) all dividends and other distributions paid on the issuer’s shares during the Performance Period by (ii) the Beginning Period Average Price. In calculating TSR, all dividends are assumed to have been reinvested in shares on the ex-dividend date. </w:t>
      </w:r>
    </w:p>
    <w:p>
      <w:pPr>
        <w:pStyle w:val="TextBody"/>
        <w:spacing w:before="240" w:after="0"/>
        <w:jc w:val="left"/>
        <w:rPr/>
      </w:pPr>
      <w:r>
        <w:rPr/>
        <w:t>“</w:t>
      </w:r>
      <w:r>
        <w:rPr>
          <w:rFonts w:ascii="ARIAL" w:hAnsi="ARIAL"/>
          <w:sz w:val="20"/>
        </w:rPr>
        <w:t xml:space="preserve">Beginning Period Average Price” means the average official closing price per share of the issuer over the 20-consecutive-trading days ending with and including the first day of the Performance Period (if the applicable day is not a trading day, the immediately preceding trading day). </w:t>
      </w:r>
    </w:p>
    <w:p>
      <w:pPr>
        <w:pStyle w:val="TextBody"/>
        <w:spacing w:before="240" w:after="0"/>
        <w:jc w:val="left"/>
        <w:rPr/>
      </w:pPr>
      <w:r>
        <w:rPr/>
        <w:t>“</w:t>
      </w:r>
      <w:r>
        <w:rPr>
          <w:rFonts w:ascii="ARIAL" w:hAnsi="ARIAL"/>
          <w:sz w:val="20"/>
        </w:rPr>
        <w:t xml:space="preserve">Ending Period Average Price” means the average official closing price per share of the issuer over the 20-consecutive-trading days ending with and including the last day of the Performance Period (if the applicable day is not a trading day, the immediately preceding trading day). </w:t>
      </w:r>
    </w:p>
    <w:p>
      <w:pPr>
        <w:pStyle w:val="TextBody"/>
        <w:spacing w:before="240" w:after="0"/>
        <w:jc w:val="left"/>
        <w:rPr/>
      </w:pPr>
      <w:r>
        <w:rPr/>
        <w:t>“</w:t>
      </w:r>
      <w:r>
        <w:rPr>
          <w:rFonts w:ascii="ARIAL" w:hAnsi="ARIAL"/>
          <w:sz w:val="20"/>
        </w:rPr>
        <w:t xml:space="preserve">TSR Percentile Rank” means the Company’s percentile ranking relative to the members of the S&amp;P Health Care Services Select Industry Index, excluding payors and distribution companies, at the end of the Performance Period based on TSR. TSR Percentile Rank is determined by ordering the relevant S&amp;P Health Care Services Select Industry Index companies, excluding payors and distribution companies, (plus the Company if the Company is not one of the S&amp;P Health Care Services Select Industry Index companies) from highest to lowest based on TSR for the Performance Period and assigning a TSR Percentile Rank to each company, with the TSR Percentile Rank for the company with the highest TSR at 100%, the TSR Percentile Rank for the company with the lowest TSR at 0% and the TSR Percentile Rank for the remaining companies determined based on straight line interpolation.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54 </w:t>
      </w:r>
      <w:r>
        <w:br w:type="page"/>
      </w:r>
    </w:p>
    <w:p>
      <w:pPr>
        <w:pStyle w:val="HorizontalLine"/>
        <w:rPr/>
      </w:pPr>
      <w:r>
        <w:rPr/>
      </w:r>
    </w:p>
    <w:p>
      <w:pPr>
        <w:pStyle w:val="TextBody"/>
        <w:spacing w:before="0" w:after="0"/>
        <w:jc w:val="left"/>
        <w:rPr>
          <w:rFonts w:ascii="ARIAL" w:hAnsi="ARIAL"/>
          <w:b/>
          <w:i/>
          <w:sz w:val="20"/>
        </w:rPr>
      </w:pPr>
      <w:r>
        <w:rPr>
          <w:rFonts w:ascii="ARIAL" w:hAnsi="ARIAL"/>
          <w:b/>
          <w:i/>
          <w:sz w:val="20"/>
        </w:rPr>
        <w:t xml:space="preserve">2020-2022 Performance-Based Restricted Stock Awards </w:t>
      </w:r>
    </w:p>
    <w:p>
      <w:pPr>
        <w:pStyle w:val="TextBody"/>
        <w:spacing w:before="240" w:after="0"/>
        <w:jc w:val="left"/>
        <w:rPr>
          <w:rFonts w:ascii="ARIAL" w:hAnsi="ARIAL"/>
          <w:sz w:val="20"/>
        </w:rPr>
      </w:pPr>
      <w:r>
        <w:rPr>
          <w:rFonts w:ascii="ARIAL" w:hAnsi="ARIAL"/>
          <w:sz w:val="20"/>
        </w:rPr>
        <w:t xml:space="preserve">In March 2020, each of our named-executive officers received performance-based restricted stock awards tied to achieving Cumulative Consolidated Adjusted EBITDA Growth (with a target of 9.0% cumulative consolidated growth) and Cumulative Same-Store Net Revenue Growth (with a target of 6.0% cumulative same-store growth) during the three-year performance period from January 1, 2020 through December 31, 2022 (the “2020-2022 Performance Period”). </w:t>
      </w:r>
    </w:p>
    <w:p>
      <w:pPr>
        <w:pStyle w:val="TextBody"/>
        <w:spacing w:before="240" w:after="0"/>
        <w:jc w:val="left"/>
        <w:rPr>
          <w:rFonts w:ascii="ARIAL" w:hAnsi="ARIAL"/>
          <w:sz w:val="20"/>
        </w:rPr>
      </w:pPr>
      <w:r>
        <w:rPr>
          <w:rFonts w:ascii="ARIAL" w:hAnsi="ARIAL"/>
          <w:sz w:val="20"/>
        </w:rPr>
        <w:t xml:space="preserve">For our then-Chief Executive Officer (Mr. Smith) and our Chief Financial Officer (Mr. Hammons), a portion of their performance-based restricted stock award was also tied to the Company’s TSR Percentile Rank (with a target of the 50th percentile). For the then-serving Chief Executive Officer and the Chief Financial Officer, 40% of their 2020-2022 performance-based restricted stock award was tied to achievement of the Cumulative Consolidated Adjusted EBITDA Growth target, 40% was tied to achievement of the Cumulative Same-Store Net Revenue Growth target, and 20% was tied to achievement of the TSR Percentile Rank target. </w:t>
      </w:r>
    </w:p>
    <w:p>
      <w:pPr>
        <w:pStyle w:val="TextBody"/>
        <w:spacing w:before="240" w:after="0"/>
        <w:jc w:val="left"/>
        <w:rPr>
          <w:rFonts w:ascii="ARIAL" w:hAnsi="ARIAL"/>
          <w:sz w:val="20"/>
        </w:rPr>
      </w:pPr>
      <w:r>
        <w:rPr>
          <w:rFonts w:ascii="ARIAL" w:hAnsi="ARIAL"/>
          <w:sz w:val="20"/>
        </w:rPr>
        <w:t xml:space="preserve">For our other current named executive officers, 50% of their performance-based restricted stock award was tied to achievement of the Cumulative Consolidated Adjusted EBITDA Growth target, and 50% was tied to achievement of the Cumulative Same-Store Net Revenue Growth target. The Compensation Committee believed these metrics emphasized financial growth and aligned the interest of our named executive officers with the Company’s long-term business strategy. Each performance target was scaled to achieve a partial award for less than targeted performance or an above target award for overachievement as illustrated below: </w:t>
      </w:r>
    </w:p>
    <w:p>
      <w:pPr>
        <w:pStyle w:val="TextBody"/>
        <w:spacing w:before="0" w:after="0"/>
        <w:jc w:val="left"/>
        <w:rPr/>
      </w:pPr>
      <w:r>
        <w:rPr/>
        <w:t> </w:t>
      </w:r>
    </w:p>
    <w:tbl>
      <w:tblPr>
        <w:tblW w:w="8867" w:type="dxa"/>
        <w:jc w:val="left"/>
        <w:tblInd w:w="0" w:type="dxa"/>
        <w:tblCellMar>
          <w:top w:w="0" w:type="dxa"/>
          <w:left w:w="0" w:type="dxa"/>
          <w:bottom w:w="0" w:type="dxa"/>
          <w:right w:w="0" w:type="dxa"/>
        </w:tblCellMar>
      </w:tblPr>
      <w:tblGrid>
        <w:gridCol w:w="1520"/>
        <w:gridCol w:w="70"/>
        <w:gridCol w:w="1347"/>
        <w:gridCol w:w="60"/>
        <w:gridCol w:w="60"/>
        <w:gridCol w:w="60"/>
        <w:gridCol w:w="1490"/>
        <w:gridCol w:w="60"/>
        <w:gridCol w:w="1235"/>
        <w:gridCol w:w="60"/>
        <w:gridCol w:w="60"/>
        <w:gridCol w:w="60"/>
        <w:gridCol w:w="1565"/>
        <w:gridCol w:w="60"/>
        <w:gridCol w:w="1160"/>
      </w:tblGrid>
      <w:tr>
        <w:trPr/>
        <w:tc>
          <w:tcPr>
            <w:tcW w:w="1520" w:type="dxa"/>
            <w:tcBorders/>
            <w:shd w:fill="auto" w:val="clear"/>
            <w:vAlign w:val="center"/>
          </w:tcPr>
          <w:p>
            <w:pPr>
              <w:pStyle w:val="TableContents"/>
              <w:spacing w:before="0" w:after="283"/>
              <w:rPr>
                <w:sz w:val="4"/>
                <w:szCs w:val="4"/>
              </w:rPr>
            </w:pPr>
            <w:r>
              <w:rPr>
                <w:sz w:val="4"/>
                <w:szCs w:val="4"/>
              </w:rPr>
            </w:r>
          </w:p>
        </w:tc>
        <w:tc>
          <w:tcPr>
            <w:tcW w:w="70" w:type="dxa"/>
            <w:tcBorders/>
            <w:shd w:fill="auto" w:val="clear"/>
            <w:vAlign w:val="center"/>
          </w:tcPr>
          <w:p>
            <w:pPr>
              <w:pStyle w:val="TableContents"/>
              <w:spacing w:before="0" w:after="283"/>
              <w:rPr>
                <w:sz w:val="4"/>
                <w:szCs w:val="4"/>
              </w:rPr>
            </w:pPr>
            <w:r>
              <w:rPr>
                <w:sz w:val="4"/>
                <w:szCs w:val="4"/>
              </w:rPr>
            </w:r>
          </w:p>
        </w:tc>
        <w:tc>
          <w:tcPr>
            <w:tcW w:w="134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56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60" w:type="dxa"/>
            <w:tcBorders/>
            <w:shd w:fill="auto" w:val="clear"/>
            <w:vAlign w:val="center"/>
          </w:tcPr>
          <w:p>
            <w:pPr>
              <w:pStyle w:val="TableContents"/>
              <w:spacing w:before="0" w:after="283"/>
              <w:rPr>
                <w:sz w:val="4"/>
                <w:szCs w:val="4"/>
              </w:rPr>
            </w:pPr>
            <w:r>
              <w:rPr>
                <w:sz w:val="4"/>
                <w:szCs w:val="4"/>
              </w:rPr>
            </w:r>
          </w:p>
        </w:tc>
      </w:tr>
      <w:tr>
        <w:trPr/>
        <w:tc>
          <w:tcPr>
            <w:tcW w:w="2937" w:type="dxa"/>
            <w:gridSpan w:val="3"/>
            <w:tcBorders>
              <w:top w:val="single" w:sz="6" w:space="0" w:color="000000"/>
              <w:left w:val="single" w:sz="6" w:space="0" w:color="000000"/>
              <w:bottom w:val="single" w:sz="6" w:space="0" w:color="000000"/>
              <w:right w:val="single" w:sz="6" w:space="0" w:color="000000"/>
            </w:tcBorders>
            <w:shd w:fill="auto" w:val="clear"/>
            <w:tcMar>
              <w:top w:w="28" w:type="dxa"/>
              <w:left w:w="160" w:type="dxa"/>
              <w:bottom w:w="28" w:type="dxa"/>
              <w:right w:w="28" w:type="dxa"/>
            </w:tcMar>
            <w:vAlign w:val="center"/>
          </w:tcPr>
          <w:p>
            <w:pPr>
              <w:pStyle w:val="TableContents"/>
              <w:spacing w:before="0" w:after="0"/>
              <w:jc w:val="center"/>
              <w:rPr>
                <w:rFonts w:ascii="ARIAL" w:hAnsi="ARIAL"/>
                <w:b/>
                <w:sz w:val="18"/>
              </w:rPr>
            </w:pPr>
            <w:r>
              <w:rPr>
                <w:rFonts w:ascii="ARIAL" w:hAnsi="ARIAL"/>
                <w:b/>
                <w:sz w:val="18"/>
              </w:rPr>
              <w:t>Cumulative Consolidated</w:t>
            </w:r>
          </w:p>
          <w:p>
            <w:pPr>
              <w:pStyle w:val="TableContents"/>
              <w:spacing w:before="0" w:after="0"/>
              <w:jc w:val="center"/>
              <w:rPr>
                <w:rFonts w:ascii="ARIAL" w:hAnsi="ARIAL"/>
                <w:b/>
                <w:sz w:val="18"/>
              </w:rPr>
            </w:pPr>
            <w:r>
              <w:rPr>
                <w:rFonts w:ascii="ARIAL" w:hAnsi="ARIAL"/>
                <w:b/>
                <w:sz w:val="18"/>
              </w:rPr>
              <w:t>Adjusted EBITDA Growth Target</w:t>
            </w:r>
          </w:p>
          <w:p>
            <w:pPr>
              <w:pStyle w:val="TableContents"/>
              <w:spacing w:before="0" w:after="20"/>
              <w:jc w:val="center"/>
              <w:rPr>
                <w:rFonts w:ascii="ARIAL" w:hAnsi="ARIAL"/>
                <w:b/>
                <w:sz w:val="18"/>
              </w:rPr>
            </w:pPr>
            <w:r>
              <w:rPr>
                <w:rFonts w:ascii="ARIAL" w:hAnsi="ARIAL"/>
                <w:b/>
                <w:sz w:val="18"/>
              </w:rPr>
              <w:t>1/1/2020 - 12/31/2022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top w:val="single" w:sz="6" w:space="0" w:color="000000"/>
              <w:left w:val="single" w:sz="6" w:space="0" w:color="000000"/>
              <w:bottom w:val="single" w:sz="6" w:space="0" w:color="000000"/>
            </w:tcBorders>
            <w:shd w:fill="auto" w:val="clear"/>
            <w:tcMar>
              <w:top w:w="28" w:type="dxa"/>
              <w:left w:w="28" w:type="dxa"/>
              <w:bottom w:w="28" w:type="dxa"/>
            </w:tcMar>
            <w:vAlign w:val="center"/>
          </w:tcPr>
          <w:p>
            <w:pPr>
              <w:pStyle w:val="TableContents"/>
              <w:spacing w:before="0" w:after="283"/>
              <w:rPr/>
            </w:pPr>
            <w:r>
              <w:rPr/>
              <w:t> </w:t>
            </w:r>
          </w:p>
        </w:tc>
        <w:tc>
          <w:tcPr>
            <w:tcW w:w="2785" w:type="dxa"/>
            <w:gridSpan w:val="3"/>
            <w:tcBorders>
              <w:top w:val="single" w:sz="6" w:space="0" w:color="000000"/>
              <w:bottom w:val="single" w:sz="6" w:space="0" w:color="000000"/>
              <w:right w:val="single" w:sz="6" w:space="0" w:color="000000"/>
            </w:tcBorders>
            <w:shd w:fill="auto" w:val="clear"/>
            <w:tcMar>
              <w:top w:w="28" w:type="dxa"/>
              <w:bottom w:w="28" w:type="dxa"/>
              <w:right w:w="28" w:type="dxa"/>
            </w:tcMar>
            <w:vAlign w:val="center"/>
          </w:tcPr>
          <w:p>
            <w:pPr>
              <w:pStyle w:val="TableContents"/>
              <w:spacing w:before="0" w:after="0"/>
              <w:jc w:val="center"/>
              <w:rPr>
                <w:rFonts w:ascii="ARIAL" w:hAnsi="ARIAL"/>
                <w:b/>
                <w:sz w:val="18"/>
              </w:rPr>
            </w:pPr>
            <w:r>
              <w:rPr>
                <w:rFonts w:ascii="ARIAL" w:hAnsi="ARIAL"/>
                <w:b/>
                <w:sz w:val="18"/>
              </w:rPr>
              <w:t>Cumulative Same-Store</w:t>
            </w:r>
          </w:p>
          <w:p>
            <w:pPr>
              <w:pStyle w:val="TableContents"/>
              <w:spacing w:before="0" w:after="0"/>
              <w:jc w:val="center"/>
              <w:rPr>
                <w:rFonts w:ascii="ARIAL" w:hAnsi="ARIAL"/>
                <w:b/>
                <w:sz w:val="18"/>
              </w:rPr>
            </w:pPr>
            <w:r>
              <w:rPr>
                <w:rFonts w:ascii="ARIAL" w:hAnsi="ARIAL"/>
                <w:b/>
                <w:sz w:val="18"/>
              </w:rPr>
              <w:t>Net Revenue Growth Target</w:t>
            </w:r>
          </w:p>
          <w:p>
            <w:pPr>
              <w:pStyle w:val="TableContents"/>
              <w:spacing w:before="0" w:after="20"/>
              <w:jc w:val="center"/>
              <w:rPr>
                <w:rFonts w:ascii="ARIAL" w:hAnsi="ARIAL"/>
                <w:b/>
                <w:sz w:val="18"/>
              </w:rPr>
            </w:pPr>
            <w:r>
              <w:rPr>
                <w:rFonts w:ascii="ARIAL" w:hAnsi="ARIAL"/>
                <w:b/>
                <w:sz w:val="18"/>
              </w:rPr>
              <w:t>1/1/ 2020 - 12/31/2022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top w:val="single" w:sz="6" w:space="0" w:color="000000"/>
              <w:left w:val="single" w:sz="6" w:space="0" w:color="000000"/>
              <w:bottom w:val="single" w:sz="6" w:space="0" w:color="000000"/>
            </w:tcBorders>
            <w:shd w:fill="auto" w:val="clear"/>
            <w:tcMar>
              <w:top w:w="28" w:type="dxa"/>
              <w:left w:w="28" w:type="dxa"/>
              <w:bottom w:w="28" w:type="dxa"/>
            </w:tcMar>
            <w:vAlign w:val="center"/>
          </w:tcPr>
          <w:p>
            <w:pPr>
              <w:pStyle w:val="TableContents"/>
              <w:spacing w:before="0" w:after="283"/>
              <w:rPr/>
            </w:pPr>
            <w:r>
              <w:rPr/>
              <w:t> </w:t>
            </w:r>
          </w:p>
        </w:tc>
        <w:tc>
          <w:tcPr>
            <w:tcW w:w="2785" w:type="dxa"/>
            <w:gridSpan w:val="3"/>
            <w:tcBorders>
              <w:top w:val="single" w:sz="6" w:space="0" w:color="000000"/>
              <w:bottom w:val="single" w:sz="6" w:space="0" w:color="000000"/>
              <w:right w:val="single" w:sz="6" w:space="0" w:color="000000"/>
            </w:tcBorders>
            <w:shd w:fill="auto" w:val="clear"/>
            <w:tcMar>
              <w:top w:w="28" w:type="dxa"/>
              <w:bottom w:w="28" w:type="dxa"/>
              <w:right w:w="40" w:type="dxa"/>
            </w:tcMar>
            <w:vAlign w:val="center"/>
          </w:tcPr>
          <w:p>
            <w:pPr>
              <w:pStyle w:val="TableContents"/>
              <w:spacing w:before="0" w:after="0"/>
              <w:jc w:val="center"/>
              <w:rPr>
                <w:rFonts w:ascii="ARIAL" w:hAnsi="ARIAL"/>
                <w:b/>
                <w:sz w:val="18"/>
              </w:rPr>
            </w:pPr>
            <w:r>
              <w:rPr>
                <w:rFonts w:ascii="ARIAL" w:hAnsi="ARIAL"/>
                <w:b/>
                <w:sz w:val="18"/>
              </w:rPr>
              <w:t>TSR Percentile Rank Target</w:t>
            </w:r>
          </w:p>
          <w:p>
            <w:pPr>
              <w:pStyle w:val="TableContents"/>
              <w:spacing w:before="0" w:after="20"/>
              <w:jc w:val="center"/>
              <w:rPr>
                <w:rFonts w:ascii="ARIAL" w:hAnsi="ARIAL"/>
                <w:b/>
                <w:sz w:val="18"/>
              </w:rPr>
            </w:pPr>
            <w:r>
              <w:rPr>
                <w:rFonts w:ascii="ARIAL" w:hAnsi="ARIAL"/>
                <w:b/>
                <w:sz w:val="18"/>
              </w:rPr>
              <w:t>1/1/ 2020 - 12/31/2022</w:t>
            </w:r>
          </w:p>
        </w:tc>
      </w:tr>
      <w:tr>
        <w:trPr/>
        <w:tc>
          <w:tcPr>
            <w:tcW w:w="1520" w:type="dxa"/>
            <w:tcBorders>
              <w:top w:val="single" w:sz="6" w:space="0" w:color="000000"/>
              <w:left w:val="single" w:sz="6" w:space="0" w:color="000000"/>
              <w:bottom w:val="single" w:sz="6" w:space="0" w:color="000000"/>
              <w:right w:val="single" w:sz="6" w:space="0" w:color="000000"/>
            </w:tcBorders>
            <w:shd w:fill="auto" w:val="clear"/>
            <w:tcMar>
              <w:top w:w="28" w:type="dxa"/>
              <w:left w:w="160" w:type="dxa"/>
              <w:bottom w:w="28" w:type="dxa"/>
              <w:right w:w="28" w:type="dxa"/>
            </w:tcMar>
            <w:vAlign w:val="center"/>
          </w:tcPr>
          <w:p>
            <w:pPr>
              <w:pStyle w:val="TableContents"/>
              <w:spacing w:before="0" w:after="0"/>
              <w:jc w:val="center"/>
              <w:rPr>
                <w:rFonts w:ascii="ARIAL" w:hAnsi="ARIAL"/>
                <w:b/>
                <w:sz w:val="18"/>
              </w:rPr>
            </w:pPr>
            <w:r>
              <w:rPr>
                <w:rFonts w:ascii="ARIAL" w:hAnsi="ARIAL"/>
                <w:b/>
                <w:sz w:val="18"/>
              </w:rPr>
              <w:t>Cumulative</w:t>
            </w:r>
          </w:p>
          <w:p>
            <w:pPr>
              <w:pStyle w:val="TableContents"/>
              <w:spacing w:before="0" w:after="0"/>
              <w:jc w:val="center"/>
              <w:rPr>
                <w:rFonts w:ascii="ARIAL" w:hAnsi="ARIAL"/>
                <w:b/>
                <w:sz w:val="18"/>
              </w:rPr>
            </w:pPr>
            <w:r>
              <w:rPr>
                <w:rFonts w:ascii="ARIAL" w:hAnsi="ARIAL"/>
                <w:b/>
                <w:sz w:val="18"/>
              </w:rPr>
              <w:t>Consolidated</w:t>
            </w:r>
          </w:p>
          <w:p>
            <w:pPr>
              <w:pStyle w:val="TableContents"/>
              <w:spacing w:before="0" w:after="0"/>
              <w:jc w:val="center"/>
              <w:rPr>
                <w:rFonts w:ascii="ARIAL" w:hAnsi="ARIAL"/>
                <w:b/>
                <w:sz w:val="18"/>
              </w:rPr>
            </w:pPr>
            <w:r>
              <w:rPr>
                <w:rFonts w:ascii="ARIAL" w:hAnsi="ARIAL"/>
                <w:b/>
                <w:sz w:val="18"/>
              </w:rPr>
              <w:t>Adjusted EBITDA</w:t>
            </w:r>
          </w:p>
          <w:p>
            <w:pPr>
              <w:pStyle w:val="TableContents"/>
              <w:spacing w:before="0" w:after="20"/>
              <w:jc w:val="center"/>
              <w:rPr>
                <w:rFonts w:ascii="ARIAL" w:hAnsi="ARIAL"/>
                <w:b/>
                <w:sz w:val="18"/>
              </w:rPr>
            </w:pPr>
            <w:r>
              <w:rPr>
                <w:rFonts w:ascii="ARIAL" w:hAnsi="ARIAL"/>
                <w:b/>
                <w:sz w:val="18"/>
              </w:rPr>
              <w:t>Growth</w:t>
            </w:r>
          </w:p>
        </w:tc>
        <w:tc>
          <w:tcPr>
            <w:tcW w:w="70" w:type="dxa"/>
            <w:tcBorders>
              <w:top w:val="single" w:sz="6" w:space="0" w:color="000000"/>
              <w:left w:val="single" w:sz="6" w:space="0" w:color="000000"/>
              <w:bottom w:val="single" w:sz="6" w:space="0" w:color="000000"/>
            </w:tcBorders>
            <w:shd w:fill="auto" w:val="clear"/>
            <w:tcMar>
              <w:top w:w="28" w:type="dxa"/>
              <w:left w:w="28" w:type="dxa"/>
              <w:bottom w:w="28" w:type="dxa"/>
            </w:tcMar>
            <w:vAlign w:val="center"/>
          </w:tcPr>
          <w:p>
            <w:pPr>
              <w:pStyle w:val="TableContents"/>
              <w:spacing w:before="0" w:after="283"/>
              <w:rPr/>
            </w:pPr>
            <w:r>
              <w:rPr/>
              <w:t> </w:t>
            </w:r>
          </w:p>
        </w:tc>
        <w:tc>
          <w:tcPr>
            <w:tcW w:w="1347" w:type="dxa"/>
            <w:tcBorders>
              <w:top w:val="single" w:sz="6" w:space="0" w:color="000000"/>
              <w:bottom w:val="single" w:sz="6" w:space="0" w:color="000000"/>
              <w:right w:val="single" w:sz="6" w:space="0" w:color="000000"/>
            </w:tcBorders>
            <w:shd w:fill="auto" w:val="clear"/>
            <w:tcMar>
              <w:top w:w="28" w:type="dxa"/>
              <w:bottom w:w="28" w:type="dxa"/>
              <w:right w:w="28" w:type="dxa"/>
            </w:tcMar>
            <w:vAlign w:val="center"/>
          </w:tcPr>
          <w:p>
            <w:pPr>
              <w:pStyle w:val="TableContents"/>
              <w:spacing w:before="0" w:after="0"/>
              <w:jc w:val="center"/>
              <w:rPr>
                <w:rFonts w:ascii="ARIAL" w:hAnsi="ARIAL"/>
                <w:b/>
                <w:sz w:val="18"/>
              </w:rPr>
            </w:pPr>
            <w:r>
              <w:rPr>
                <w:rFonts w:ascii="ARIAL" w:hAnsi="ARIAL"/>
                <w:b/>
                <w:sz w:val="18"/>
              </w:rPr>
              <w:t>% of</w:t>
              <w:br/>
              <w:t>Consolidated</w:t>
            </w:r>
          </w:p>
          <w:p>
            <w:pPr>
              <w:pStyle w:val="TableContents"/>
              <w:spacing w:before="0" w:after="20"/>
              <w:jc w:val="center"/>
              <w:rPr>
                <w:rFonts w:ascii="ARIAL" w:hAnsi="ARIAL"/>
                <w:b/>
                <w:sz w:val="18"/>
              </w:rPr>
            </w:pPr>
            <w:r>
              <w:rPr>
                <w:rFonts w:ascii="ARIAL" w:hAnsi="ARIAL"/>
                <w:b/>
                <w:sz w:val="18"/>
              </w:rPr>
              <w:t>Adjusted</w:t>
              <w:br/>
              <w:t>EBITDA</w:t>
              <w:br/>
              <w:t>Target</w:t>
              <w:br/>
              <w:t>Shares</w:t>
              <w:br/>
              <w:t>Earned</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top w:val="single" w:sz="6" w:space="0" w:color="000000"/>
              <w:left w:val="single" w:sz="6" w:space="0" w:color="000000"/>
              <w:bottom w:val="single" w:sz="6" w:space="0" w:color="000000"/>
            </w:tcBorders>
            <w:shd w:fill="auto" w:val="clear"/>
            <w:tcMar>
              <w:top w:w="28" w:type="dxa"/>
              <w:left w:w="28" w:type="dxa"/>
              <w:bottom w:w="28" w:type="dxa"/>
            </w:tcMar>
            <w:vAlign w:val="center"/>
          </w:tcPr>
          <w:p>
            <w:pPr>
              <w:pStyle w:val="TableContents"/>
              <w:spacing w:before="0" w:after="283"/>
              <w:rPr/>
            </w:pPr>
            <w:r>
              <w:rPr/>
              <w:t> </w:t>
            </w:r>
          </w:p>
        </w:tc>
        <w:tc>
          <w:tcPr>
            <w:tcW w:w="1490" w:type="dxa"/>
            <w:tcBorders>
              <w:top w:val="single" w:sz="6" w:space="0" w:color="000000"/>
              <w:bottom w:val="single" w:sz="6" w:space="0" w:color="000000"/>
              <w:right w:val="single" w:sz="6" w:space="0" w:color="000000"/>
            </w:tcBorders>
            <w:shd w:fill="auto" w:val="clear"/>
            <w:tcMar>
              <w:top w:w="28" w:type="dxa"/>
              <w:bottom w:w="28" w:type="dxa"/>
              <w:right w:w="28" w:type="dxa"/>
            </w:tcMar>
            <w:vAlign w:val="center"/>
          </w:tcPr>
          <w:p>
            <w:pPr>
              <w:pStyle w:val="TableContents"/>
              <w:spacing w:before="0" w:after="0"/>
              <w:jc w:val="center"/>
              <w:rPr>
                <w:rFonts w:ascii="ARIAL" w:hAnsi="ARIAL"/>
                <w:b/>
                <w:sz w:val="18"/>
              </w:rPr>
            </w:pPr>
            <w:r>
              <w:rPr>
                <w:rFonts w:ascii="ARIAL" w:hAnsi="ARIAL"/>
                <w:b/>
                <w:sz w:val="18"/>
              </w:rPr>
              <w:t>Cumulative</w:t>
            </w:r>
          </w:p>
          <w:p>
            <w:pPr>
              <w:pStyle w:val="TableContents"/>
              <w:spacing w:before="0" w:after="0"/>
              <w:jc w:val="center"/>
              <w:rPr>
                <w:rFonts w:ascii="ARIAL" w:hAnsi="ARIAL"/>
                <w:b/>
                <w:sz w:val="18"/>
              </w:rPr>
            </w:pPr>
            <w:r>
              <w:rPr>
                <w:rFonts w:ascii="ARIAL" w:hAnsi="ARIAL"/>
                <w:b/>
                <w:sz w:val="18"/>
              </w:rPr>
              <w:t>Same-Store</w:t>
            </w:r>
          </w:p>
          <w:p>
            <w:pPr>
              <w:pStyle w:val="TableContents"/>
              <w:spacing w:before="0" w:after="0"/>
              <w:jc w:val="center"/>
              <w:rPr>
                <w:rFonts w:ascii="ARIAL" w:hAnsi="ARIAL"/>
                <w:b/>
                <w:sz w:val="18"/>
              </w:rPr>
            </w:pPr>
            <w:r>
              <w:rPr>
                <w:rFonts w:ascii="ARIAL" w:hAnsi="ARIAL"/>
                <w:b/>
                <w:sz w:val="18"/>
              </w:rPr>
              <w:t>Net Revenue</w:t>
            </w:r>
          </w:p>
          <w:p>
            <w:pPr>
              <w:pStyle w:val="TableContents"/>
              <w:spacing w:before="0" w:after="20"/>
              <w:jc w:val="center"/>
              <w:rPr>
                <w:rFonts w:ascii="ARIAL" w:hAnsi="ARIAL"/>
                <w:b/>
                <w:sz w:val="18"/>
              </w:rPr>
            </w:pPr>
            <w:r>
              <w:rPr>
                <w:rFonts w:ascii="ARIAL" w:hAnsi="ARIAL"/>
                <w:b/>
                <w:sz w:val="18"/>
              </w:rPr>
              <w:t>Growth</w:t>
            </w:r>
          </w:p>
        </w:tc>
        <w:tc>
          <w:tcPr>
            <w:tcW w:w="60" w:type="dxa"/>
            <w:tcBorders>
              <w:top w:val="single" w:sz="6" w:space="0" w:color="000000"/>
              <w:left w:val="single" w:sz="6" w:space="0" w:color="000000"/>
              <w:bottom w:val="single" w:sz="6" w:space="0" w:color="000000"/>
            </w:tcBorders>
            <w:shd w:fill="auto" w:val="clear"/>
            <w:tcMar>
              <w:top w:w="28" w:type="dxa"/>
              <w:left w:w="28" w:type="dxa"/>
              <w:bottom w:w="28" w:type="dxa"/>
            </w:tcMar>
            <w:vAlign w:val="center"/>
          </w:tcPr>
          <w:p>
            <w:pPr>
              <w:pStyle w:val="TableContents"/>
              <w:spacing w:before="0" w:after="283"/>
              <w:rPr/>
            </w:pPr>
            <w:r>
              <w:rPr/>
              <w:t> </w:t>
            </w:r>
          </w:p>
        </w:tc>
        <w:tc>
          <w:tcPr>
            <w:tcW w:w="1235" w:type="dxa"/>
            <w:tcBorders>
              <w:top w:val="single" w:sz="6" w:space="0" w:color="000000"/>
              <w:bottom w:val="single" w:sz="6" w:space="0" w:color="000000"/>
              <w:right w:val="single" w:sz="6" w:space="0" w:color="000000"/>
            </w:tcBorders>
            <w:shd w:fill="auto" w:val="clear"/>
            <w:tcMar>
              <w:top w:w="28" w:type="dxa"/>
              <w:bottom w:w="28" w:type="dxa"/>
              <w:right w:w="28" w:type="dxa"/>
            </w:tcMar>
            <w:vAlign w:val="center"/>
          </w:tcPr>
          <w:p>
            <w:pPr>
              <w:pStyle w:val="TableContents"/>
              <w:spacing w:before="0" w:after="0"/>
              <w:jc w:val="center"/>
              <w:rPr>
                <w:rFonts w:ascii="ARIAL" w:hAnsi="ARIAL"/>
                <w:b/>
                <w:sz w:val="18"/>
              </w:rPr>
            </w:pPr>
            <w:r>
              <w:rPr>
                <w:rFonts w:ascii="ARIAL" w:hAnsi="ARIAL"/>
                <w:b/>
                <w:sz w:val="18"/>
              </w:rPr>
              <w:t>% of</w:t>
            </w:r>
          </w:p>
          <w:p>
            <w:pPr>
              <w:pStyle w:val="TableContents"/>
              <w:spacing w:before="0" w:after="0"/>
              <w:jc w:val="center"/>
              <w:rPr>
                <w:rFonts w:ascii="ARIAL" w:hAnsi="ARIAL"/>
                <w:b/>
                <w:sz w:val="18"/>
              </w:rPr>
            </w:pPr>
            <w:r>
              <w:rPr>
                <w:rFonts w:ascii="ARIAL" w:hAnsi="ARIAL"/>
                <w:b/>
                <w:sz w:val="18"/>
              </w:rPr>
              <w:t>Same-Store</w:t>
            </w:r>
          </w:p>
          <w:p>
            <w:pPr>
              <w:pStyle w:val="TableContents"/>
              <w:spacing w:before="0" w:after="0"/>
              <w:jc w:val="center"/>
              <w:rPr>
                <w:rFonts w:ascii="ARIAL" w:hAnsi="ARIAL"/>
                <w:b/>
                <w:sz w:val="18"/>
              </w:rPr>
            </w:pPr>
            <w:r>
              <w:rPr>
                <w:rFonts w:ascii="ARIAL" w:hAnsi="ARIAL"/>
                <w:b/>
                <w:sz w:val="18"/>
              </w:rPr>
              <w:t>Adjusted</w:t>
            </w:r>
          </w:p>
          <w:p>
            <w:pPr>
              <w:pStyle w:val="TableContents"/>
              <w:spacing w:before="0" w:after="0"/>
              <w:jc w:val="center"/>
              <w:rPr>
                <w:rFonts w:ascii="ARIAL" w:hAnsi="ARIAL"/>
                <w:b/>
                <w:sz w:val="18"/>
              </w:rPr>
            </w:pPr>
            <w:r>
              <w:rPr>
                <w:rFonts w:ascii="ARIAL" w:hAnsi="ARIAL"/>
                <w:b/>
                <w:sz w:val="18"/>
              </w:rPr>
              <w:t>Net Revenue</w:t>
            </w:r>
          </w:p>
          <w:p>
            <w:pPr>
              <w:pStyle w:val="TableContents"/>
              <w:spacing w:before="0" w:after="0"/>
              <w:jc w:val="center"/>
              <w:rPr>
                <w:rFonts w:ascii="ARIAL" w:hAnsi="ARIAL"/>
                <w:b/>
                <w:sz w:val="18"/>
              </w:rPr>
            </w:pPr>
            <w:r>
              <w:rPr>
                <w:rFonts w:ascii="ARIAL" w:hAnsi="ARIAL"/>
                <w:b/>
                <w:sz w:val="18"/>
              </w:rPr>
              <w:t>Target Shares</w:t>
            </w:r>
          </w:p>
          <w:p>
            <w:pPr>
              <w:pStyle w:val="TableContents"/>
              <w:spacing w:before="0" w:after="20"/>
              <w:jc w:val="center"/>
              <w:rPr>
                <w:rFonts w:ascii="ARIAL" w:hAnsi="ARIAL"/>
                <w:b/>
                <w:sz w:val="18"/>
              </w:rPr>
            </w:pPr>
            <w:r>
              <w:rPr>
                <w:rFonts w:ascii="ARIAL" w:hAnsi="ARIAL"/>
                <w:b/>
                <w:sz w:val="18"/>
              </w:rPr>
              <w:t>Earned</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top w:val="single" w:sz="6" w:space="0" w:color="000000"/>
              <w:left w:val="single" w:sz="6" w:space="0" w:color="000000"/>
              <w:bottom w:val="single" w:sz="6" w:space="0" w:color="000000"/>
            </w:tcBorders>
            <w:shd w:fill="auto" w:val="clear"/>
            <w:tcMar>
              <w:top w:w="28" w:type="dxa"/>
              <w:left w:w="28" w:type="dxa"/>
              <w:bottom w:w="28" w:type="dxa"/>
            </w:tcMar>
            <w:vAlign w:val="center"/>
          </w:tcPr>
          <w:p>
            <w:pPr>
              <w:pStyle w:val="TableContents"/>
              <w:spacing w:before="0" w:after="283"/>
              <w:rPr/>
            </w:pPr>
            <w:r>
              <w:rPr/>
              <w:t> </w:t>
            </w:r>
          </w:p>
        </w:tc>
        <w:tc>
          <w:tcPr>
            <w:tcW w:w="1565" w:type="dxa"/>
            <w:tcBorders>
              <w:top w:val="single" w:sz="6" w:space="0" w:color="000000"/>
              <w:bottom w:val="single" w:sz="6" w:space="0" w:color="000000"/>
              <w:right w:val="single" w:sz="6" w:space="0" w:color="000000"/>
            </w:tcBorders>
            <w:shd w:fill="auto" w:val="clear"/>
            <w:tcMar>
              <w:top w:w="28" w:type="dxa"/>
              <w:bottom w:w="28" w:type="dxa"/>
              <w:right w:w="28" w:type="dxa"/>
            </w:tcMar>
            <w:vAlign w:val="center"/>
          </w:tcPr>
          <w:p>
            <w:pPr>
              <w:pStyle w:val="TableContents"/>
              <w:spacing w:before="0" w:after="283"/>
              <w:jc w:val="center"/>
              <w:rPr>
                <w:b/>
              </w:rPr>
            </w:pPr>
            <w:r>
              <w:rPr>
                <w:b/>
              </w:rPr>
              <w:t>TSR Percentile</w:t>
              <w:br/>
              <w:t>Rank</w:t>
            </w:r>
          </w:p>
        </w:tc>
        <w:tc>
          <w:tcPr>
            <w:tcW w:w="60" w:type="dxa"/>
            <w:tcBorders>
              <w:top w:val="single" w:sz="6" w:space="0" w:color="000000"/>
              <w:left w:val="single" w:sz="6" w:space="0" w:color="000000"/>
              <w:bottom w:val="single" w:sz="6" w:space="0" w:color="000000"/>
            </w:tcBorders>
            <w:shd w:fill="auto" w:val="clear"/>
            <w:tcMar>
              <w:top w:w="28" w:type="dxa"/>
              <w:left w:w="28" w:type="dxa"/>
              <w:bottom w:w="28" w:type="dxa"/>
            </w:tcMar>
            <w:vAlign w:val="center"/>
          </w:tcPr>
          <w:p>
            <w:pPr>
              <w:pStyle w:val="TableContents"/>
              <w:spacing w:before="0" w:after="283"/>
              <w:rPr/>
            </w:pPr>
            <w:r>
              <w:rPr/>
              <w:t> </w:t>
            </w:r>
          </w:p>
        </w:tc>
        <w:tc>
          <w:tcPr>
            <w:tcW w:w="1160" w:type="dxa"/>
            <w:tcBorders>
              <w:top w:val="single" w:sz="6" w:space="0" w:color="000000"/>
              <w:bottom w:val="single" w:sz="6" w:space="0" w:color="000000"/>
              <w:right w:val="single" w:sz="6" w:space="0" w:color="000000"/>
            </w:tcBorders>
            <w:shd w:fill="auto" w:val="clear"/>
            <w:tcMar>
              <w:top w:w="28" w:type="dxa"/>
              <w:bottom w:w="28" w:type="dxa"/>
              <w:right w:w="40" w:type="dxa"/>
            </w:tcMar>
            <w:vAlign w:val="center"/>
          </w:tcPr>
          <w:p>
            <w:pPr>
              <w:pStyle w:val="TableContents"/>
              <w:spacing w:before="0" w:after="283"/>
              <w:jc w:val="center"/>
              <w:rPr>
                <w:b/>
              </w:rPr>
            </w:pPr>
            <w:r>
              <w:rPr>
                <w:b/>
              </w:rPr>
              <w:t>% of TSR</w:t>
              <w:br/>
              <w:t>Percentage</w:t>
              <w:br/>
              <w:t>Target</w:t>
              <w:br/>
              <w:t>Shares</w:t>
              <w:br/>
              <w:t>Earned</w:t>
            </w:r>
          </w:p>
        </w:tc>
      </w:tr>
      <w:tr>
        <w:trPr/>
        <w:tc>
          <w:tcPr>
            <w:tcW w:w="1520" w:type="dxa"/>
            <w:tcBorders>
              <w:top w:val="single" w:sz="6" w:space="0" w:color="000000"/>
              <w:left w:val="single" w:sz="6" w:space="0" w:color="000000"/>
              <w:bottom w:val="single" w:sz="6" w:space="0" w:color="000000"/>
              <w:right w:val="single" w:sz="6" w:space="0" w:color="000000"/>
            </w:tcBorders>
            <w:shd w:fill="auto" w:val="clear"/>
            <w:tcMar>
              <w:top w:w="28" w:type="dxa"/>
              <w:left w:w="160" w:type="dxa"/>
              <w:bottom w:w="28" w:type="dxa"/>
              <w:right w:w="28" w:type="dxa"/>
            </w:tcMar>
            <w:vAlign w:val="center"/>
          </w:tcPr>
          <w:p>
            <w:pPr>
              <w:pStyle w:val="TableContents"/>
              <w:spacing w:before="0" w:after="0"/>
              <w:jc w:val="center"/>
              <w:rPr>
                <w:rFonts w:ascii="ARIAL" w:hAnsi="ARIAL"/>
                <w:sz w:val="20"/>
              </w:rPr>
            </w:pPr>
            <w:r>
              <w:rPr>
                <w:rFonts w:ascii="ARIAL" w:hAnsi="ARIAL"/>
                <w:sz w:val="20"/>
              </w:rPr>
              <w:t>10.8%</w:t>
            </w:r>
          </w:p>
          <w:p>
            <w:pPr>
              <w:pStyle w:val="TableContents"/>
              <w:spacing w:before="0" w:after="20"/>
              <w:jc w:val="center"/>
              <w:rPr>
                <w:rFonts w:ascii="ARIAL" w:hAnsi="ARIAL"/>
                <w:sz w:val="20"/>
              </w:rPr>
            </w:pPr>
            <w:r>
              <w:rPr>
                <w:rFonts w:ascii="ARIAL" w:hAnsi="ARIAL"/>
                <w:sz w:val="20"/>
              </w:rPr>
              <w:t>(120% of target)</w:t>
            </w:r>
          </w:p>
        </w:tc>
        <w:tc>
          <w:tcPr>
            <w:tcW w:w="70" w:type="dxa"/>
            <w:tcBorders>
              <w:top w:val="single" w:sz="6" w:space="0" w:color="000000"/>
              <w:left w:val="single" w:sz="6" w:space="0" w:color="000000"/>
              <w:bottom w:val="single" w:sz="6" w:space="0" w:color="000000"/>
            </w:tcBorders>
            <w:shd w:fill="auto" w:val="clear"/>
            <w:tcMar>
              <w:top w:w="28" w:type="dxa"/>
              <w:left w:w="28" w:type="dxa"/>
              <w:bottom w:w="28" w:type="dxa"/>
            </w:tcMar>
            <w:vAlign w:val="center"/>
          </w:tcPr>
          <w:p>
            <w:pPr>
              <w:pStyle w:val="TableContents"/>
              <w:spacing w:before="0" w:after="283"/>
              <w:rPr/>
            </w:pPr>
            <w:r>
              <w:rPr/>
              <w:t> </w:t>
            </w:r>
          </w:p>
        </w:tc>
        <w:tc>
          <w:tcPr>
            <w:tcW w:w="1347" w:type="dxa"/>
            <w:tcBorders>
              <w:top w:val="single" w:sz="6" w:space="0" w:color="000000"/>
              <w:bottom w:val="single" w:sz="6" w:space="0" w:color="000000"/>
              <w:right w:val="single" w:sz="6" w:space="0" w:color="000000"/>
            </w:tcBorders>
            <w:shd w:fill="auto" w:val="clear"/>
            <w:tcMar>
              <w:top w:w="28" w:type="dxa"/>
              <w:bottom w:w="28" w:type="dxa"/>
              <w:right w:w="28" w:type="dxa"/>
            </w:tcMar>
            <w:vAlign w:val="center"/>
          </w:tcPr>
          <w:p>
            <w:pPr>
              <w:pStyle w:val="TableContents"/>
              <w:spacing w:before="0" w:after="283"/>
              <w:jc w:val="center"/>
              <w:rPr/>
            </w:pPr>
            <w:r>
              <w:rPr/>
              <w:t>200%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top w:val="single" w:sz="6" w:space="0" w:color="000000"/>
              <w:left w:val="single" w:sz="6" w:space="0" w:color="000000"/>
              <w:bottom w:val="single" w:sz="6" w:space="0" w:color="000000"/>
            </w:tcBorders>
            <w:shd w:fill="auto" w:val="clear"/>
            <w:tcMar>
              <w:top w:w="28" w:type="dxa"/>
              <w:left w:w="28" w:type="dxa"/>
              <w:bottom w:w="28" w:type="dxa"/>
            </w:tcMar>
            <w:vAlign w:val="center"/>
          </w:tcPr>
          <w:p>
            <w:pPr>
              <w:pStyle w:val="TableContents"/>
              <w:spacing w:before="0" w:after="283"/>
              <w:rPr/>
            </w:pPr>
            <w:r>
              <w:rPr/>
              <w:t> </w:t>
            </w:r>
          </w:p>
        </w:tc>
        <w:tc>
          <w:tcPr>
            <w:tcW w:w="1490" w:type="dxa"/>
            <w:tcBorders>
              <w:top w:val="single" w:sz="6" w:space="0" w:color="000000"/>
              <w:bottom w:val="single" w:sz="6" w:space="0" w:color="000000"/>
              <w:right w:val="single" w:sz="6" w:space="0" w:color="000000"/>
            </w:tcBorders>
            <w:shd w:fill="auto" w:val="clear"/>
            <w:tcMar>
              <w:top w:w="28" w:type="dxa"/>
              <w:bottom w:w="28" w:type="dxa"/>
              <w:right w:w="28" w:type="dxa"/>
            </w:tcMar>
            <w:vAlign w:val="center"/>
          </w:tcPr>
          <w:p>
            <w:pPr>
              <w:pStyle w:val="TableContents"/>
              <w:spacing w:before="0" w:after="0"/>
              <w:jc w:val="center"/>
              <w:rPr>
                <w:rFonts w:ascii="ARIAL" w:hAnsi="ARIAL"/>
                <w:sz w:val="20"/>
              </w:rPr>
            </w:pPr>
            <w:r>
              <w:rPr>
                <w:rFonts w:ascii="ARIAL" w:hAnsi="ARIAL"/>
                <w:sz w:val="20"/>
              </w:rPr>
              <w:t>7.2%</w:t>
            </w:r>
          </w:p>
          <w:p>
            <w:pPr>
              <w:pStyle w:val="TableContents"/>
              <w:spacing w:before="0" w:after="20"/>
              <w:jc w:val="center"/>
              <w:rPr>
                <w:rFonts w:ascii="ARIAL" w:hAnsi="ARIAL"/>
                <w:sz w:val="20"/>
              </w:rPr>
            </w:pPr>
            <w:r>
              <w:rPr>
                <w:rFonts w:ascii="ARIAL" w:hAnsi="ARIAL"/>
                <w:sz w:val="20"/>
              </w:rPr>
              <w:t>(120% of target)</w:t>
            </w:r>
          </w:p>
        </w:tc>
        <w:tc>
          <w:tcPr>
            <w:tcW w:w="60" w:type="dxa"/>
            <w:tcBorders>
              <w:top w:val="single" w:sz="6" w:space="0" w:color="000000"/>
              <w:left w:val="single" w:sz="6" w:space="0" w:color="000000"/>
              <w:bottom w:val="single" w:sz="6" w:space="0" w:color="000000"/>
            </w:tcBorders>
            <w:shd w:fill="auto" w:val="clear"/>
            <w:tcMar>
              <w:top w:w="28" w:type="dxa"/>
              <w:left w:w="28" w:type="dxa"/>
              <w:bottom w:w="28" w:type="dxa"/>
            </w:tcMar>
            <w:vAlign w:val="center"/>
          </w:tcPr>
          <w:p>
            <w:pPr>
              <w:pStyle w:val="TableContents"/>
              <w:spacing w:before="0" w:after="283"/>
              <w:rPr/>
            </w:pPr>
            <w:r>
              <w:rPr/>
              <w:t> </w:t>
            </w:r>
          </w:p>
        </w:tc>
        <w:tc>
          <w:tcPr>
            <w:tcW w:w="1235" w:type="dxa"/>
            <w:tcBorders>
              <w:top w:val="single" w:sz="6" w:space="0" w:color="000000"/>
              <w:bottom w:val="single" w:sz="6" w:space="0" w:color="000000"/>
              <w:right w:val="single" w:sz="6" w:space="0" w:color="000000"/>
            </w:tcBorders>
            <w:shd w:fill="auto" w:val="clear"/>
            <w:tcMar>
              <w:top w:w="28" w:type="dxa"/>
              <w:bottom w:w="28" w:type="dxa"/>
              <w:right w:w="28" w:type="dxa"/>
            </w:tcMar>
            <w:vAlign w:val="center"/>
          </w:tcPr>
          <w:p>
            <w:pPr>
              <w:pStyle w:val="TableContents"/>
              <w:spacing w:before="0" w:after="283"/>
              <w:jc w:val="center"/>
              <w:rPr/>
            </w:pPr>
            <w:r>
              <w:rPr/>
              <w:t>200%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top w:val="single" w:sz="6" w:space="0" w:color="000000"/>
              <w:left w:val="single" w:sz="6" w:space="0" w:color="000000"/>
              <w:bottom w:val="single" w:sz="6" w:space="0" w:color="000000"/>
            </w:tcBorders>
            <w:shd w:fill="auto" w:val="clear"/>
            <w:tcMar>
              <w:top w:w="28" w:type="dxa"/>
              <w:left w:w="28" w:type="dxa"/>
              <w:bottom w:w="28" w:type="dxa"/>
            </w:tcMar>
            <w:vAlign w:val="center"/>
          </w:tcPr>
          <w:p>
            <w:pPr>
              <w:pStyle w:val="TableContents"/>
              <w:spacing w:before="0" w:after="283"/>
              <w:rPr/>
            </w:pPr>
            <w:r>
              <w:rPr/>
              <w:t> </w:t>
            </w:r>
          </w:p>
        </w:tc>
        <w:tc>
          <w:tcPr>
            <w:tcW w:w="1565" w:type="dxa"/>
            <w:tcBorders>
              <w:top w:val="single" w:sz="6" w:space="0" w:color="000000"/>
              <w:bottom w:val="single" w:sz="6" w:space="0" w:color="000000"/>
              <w:right w:val="single" w:sz="6" w:space="0" w:color="000000"/>
            </w:tcBorders>
            <w:shd w:fill="auto" w:val="clear"/>
            <w:tcMar>
              <w:top w:w="28" w:type="dxa"/>
              <w:bottom w:w="28" w:type="dxa"/>
              <w:right w:w="28" w:type="dxa"/>
            </w:tcMar>
            <w:vAlign w:val="center"/>
          </w:tcPr>
          <w:p>
            <w:pPr>
              <w:pStyle w:val="TableContents"/>
              <w:spacing w:before="0" w:after="283"/>
              <w:jc w:val="center"/>
              <w:rPr/>
            </w:pPr>
            <w:r>
              <w:rPr/>
              <w:t>75th</w:t>
            </w:r>
          </w:p>
        </w:tc>
        <w:tc>
          <w:tcPr>
            <w:tcW w:w="60" w:type="dxa"/>
            <w:tcBorders>
              <w:top w:val="single" w:sz="6" w:space="0" w:color="000000"/>
              <w:left w:val="single" w:sz="6" w:space="0" w:color="000000"/>
              <w:bottom w:val="single" w:sz="6" w:space="0" w:color="000000"/>
            </w:tcBorders>
            <w:shd w:fill="auto" w:val="clear"/>
            <w:tcMar>
              <w:top w:w="28" w:type="dxa"/>
              <w:left w:w="28" w:type="dxa"/>
              <w:bottom w:w="28" w:type="dxa"/>
            </w:tcMar>
            <w:vAlign w:val="center"/>
          </w:tcPr>
          <w:p>
            <w:pPr>
              <w:pStyle w:val="TableContents"/>
              <w:spacing w:before="0" w:after="283"/>
              <w:rPr/>
            </w:pPr>
            <w:r>
              <w:rPr/>
              <w:t> </w:t>
            </w:r>
          </w:p>
        </w:tc>
        <w:tc>
          <w:tcPr>
            <w:tcW w:w="1160" w:type="dxa"/>
            <w:tcBorders>
              <w:top w:val="single" w:sz="6" w:space="0" w:color="000000"/>
              <w:bottom w:val="single" w:sz="6" w:space="0" w:color="000000"/>
              <w:right w:val="single" w:sz="6" w:space="0" w:color="000000"/>
            </w:tcBorders>
            <w:shd w:fill="auto" w:val="clear"/>
            <w:tcMar>
              <w:top w:w="28" w:type="dxa"/>
              <w:bottom w:w="28" w:type="dxa"/>
              <w:right w:w="28" w:type="dxa"/>
            </w:tcMar>
            <w:vAlign w:val="center"/>
          </w:tcPr>
          <w:p>
            <w:pPr>
              <w:pStyle w:val="TableContents"/>
              <w:spacing w:before="0" w:after="283"/>
              <w:jc w:val="center"/>
              <w:rPr/>
            </w:pPr>
            <w:r>
              <w:rPr/>
              <w:t>200%</w:t>
            </w:r>
          </w:p>
        </w:tc>
      </w:tr>
      <w:tr>
        <w:trPr/>
        <w:tc>
          <w:tcPr>
            <w:tcW w:w="1520" w:type="dxa"/>
            <w:tcBorders>
              <w:top w:val="single" w:sz="6" w:space="0" w:color="000000"/>
              <w:left w:val="single" w:sz="6" w:space="0" w:color="000000"/>
              <w:bottom w:val="single" w:sz="6" w:space="0" w:color="000000"/>
              <w:right w:val="single" w:sz="6" w:space="0" w:color="000000"/>
            </w:tcBorders>
            <w:shd w:fill="auto" w:val="clear"/>
            <w:tcMar>
              <w:top w:w="28" w:type="dxa"/>
              <w:left w:w="160" w:type="dxa"/>
              <w:bottom w:w="28" w:type="dxa"/>
              <w:right w:w="28" w:type="dxa"/>
            </w:tcMar>
            <w:vAlign w:val="center"/>
          </w:tcPr>
          <w:p>
            <w:pPr>
              <w:pStyle w:val="TableContents"/>
              <w:spacing w:before="0" w:after="0"/>
              <w:jc w:val="center"/>
              <w:rPr>
                <w:rFonts w:ascii="ARIAL" w:hAnsi="ARIAL"/>
                <w:sz w:val="20"/>
              </w:rPr>
            </w:pPr>
            <w:r>
              <w:rPr>
                <w:rFonts w:ascii="ARIAL" w:hAnsi="ARIAL"/>
                <w:sz w:val="20"/>
              </w:rPr>
              <w:t>9.0%</w:t>
            </w:r>
          </w:p>
          <w:p>
            <w:pPr>
              <w:pStyle w:val="TableContents"/>
              <w:spacing w:before="0" w:after="20"/>
              <w:jc w:val="center"/>
              <w:rPr>
                <w:rFonts w:ascii="ARIAL" w:hAnsi="ARIAL"/>
                <w:sz w:val="20"/>
              </w:rPr>
            </w:pPr>
            <w:r>
              <w:rPr>
                <w:rFonts w:ascii="ARIAL" w:hAnsi="ARIAL"/>
                <w:sz w:val="20"/>
              </w:rPr>
              <w:t>(100% of target)</w:t>
            </w:r>
          </w:p>
        </w:tc>
        <w:tc>
          <w:tcPr>
            <w:tcW w:w="70" w:type="dxa"/>
            <w:tcBorders>
              <w:top w:val="single" w:sz="6" w:space="0" w:color="000000"/>
              <w:left w:val="single" w:sz="6" w:space="0" w:color="000000"/>
              <w:bottom w:val="single" w:sz="6" w:space="0" w:color="000000"/>
            </w:tcBorders>
            <w:shd w:fill="auto" w:val="clear"/>
            <w:tcMar>
              <w:top w:w="28" w:type="dxa"/>
              <w:left w:w="28" w:type="dxa"/>
              <w:bottom w:w="28" w:type="dxa"/>
            </w:tcMar>
            <w:vAlign w:val="center"/>
          </w:tcPr>
          <w:p>
            <w:pPr>
              <w:pStyle w:val="TableContents"/>
              <w:spacing w:before="0" w:after="283"/>
              <w:rPr/>
            </w:pPr>
            <w:r>
              <w:rPr/>
              <w:t> </w:t>
            </w:r>
          </w:p>
        </w:tc>
        <w:tc>
          <w:tcPr>
            <w:tcW w:w="1347" w:type="dxa"/>
            <w:tcBorders>
              <w:top w:val="single" w:sz="6" w:space="0" w:color="000000"/>
              <w:bottom w:val="single" w:sz="6" w:space="0" w:color="000000"/>
              <w:right w:val="single" w:sz="6" w:space="0" w:color="000000"/>
            </w:tcBorders>
            <w:shd w:fill="auto" w:val="clear"/>
            <w:tcMar>
              <w:top w:w="28" w:type="dxa"/>
              <w:bottom w:w="28" w:type="dxa"/>
              <w:right w:w="28" w:type="dxa"/>
            </w:tcMar>
            <w:vAlign w:val="center"/>
          </w:tcPr>
          <w:p>
            <w:pPr>
              <w:pStyle w:val="TableContents"/>
              <w:spacing w:before="0" w:after="283"/>
              <w:jc w:val="center"/>
              <w:rPr/>
            </w:pPr>
            <w:r>
              <w:rPr/>
              <w:t>100%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top w:val="single" w:sz="6" w:space="0" w:color="000000"/>
              <w:left w:val="single" w:sz="6" w:space="0" w:color="000000"/>
              <w:bottom w:val="single" w:sz="6" w:space="0" w:color="000000"/>
            </w:tcBorders>
            <w:shd w:fill="auto" w:val="clear"/>
            <w:tcMar>
              <w:top w:w="28" w:type="dxa"/>
              <w:left w:w="28" w:type="dxa"/>
              <w:bottom w:w="28" w:type="dxa"/>
            </w:tcMar>
            <w:vAlign w:val="center"/>
          </w:tcPr>
          <w:p>
            <w:pPr>
              <w:pStyle w:val="TableContents"/>
              <w:spacing w:before="0" w:after="283"/>
              <w:rPr/>
            </w:pPr>
            <w:r>
              <w:rPr/>
              <w:t> </w:t>
            </w:r>
          </w:p>
        </w:tc>
        <w:tc>
          <w:tcPr>
            <w:tcW w:w="1490" w:type="dxa"/>
            <w:tcBorders>
              <w:top w:val="single" w:sz="6" w:space="0" w:color="000000"/>
              <w:bottom w:val="single" w:sz="6" w:space="0" w:color="000000"/>
              <w:right w:val="single" w:sz="6" w:space="0" w:color="000000"/>
            </w:tcBorders>
            <w:shd w:fill="auto" w:val="clear"/>
            <w:tcMar>
              <w:top w:w="28" w:type="dxa"/>
              <w:bottom w:w="28" w:type="dxa"/>
              <w:right w:w="28" w:type="dxa"/>
            </w:tcMar>
            <w:vAlign w:val="center"/>
          </w:tcPr>
          <w:p>
            <w:pPr>
              <w:pStyle w:val="TableContents"/>
              <w:spacing w:before="0" w:after="0"/>
              <w:jc w:val="center"/>
              <w:rPr>
                <w:rFonts w:ascii="ARIAL" w:hAnsi="ARIAL"/>
                <w:sz w:val="20"/>
              </w:rPr>
            </w:pPr>
            <w:r>
              <w:rPr>
                <w:rFonts w:ascii="ARIAL" w:hAnsi="ARIAL"/>
                <w:sz w:val="20"/>
              </w:rPr>
              <w:t>6.0%</w:t>
            </w:r>
          </w:p>
          <w:p>
            <w:pPr>
              <w:pStyle w:val="TableContents"/>
              <w:spacing w:before="0" w:after="20"/>
              <w:jc w:val="center"/>
              <w:rPr>
                <w:rFonts w:ascii="ARIAL" w:hAnsi="ARIAL"/>
                <w:sz w:val="20"/>
              </w:rPr>
            </w:pPr>
            <w:r>
              <w:rPr>
                <w:rFonts w:ascii="ARIAL" w:hAnsi="ARIAL"/>
                <w:sz w:val="20"/>
              </w:rPr>
              <w:t>(100% of target)</w:t>
            </w:r>
          </w:p>
        </w:tc>
        <w:tc>
          <w:tcPr>
            <w:tcW w:w="60" w:type="dxa"/>
            <w:tcBorders>
              <w:top w:val="single" w:sz="6" w:space="0" w:color="000000"/>
              <w:left w:val="single" w:sz="6" w:space="0" w:color="000000"/>
              <w:bottom w:val="single" w:sz="6" w:space="0" w:color="000000"/>
            </w:tcBorders>
            <w:shd w:fill="auto" w:val="clear"/>
            <w:tcMar>
              <w:top w:w="28" w:type="dxa"/>
              <w:left w:w="28" w:type="dxa"/>
              <w:bottom w:w="28" w:type="dxa"/>
            </w:tcMar>
            <w:vAlign w:val="center"/>
          </w:tcPr>
          <w:p>
            <w:pPr>
              <w:pStyle w:val="TableContents"/>
              <w:spacing w:before="0" w:after="283"/>
              <w:rPr/>
            </w:pPr>
            <w:r>
              <w:rPr/>
              <w:t> </w:t>
            </w:r>
          </w:p>
        </w:tc>
        <w:tc>
          <w:tcPr>
            <w:tcW w:w="1235" w:type="dxa"/>
            <w:tcBorders>
              <w:top w:val="single" w:sz="6" w:space="0" w:color="000000"/>
              <w:bottom w:val="single" w:sz="6" w:space="0" w:color="000000"/>
              <w:right w:val="single" w:sz="6" w:space="0" w:color="000000"/>
            </w:tcBorders>
            <w:shd w:fill="auto" w:val="clear"/>
            <w:tcMar>
              <w:top w:w="28" w:type="dxa"/>
              <w:bottom w:w="28" w:type="dxa"/>
              <w:right w:w="28" w:type="dxa"/>
            </w:tcMar>
            <w:vAlign w:val="center"/>
          </w:tcPr>
          <w:p>
            <w:pPr>
              <w:pStyle w:val="TableContents"/>
              <w:spacing w:before="0" w:after="283"/>
              <w:jc w:val="center"/>
              <w:rPr/>
            </w:pPr>
            <w:r>
              <w:rPr/>
              <w:t>100%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top w:val="single" w:sz="6" w:space="0" w:color="000000"/>
              <w:left w:val="single" w:sz="6" w:space="0" w:color="000000"/>
              <w:bottom w:val="single" w:sz="6" w:space="0" w:color="000000"/>
            </w:tcBorders>
            <w:shd w:fill="auto" w:val="clear"/>
            <w:tcMar>
              <w:top w:w="28" w:type="dxa"/>
              <w:left w:w="28" w:type="dxa"/>
              <w:bottom w:w="28" w:type="dxa"/>
            </w:tcMar>
            <w:vAlign w:val="center"/>
          </w:tcPr>
          <w:p>
            <w:pPr>
              <w:pStyle w:val="TableContents"/>
              <w:spacing w:before="0" w:after="283"/>
              <w:rPr/>
            </w:pPr>
            <w:r>
              <w:rPr/>
              <w:t> </w:t>
            </w:r>
          </w:p>
        </w:tc>
        <w:tc>
          <w:tcPr>
            <w:tcW w:w="1565" w:type="dxa"/>
            <w:tcBorders>
              <w:top w:val="single" w:sz="6" w:space="0" w:color="000000"/>
              <w:bottom w:val="single" w:sz="6" w:space="0" w:color="000000"/>
              <w:right w:val="single" w:sz="6" w:space="0" w:color="000000"/>
            </w:tcBorders>
            <w:shd w:fill="auto" w:val="clear"/>
            <w:tcMar>
              <w:top w:w="28" w:type="dxa"/>
              <w:bottom w:w="28" w:type="dxa"/>
              <w:right w:w="28" w:type="dxa"/>
            </w:tcMar>
            <w:vAlign w:val="center"/>
          </w:tcPr>
          <w:p>
            <w:pPr>
              <w:pStyle w:val="TableContents"/>
              <w:spacing w:before="0" w:after="283"/>
              <w:jc w:val="center"/>
              <w:rPr/>
            </w:pPr>
            <w:r>
              <w:rPr/>
              <w:t>50th</w:t>
            </w:r>
          </w:p>
        </w:tc>
        <w:tc>
          <w:tcPr>
            <w:tcW w:w="60" w:type="dxa"/>
            <w:tcBorders>
              <w:top w:val="single" w:sz="6" w:space="0" w:color="000000"/>
              <w:left w:val="single" w:sz="6" w:space="0" w:color="000000"/>
              <w:bottom w:val="single" w:sz="6" w:space="0" w:color="000000"/>
            </w:tcBorders>
            <w:shd w:fill="auto" w:val="clear"/>
            <w:tcMar>
              <w:top w:w="28" w:type="dxa"/>
              <w:left w:w="28" w:type="dxa"/>
              <w:bottom w:w="28" w:type="dxa"/>
            </w:tcMar>
            <w:vAlign w:val="center"/>
          </w:tcPr>
          <w:p>
            <w:pPr>
              <w:pStyle w:val="TableContents"/>
              <w:spacing w:before="0" w:after="283"/>
              <w:rPr/>
            </w:pPr>
            <w:r>
              <w:rPr/>
              <w:t> </w:t>
            </w:r>
          </w:p>
        </w:tc>
        <w:tc>
          <w:tcPr>
            <w:tcW w:w="1160" w:type="dxa"/>
            <w:tcBorders>
              <w:top w:val="single" w:sz="6" w:space="0" w:color="000000"/>
              <w:bottom w:val="single" w:sz="6" w:space="0" w:color="000000"/>
              <w:right w:val="single" w:sz="6" w:space="0" w:color="000000"/>
            </w:tcBorders>
            <w:shd w:fill="auto" w:val="clear"/>
            <w:tcMar>
              <w:top w:w="28" w:type="dxa"/>
              <w:bottom w:w="28" w:type="dxa"/>
              <w:right w:w="28" w:type="dxa"/>
            </w:tcMar>
            <w:vAlign w:val="center"/>
          </w:tcPr>
          <w:p>
            <w:pPr>
              <w:pStyle w:val="TableContents"/>
              <w:spacing w:before="0" w:after="283"/>
              <w:jc w:val="center"/>
              <w:rPr/>
            </w:pPr>
            <w:r>
              <w:rPr/>
              <w:t>100%</w:t>
            </w:r>
          </w:p>
        </w:tc>
      </w:tr>
      <w:tr>
        <w:trPr/>
        <w:tc>
          <w:tcPr>
            <w:tcW w:w="1520" w:type="dxa"/>
            <w:tcBorders>
              <w:top w:val="single" w:sz="6" w:space="0" w:color="000000"/>
              <w:left w:val="single" w:sz="6" w:space="0" w:color="000000"/>
              <w:bottom w:val="single" w:sz="6" w:space="0" w:color="000000"/>
              <w:right w:val="single" w:sz="6" w:space="0" w:color="000000"/>
            </w:tcBorders>
            <w:shd w:fill="auto" w:val="clear"/>
            <w:tcMar>
              <w:top w:w="28" w:type="dxa"/>
              <w:left w:w="160" w:type="dxa"/>
              <w:bottom w:w="28" w:type="dxa"/>
              <w:right w:w="28" w:type="dxa"/>
            </w:tcMar>
            <w:vAlign w:val="center"/>
          </w:tcPr>
          <w:p>
            <w:pPr>
              <w:pStyle w:val="TableContents"/>
              <w:spacing w:before="0" w:after="0"/>
              <w:jc w:val="center"/>
              <w:rPr>
                <w:rFonts w:ascii="ARIAL" w:hAnsi="ARIAL"/>
                <w:sz w:val="20"/>
              </w:rPr>
            </w:pPr>
            <w:r>
              <w:rPr>
                <w:rFonts w:ascii="ARIAL" w:hAnsi="ARIAL"/>
                <w:sz w:val="20"/>
              </w:rPr>
              <w:t>7.2%</w:t>
            </w:r>
          </w:p>
          <w:p>
            <w:pPr>
              <w:pStyle w:val="TableContents"/>
              <w:spacing w:before="0" w:after="20"/>
              <w:jc w:val="center"/>
              <w:rPr>
                <w:rFonts w:ascii="ARIAL" w:hAnsi="ARIAL"/>
                <w:sz w:val="20"/>
              </w:rPr>
            </w:pPr>
            <w:r>
              <w:rPr>
                <w:rFonts w:ascii="ARIAL" w:hAnsi="ARIAL"/>
                <w:sz w:val="20"/>
              </w:rPr>
              <w:t>(80% of target)</w:t>
            </w:r>
          </w:p>
        </w:tc>
        <w:tc>
          <w:tcPr>
            <w:tcW w:w="70" w:type="dxa"/>
            <w:tcBorders>
              <w:top w:val="single" w:sz="6" w:space="0" w:color="000000"/>
              <w:left w:val="single" w:sz="6" w:space="0" w:color="000000"/>
              <w:bottom w:val="single" w:sz="6" w:space="0" w:color="000000"/>
            </w:tcBorders>
            <w:shd w:fill="auto" w:val="clear"/>
            <w:tcMar>
              <w:top w:w="28" w:type="dxa"/>
              <w:left w:w="28" w:type="dxa"/>
              <w:bottom w:w="28" w:type="dxa"/>
            </w:tcMar>
            <w:vAlign w:val="center"/>
          </w:tcPr>
          <w:p>
            <w:pPr>
              <w:pStyle w:val="TableContents"/>
              <w:spacing w:before="0" w:after="283"/>
              <w:rPr/>
            </w:pPr>
            <w:r>
              <w:rPr/>
              <w:t> </w:t>
            </w:r>
          </w:p>
        </w:tc>
        <w:tc>
          <w:tcPr>
            <w:tcW w:w="1347" w:type="dxa"/>
            <w:tcBorders>
              <w:top w:val="single" w:sz="6" w:space="0" w:color="000000"/>
              <w:bottom w:val="single" w:sz="6" w:space="0" w:color="000000"/>
              <w:right w:val="single" w:sz="6" w:space="0" w:color="000000"/>
            </w:tcBorders>
            <w:shd w:fill="auto" w:val="clear"/>
            <w:tcMar>
              <w:top w:w="28" w:type="dxa"/>
              <w:bottom w:w="28" w:type="dxa"/>
              <w:right w:w="28" w:type="dxa"/>
            </w:tcMar>
            <w:vAlign w:val="center"/>
          </w:tcPr>
          <w:p>
            <w:pPr>
              <w:pStyle w:val="TableContents"/>
              <w:spacing w:before="0" w:after="283"/>
              <w:jc w:val="center"/>
              <w:rPr/>
            </w:pPr>
            <w:r>
              <w:rPr/>
              <w:t>  </w:t>
            </w:r>
            <w:r>
              <w:rPr/>
              <w:t>25%</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top w:val="single" w:sz="6" w:space="0" w:color="000000"/>
              <w:left w:val="single" w:sz="6" w:space="0" w:color="000000"/>
              <w:bottom w:val="single" w:sz="6" w:space="0" w:color="000000"/>
            </w:tcBorders>
            <w:shd w:fill="auto" w:val="clear"/>
            <w:tcMar>
              <w:top w:w="28" w:type="dxa"/>
              <w:left w:w="28" w:type="dxa"/>
              <w:bottom w:w="28" w:type="dxa"/>
            </w:tcMar>
            <w:vAlign w:val="center"/>
          </w:tcPr>
          <w:p>
            <w:pPr>
              <w:pStyle w:val="TableContents"/>
              <w:spacing w:before="0" w:after="283"/>
              <w:rPr/>
            </w:pPr>
            <w:r>
              <w:rPr/>
              <w:t> </w:t>
            </w:r>
          </w:p>
        </w:tc>
        <w:tc>
          <w:tcPr>
            <w:tcW w:w="1490" w:type="dxa"/>
            <w:tcBorders>
              <w:top w:val="single" w:sz="6" w:space="0" w:color="000000"/>
              <w:bottom w:val="single" w:sz="6" w:space="0" w:color="000000"/>
              <w:right w:val="single" w:sz="6" w:space="0" w:color="000000"/>
            </w:tcBorders>
            <w:shd w:fill="auto" w:val="clear"/>
            <w:tcMar>
              <w:top w:w="28" w:type="dxa"/>
              <w:bottom w:w="28" w:type="dxa"/>
              <w:right w:w="28" w:type="dxa"/>
            </w:tcMar>
            <w:vAlign w:val="center"/>
          </w:tcPr>
          <w:p>
            <w:pPr>
              <w:pStyle w:val="TableContents"/>
              <w:spacing w:before="0" w:after="0"/>
              <w:jc w:val="center"/>
              <w:rPr>
                <w:rFonts w:ascii="ARIAL" w:hAnsi="ARIAL"/>
                <w:sz w:val="20"/>
              </w:rPr>
            </w:pPr>
            <w:r>
              <w:rPr>
                <w:rFonts w:ascii="ARIAL" w:hAnsi="ARIAL"/>
                <w:sz w:val="20"/>
              </w:rPr>
              <w:t>4.8%</w:t>
            </w:r>
          </w:p>
          <w:p>
            <w:pPr>
              <w:pStyle w:val="TableContents"/>
              <w:spacing w:before="0" w:after="20"/>
              <w:jc w:val="center"/>
              <w:rPr>
                <w:rFonts w:ascii="ARIAL" w:hAnsi="ARIAL"/>
                <w:sz w:val="20"/>
              </w:rPr>
            </w:pPr>
            <w:r>
              <w:rPr>
                <w:rFonts w:ascii="ARIAL" w:hAnsi="ARIAL"/>
                <w:sz w:val="20"/>
              </w:rPr>
              <w:t>(80% of target)</w:t>
            </w:r>
          </w:p>
        </w:tc>
        <w:tc>
          <w:tcPr>
            <w:tcW w:w="60" w:type="dxa"/>
            <w:tcBorders>
              <w:top w:val="single" w:sz="6" w:space="0" w:color="000000"/>
              <w:left w:val="single" w:sz="6" w:space="0" w:color="000000"/>
              <w:bottom w:val="single" w:sz="6" w:space="0" w:color="000000"/>
            </w:tcBorders>
            <w:shd w:fill="auto" w:val="clear"/>
            <w:tcMar>
              <w:top w:w="28" w:type="dxa"/>
              <w:left w:w="28" w:type="dxa"/>
              <w:bottom w:w="28" w:type="dxa"/>
            </w:tcMar>
            <w:vAlign w:val="center"/>
          </w:tcPr>
          <w:p>
            <w:pPr>
              <w:pStyle w:val="TableContents"/>
              <w:spacing w:before="0" w:after="283"/>
              <w:rPr/>
            </w:pPr>
            <w:r>
              <w:rPr/>
              <w:t> </w:t>
            </w:r>
          </w:p>
        </w:tc>
        <w:tc>
          <w:tcPr>
            <w:tcW w:w="1235" w:type="dxa"/>
            <w:tcBorders>
              <w:top w:val="single" w:sz="6" w:space="0" w:color="000000"/>
              <w:bottom w:val="single" w:sz="6" w:space="0" w:color="000000"/>
              <w:right w:val="single" w:sz="6" w:space="0" w:color="000000"/>
            </w:tcBorders>
            <w:shd w:fill="auto" w:val="clear"/>
            <w:tcMar>
              <w:top w:w="28" w:type="dxa"/>
              <w:bottom w:w="28" w:type="dxa"/>
              <w:right w:w="28" w:type="dxa"/>
            </w:tcMar>
            <w:vAlign w:val="center"/>
          </w:tcPr>
          <w:p>
            <w:pPr>
              <w:pStyle w:val="TableContents"/>
              <w:spacing w:before="0" w:after="283"/>
              <w:jc w:val="center"/>
              <w:rPr/>
            </w:pPr>
            <w:r>
              <w:rPr/>
              <w:t>  </w:t>
            </w:r>
            <w:r>
              <w:rPr/>
              <w:t>25%</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top w:val="single" w:sz="6" w:space="0" w:color="000000"/>
              <w:left w:val="single" w:sz="6" w:space="0" w:color="000000"/>
              <w:bottom w:val="single" w:sz="6" w:space="0" w:color="000000"/>
            </w:tcBorders>
            <w:shd w:fill="auto" w:val="clear"/>
            <w:tcMar>
              <w:top w:w="28" w:type="dxa"/>
              <w:left w:w="28" w:type="dxa"/>
              <w:bottom w:w="28" w:type="dxa"/>
            </w:tcMar>
            <w:vAlign w:val="center"/>
          </w:tcPr>
          <w:p>
            <w:pPr>
              <w:pStyle w:val="TableContents"/>
              <w:spacing w:before="0" w:after="283"/>
              <w:rPr/>
            </w:pPr>
            <w:r>
              <w:rPr/>
              <w:t> </w:t>
            </w:r>
          </w:p>
        </w:tc>
        <w:tc>
          <w:tcPr>
            <w:tcW w:w="1565" w:type="dxa"/>
            <w:tcBorders>
              <w:top w:val="single" w:sz="6" w:space="0" w:color="000000"/>
              <w:bottom w:val="single" w:sz="6" w:space="0" w:color="000000"/>
              <w:right w:val="single" w:sz="6" w:space="0" w:color="000000"/>
            </w:tcBorders>
            <w:shd w:fill="auto" w:val="clear"/>
            <w:tcMar>
              <w:top w:w="28" w:type="dxa"/>
              <w:bottom w:w="28" w:type="dxa"/>
              <w:right w:w="28" w:type="dxa"/>
            </w:tcMar>
            <w:vAlign w:val="center"/>
          </w:tcPr>
          <w:p>
            <w:pPr>
              <w:pStyle w:val="TableContents"/>
              <w:spacing w:before="0" w:after="283"/>
              <w:jc w:val="center"/>
              <w:rPr/>
            </w:pPr>
            <w:r>
              <w:rPr/>
              <w:t>25th</w:t>
            </w:r>
          </w:p>
        </w:tc>
        <w:tc>
          <w:tcPr>
            <w:tcW w:w="60" w:type="dxa"/>
            <w:tcBorders>
              <w:top w:val="single" w:sz="6" w:space="0" w:color="000000"/>
              <w:left w:val="single" w:sz="6" w:space="0" w:color="000000"/>
              <w:bottom w:val="single" w:sz="6" w:space="0" w:color="000000"/>
            </w:tcBorders>
            <w:shd w:fill="auto" w:val="clear"/>
            <w:tcMar>
              <w:top w:w="28" w:type="dxa"/>
              <w:left w:w="28" w:type="dxa"/>
              <w:bottom w:w="28" w:type="dxa"/>
            </w:tcMar>
            <w:vAlign w:val="center"/>
          </w:tcPr>
          <w:p>
            <w:pPr>
              <w:pStyle w:val="TableContents"/>
              <w:spacing w:before="0" w:after="283"/>
              <w:rPr/>
            </w:pPr>
            <w:r>
              <w:rPr/>
              <w:t> </w:t>
            </w:r>
          </w:p>
        </w:tc>
        <w:tc>
          <w:tcPr>
            <w:tcW w:w="1160" w:type="dxa"/>
            <w:tcBorders>
              <w:top w:val="single" w:sz="6" w:space="0" w:color="000000"/>
              <w:bottom w:val="single" w:sz="6" w:space="0" w:color="000000"/>
              <w:right w:val="single" w:sz="6" w:space="0" w:color="000000"/>
            </w:tcBorders>
            <w:shd w:fill="auto" w:val="clear"/>
            <w:tcMar>
              <w:top w:w="28" w:type="dxa"/>
              <w:bottom w:w="28" w:type="dxa"/>
              <w:right w:w="28" w:type="dxa"/>
            </w:tcMar>
            <w:vAlign w:val="center"/>
          </w:tcPr>
          <w:p>
            <w:pPr>
              <w:pStyle w:val="TableContents"/>
              <w:spacing w:before="0" w:after="283"/>
              <w:jc w:val="center"/>
              <w:rPr/>
            </w:pPr>
            <w:r>
              <w:rPr/>
              <w:t>  </w:t>
            </w:r>
            <w:r>
              <w:rPr/>
              <w:t>50%</w:t>
            </w:r>
          </w:p>
        </w:tc>
      </w:tr>
      <w:tr>
        <w:trPr/>
        <w:tc>
          <w:tcPr>
            <w:tcW w:w="1520" w:type="dxa"/>
            <w:tcBorders>
              <w:top w:val="single" w:sz="6" w:space="0" w:color="000000"/>
              <w:left w:val="single" w:sz="6" w:space="0" w:color="000000"/>
              <w:bottom w:val="single" w:sz="6" w:space="0" w:color="000000"/>
              <w:right w:val="single" w:sz="6" w:space="0" w:color="000000"/>
            </w:tcBorders>
            <w:shd w:fill="auto" w:val="clear"/>
            <w:tcMar>
              <w:top w:w="28" w:type="dxa"/>
              <w:left w:w="160" w:type="dxa"/>
              <w:bottom w:w="28" w:type="dxa"/>
              <w:right w:w="28" w:type="dxa"/>
            </w:tcMar>
            <w:vAlign w:val="center"/>
          </w:tcPr>
          <w:p>
            <w:pPr>
              <w:pStyle w:val="TableContents"/>
              <w:spacing w:before="0" w:after="0"/>
              <w:jc w:val="center"/>
              <w:rPr>
                <w:rFonts w:ascii="ARIAL" w:hAnsi="ARIAL"/>
                <w:sz w:val="20"/>
              </w:rPr>
            </w:pPr>
            <w:r>
              <w:rPr>
                <w:rFonts w:ascii="ARIAL" w:hAnsi="ARIAL"/>
                <w:sz w:val="20"/>
              </w:rPr>
              <w:t>&lt; 7.2%</w:t>
            </w:r>
          </w:p>
          <w:p>
            <w:pPr>
              <w:pStyle w:val="TableContents"/>
              <w:spacing w:before="0" w:after="20"/>
              <w:jc w:val="center"/>
              <w:rPr>
                <w:rFonts w:ascii="ARIAL" w:hAnsi="ARIAL"/>
                <w:sz w:val="20"/>
              </w:rPr>
            </w:pPr>
            <w:r>
              <w:rPr>
                <w:rFonts w:ascii="ARIAL" w:hAnsi="ARIAL"/>
                <w:sz w:val="20"/>
              </w:rPr>
              <w:t>(&lt; 80% of target)</w:t>
            </w:r>
          </w:p>
        </w:tc>
        <w:tc>
          <w:tcPr>
            <w:tcW w:w="70" w:type="dxa"/>
            <w:tcBorders>
              <w:top w:val="single" w:sz="6" w:space="0" w:color="000000"/>
              <w:left w:val="single" w:sz="6" w:space="0" w:color="000000"/>
              <w:bottom w:val="single" w:sz="6" w:space="0" w:color="000000"/>
            </w:tcBorders>
            <w:shd w:fill="auto" w:val="clear"/>
            <w:tcMar>
              <w:top w:w="28" w:type="dxa"/>
              <w:left w:w="28" w:type="dxa"/>
              <w:bottom w:w="28" w:type="dxa"/>
            </w:tcMar>
            <w:vAlign w:val="center"/>
          </w:tcPr>
          <w:p>
            <w:pPr>
              <w:pStyle w:val="TableContents"/>
              <w:spacing w:before="0" w:after="283"/>
              <w:rPr/>
            </w:pPr>
            <w:r>
              <w:rPr/>
              <w:t> </w:t>
            </w:r>
          </w:p>
        </w:tc>
        <w:tc>
          <w:tcPr>
            <w:tcW w:w="1347" w:type="dxa"/>
            <w:tcBorders>
              <w:top w:val="single" w:sz="6" w:space="0" w:color="000000"/>
              <w:bottom w:val="single" w:sz="6" w:space="0" w:color="000000"/>
              <w:right w:val="single" w:sz="6" w:space="0" w:color="000000"/>
            </w:tcBorders>
            <w:shd w:fill="auto" w:val="clear"/>
            <w:tcMar>
              <w:top w:w="28" w:type="dxa"/>
              <w:bottom w:w="28" w:type="dxa"/>
              <w:right w:w="28" w:type="dxa"/>
            </w:tcMar>
            <w:vAlign w:val="center"/>
          </w:tcPr>
          <w:p>
            <w:pPr>
              <w:pStyle w:val="TableContents"/>
              <w:spacing w:before="0" w:after="283"/>
              <w:jc w:val="center"/>
              <w:rPr/>
            </w:pPr>
            <w:r>
              <w:rPr/>
              <w:t>    </w:t>
            </w:r>
            <w:r>
              <w:rPr/>
              <w:t>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top w:val="single" w:sz="6" w:space="0" w:color="000000"/>
              <w:left w:val="single" w:sz="6" w:space="0" w:color="000000"/>
              <w:bottom w:val="single" w:sz="6" w:space="0" w:color="000000"/>
            </w:tcBorders>
            <w:shd w:fill="auto" w:val="clear"/>
            <w:tcMar>
              <w:top w:w="28" w:type="dxa"/>
              <w:left w:w="28" w:type="dxa"/>
              <w:bottom w:w="28" w:type="dxa"/>
            </w:tcMar>
            <w:vAlign w:val="center"/>
          </w:tcPr>
          <w:p>
            <w:pPr>
              <w:pStyle w:val="TableContents"/>
              <w:spacing w:before="0" w:after="283"/>
              <w:rPr/>
            </w:pPr>
            <w:r>
              <w:rPr/>
              <w:t> </w:t>
            </w:r>
          </w:p>
        </w:tc>
        <w:tc>
          <w:tcPr>
            <w:tcW w:w="1490" w:type="dxa"/>
            <w:tcBorders>
              <w:top w:val="single" w:sz="6" w:space="0" w:color="000000"/>
              <w:bottom w:val="single" w:sz="6" w:space="0" w:color="000000"/>
              <w:right w:val="single" w:sz="6" w:space="0" w:color="000000"/>
            </w:tcBorders>
            <w:shd w:fill="auto" w:val="clear"/>
            <w:tcMar>
              <w:top w:w="28" w:type="dxa"/>
              <w:bottom w:w="28" w:type="dxa"/>
              <w:right w:w="28" w:type="dxa"/>
            </w:tcMar>
            <w:vAlign w:val="center"/>
          </w:tcPr>
          <w:p>
            <w:pPr>
              <w:pStyle w:val="TableContents"/>
              <w:spacing w:before="0" w:after="0"/>
              <w:jc w:val="center"/>
              <w:rPr>
                <w:rFonts w:ascii="ARIAL" w:hAnsi="ARIAL"/>
                <w:sz w:val="20"/>
              </w:rPr>
            </w:pPr>
            <w:r>
              <w:rPr>
                <w:rFonts w:ascii="ARIAL" w:hAnsi="ARIAL"/>
                <w:sz w:val="20"/>
              </w:rPr>
              <w:t>&lt; 4.8%</w:t>
            </w:r>
          </w:p>
          <w:p>
            <w:pPr>
              <w:pStyle w:val="TableContents"/>
              <w:spacing w:before="0" w:after="20"/>
              <w:jc w:val="center"/>
              <w:rPr>
                <w:rFonts w:ascii="ARIAL" w:hAnsi="ARIAL"/>
                <w:sz w:val="20"/>
              </w:rPr>
            </w:pPr>
            <w:r>
              <w:rPr>
                <w:rFonts w:ascii="ARIAL" w:hAnsi="ARIAL"/>
                <w:sz w:val="20"/>
              </w:rPr>
              <w:t>(&lt; 80% of target)</w:t>
            </w:r>
          </w:p>
        </w:tc>
        <w:tc>
          <w:tcPr>
            <w:tcW w:w="60" w:type="dxa"/>
            <w:tcBorders>
              <w:top w:val="single" w:sz="6" w:space="0" w:color="000000"/>
              <w:left w:val="single" w:sz="6" w:space="0" w:color="000000"/>
              <w:bottom w:val="single" w:sz="6" w:space="0" w:color="000000"/>
            </w:tcBorders>
            <w:shd w:fill="auto" w:val="clear"/>
            <w:tcMar>
              <w:top w:w="28" w:type="dxa"/>
              <w:left w:w="28" w:type="dxa"/>
              <w:bottom w:w="28" w:type="dxa"/>
            </w:tcMar>
            <w:vAlign w:val="center"/>
          </w:tcPr>
          <w:p>
            <w:pPr>
              <w:pStyle w:val="TableContents"/>
              <w:spacing w:before="0" w:after="283"/>
              <w:rPr/>
            </w:pPr>
            <w:r>
              <w:rPr/>
              <w:t> </w:t>
            </w:r>
          </w:p>
        </w:tc>
        <w:tc>
          <w:tcPr>
            <w:tcW w:w="1235" w:type="dxa"/>
            <w:tcBorders>
              <w:top w:val="single" w:sz="6" w:space="0" w:color="000000"/>
              <w:bottom w:val="single" w:sz="6" w:space="0" w:color="000000"/>
              <w:right w:val="single" w:sz="6" w:space="0" w:color="000000"/>
            </w:tcBorders>
            <w:shd w:fill="auto" w:val="clear"/>
            <w:tcMar>
              <w:top w:w="28" w:type="dxa"/>
              <w:bottom w:w="28" w:type="dxa"/>
              <w:right w:w="28" w:type="dxa"/>
            </w:tcMar>
            <w:vAlign w:val="center"/>
          </w:tcPr>
          <w:p>
            <w:pPr>
              <w:pStyle w:val="TableContents"/>
              <w:spacing w:before="0" w:after="283"/>
              <w:jc w:val="center"/>
              <w:rPr/>
            </w:pPr>
            <w:r>
              <w:rPr/>
              <w:t>    </w:t>
            </w:r>
            <w:r>
              <w:rPr/>
              <w:t>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top w:val="single" w:sz="6" w:space="0" w:color="000000"/>
              <w:left w:val="single" w:sz="6" w:space="0" w:color="000000"/>
              <w:bottom w:val="single" w:sz="6" w:space="0" w:color="000000"/>
            </w:tcBorders>
            <w:shd w:fill="auto" w:val="clear"/>
            <w:tcMar>
              <w:top w:w="28" w:type="dxa"/>
              <w:left w:w="28" w:type="dxa"/>
              <w:bottom w:w="28" w:type="dxa"/>
            </w:tcMar>
            <w:vAlign w:val="center"/>
          </w:tcPr>
          <w:p>
            <w:pPr>
              <w:pStyle w:val="TableContents"/>
              <w:spacing w:before="0" w:after="283"/>
              <w:rPr/>
            </w:pPr>
            <w:r>
              <w:rPr/>
              <w:t> </w:t>
            </w:r>
          </w:p>
        </w:tc>
        <w:tc>
          <w:tcPr>
            <w:tcW w:w="1565" w:type="dxa"/>
            <w:tcBorders>
              <w:top w:val="single" w:sz="6" w:space="0" w:color="000000"/>
              <w:bottom w:val="single" w:sz="6" w:space="0" w:color="000000"/>
              <w:right w:val="single" w:sz="6" w:space="0" w:color="000000"/>
            </w:tcBorders>
            <w:shd w:fill="auto" w:val="clear"/>
            <w:tcMar>
              <w:top w:w="28" w:type="dxa"/>
              <w:bottom w:w="28" w:type="dxa"/>
              <w:right w:w="28" w:type="dxa"/>
            </w:tcMar>
            <w:vAlign w:val="center"/>
          </w:tcPr>
          <w:p>
            <w:pPr>
              <w:pStyle w:val="TableContents"/>
              <w:spacing w:before="0" w:after="283"/>
              <w:jc w:val="center"/>
              <w:rPr/>
            </w:pPr>
            <w:r>
              <w:rPr/>
              <w:t>&lt; 25th</w:t>
            </w:r>
          </w:p>
        </w:tc>
        <w:tc>
          <w:tcPr>
            <w:tcW w:w="60" w:type="dxa"/>
            <w:tcBorders>
              <w:top w:val="single" w:sz="6" w:space="0" w:color="000000"/>
              <w:left w:val="single" w:sz="6" w:space="0" w:color="000000"/>
              <w:bottom w:val="single" w:sz="6" w:space="0" w:color="000000"/>
            </w:tcBorders>
            <w:shd w:fill="auto" w:val="clear"/>
            <w:tcMar>
              <w:top w:w="28" w:type="dxa"/>
              <w:left w:w="28" w:type="dxa"/>
              <w:bottom w:w="28" w:type="dxa"/>
            </w:tcMar>
            <w:vAlign w:val="center"/>
          </w:tcPr>
          <w:p>
            <w:pPr>
              <w:pStyle w:val="TableContents"/>
              <w:spacing w:before="0" w:after="283"/>
              <w:rPr/>
            </w:pPr>
            <w:r>
              <w:rPr/>
              <w:t> </w:t>
            </w:r>
          </w:p>
        </w:tc>
        <w:tc>
          <w:tcPr>
            <w:tcW w:w="1160" w:type="dxa"/>
            <w:tcBorders>
              <w:top w:val="single" w:sz="6" w:space="0" w:color="000000"/>
              <w:bottom w:val="single" w:sz="6" w:space="0" w:color="000000"/>
              <w:right w:val="single" w:sz="6" w:space="0" w:color="000000"/>
            </w:tcBorders>
            <w:shd w:fill="auto" w:val="clear"/>
            <w:tcMar>
              <w:top w:w="28" w:type="dxa"/>
              <w:bottom w:w="28" w:type="dxa"/>
              <w:right w:w="28" w:type="dxa"/>
            </w:tcMar>
            <w:vAlign w:val="center"/>
          </w:tcPr>
          <w:p>
            <w:pPr>
              <w:pStyle w:val="TableContents"/>
              <w:spacing w:before="0" w:after="283"/>
              <w:jc w:val="center"/>
              <w:rPr/>
            </w:pPr>
            <w:r>
              <w:rPr/>
              <w:t>    </w:t>
            </w:r>
            <w:r>
              <w:rPr/>
              <w:t>0%</w:t>
            </w:r>
          </w:p>
        </w:tc>
      </w:tr>
    </w:tbl>
    <w:p>
      <w:pPr>
        <w:pStyle w:val="TextBody"/>
        <w:spacing w:before="240" w:after="0"/>
        <w:jc w:val="left"/>
        <w:rPr/>
      </w:pPr>
      <w:r>
        <w:rPr/>
        <w:t>  </w:t>
      </w:r>
      <w:r>
        <w:rPr>
          <w:rFonts w:ascii="ARIAL" w:hAnsi="ARIAL"/>
          <w:i/>
          <w:sz w:val="20"/>
        </w:rPr>
        <w:t>Linear interpolation is used for performance between the points shown in the tables.</w:t>
      </w:r>
      <w:r>
        <w:rPr>
          <w:rFonts w:ascii="ARIAL" w:hAnsi="ARIAL"/>
          <w:sz w:val="20"/>
        </w:rPr>
        <w:t xml:space="preserve"> </w:t>
      </w:r>
    </w:p>
    <w:p>
      <w:pPr>
        <w:pStyle w:val="TextBody"/>
        <w:spacing w:before="240" w:after="0"/>
        <w:jc w:val="left"/>
        <w:rPr>
          <w:rFonts w:ascii="ARIAL" w:hAnsi="ARIAL"/>
          <w:sz w:val="20"/>
        </w:rPr>
      </w:pPr>
      <w:r>
        <w:rPr>
          <w:rFonts w:ascii="ARIAL" w:hAnsi="ARIAL"/>
          <w:sz w:val="20"/>
        </w:rPr>
        <w:t xml:space="preserve">Because the Company achieved less than 80% of the target for Cumulative Consolidated Adjusted EBITDA Growth during the three-year performance period, the portion of the 2020-2022 performance-based restricted stock award to each of our named executive officers allocated to Cumulative Consolidated Adjusted EBITDA Growth was not earned and those shares were forfeited. Because the Company achieved greater than 120% of the target for Cumulative Same-Store Net Revenue Growth during the three-year performance period, the portion of the 2020-2022 performance-based restricted stock award to each of our named executive officers allocated to Cumulative Same-Store Net Revenue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55 </w:t>
      </w:r>
      <w:r>
        <w:br w:type="page"/>
      </w:r>
    </w:p>
    <w:p>
      <w:pPr>
        <w:pStyle w:val="HorizontalLine"/>
        <w:rPr/>
      </w:pPr>
      <w:r>
        <w:rPr/>
      </w:r>
    </w:p>
    <w:p>
      <w:pPr>
        <w:pStyle w:val="TextBody"/>
        <w:spacing w:before="0" w:after="0"/>
        <w:jc w:val="left"/>
        <w:rPr>
          <w:rFonts w:ascii="ARIAL" w:hAnsi="ARIAL"/>
          <w:sz w:val="20"/>
        </w:rPr>
      </w:pPr>
      <w:r>
        <w:rPr>
          <w:rFonts w:ascii="ARIAL" w:hAnsi="ARIAL"/>
          <w:sz w:val="20"/>
        </w:rPr>
        <w:t xml:space="preserve">Growth vested at 200% of the target number of shares allocated to Cumulative Same-Store Net Revenue Growth originally granted to each award recipient in March 2020. In addition, because the Company’s three-year TSR Percentile Rank was at the 50th percentile, the portion of the 2020-2022 performance-based restricted stock award to our then-Chief Executive Officer (Mr. Smith) and our Chief Financial Officer allocated to TSR Percentile Rank vested at 100% of the target number of shares originally granted to each award recipient in 2020. Taking into account all of the above factors, the performance-based restricted stock awards granted to each of our named executive officers vested at the 100% level. This is shown in more detail in the table below: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591"/>
        <w:gridCol w:w="142"/>
        <w:gridCol w:w="88"/>
        <w:gridCol w:w="1012"/>
        <w:gridCol w:w="88"/>
        <w:gridCol w:w="177"/>
        <w:gridCol w:w="1059"/>
        <w:gridCol w:w="142"/>
        <w:gridCol w:w="82"/>
        <w:gridCol w:w="955"/>
        <w:gridCol w:w="74"/>
        <w:gridCol w:w="149"/>
        <w:gridCol w:w="74"/>
        <w:gridCol w:w="1005"/>
        <w:gridCol w:w="70"/>
        <w:gridCol w:w="142"/>
        <w:gridCol w:w="82"/>
        <w:gridCol w:w="955"/>
        <w:gridCol w:w="70"/>
        <w:gridCol w:w="142"/>
        <w:gridCol w:w="70"/>
        <w:gridCol w:w="807"/>
        <w:gridCol w:w="229"/>
      </w:tblGrid>
      <w:tr>
        <w:trPr/>
        <w:tc>
          <w:tcPr>
            <w:tcW w:w="2591"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88" w:type="dxa"/>
            <w:tcBorders/>
            <w:shd w:fill="auto" w:val="clear"/>
            <w:vAlign w:val="center"/>
          </w:tcPr>
          <w:p>
            <w:pPr>
              <w:pStyle w:val="TableContents"/>
              <w:spacing w:before="0" w:after="283"/>
              <w:rPr>
                <w:sz w:val="4"/>
                <w:szCs w:val="4"/>
              </w:rPr>
            </w:pPr>
            <w:r>
              <w:rPr>
                <w:sz w:val="4"/>
                <w:szCs w:val="4"/>
              </w:rPr>
            </w:r>
          </w:p>
        </w:tc>
        <w:tc>
          <w:tcPr>
            <w:tcW w:w="1012" w:type="dxa"/>
            <w:tcBorders/>
            <w:shd w:fill="auto" w:val="clear"/>
            <w:vAlign w:val="center"/>
          </w:tcPr>
          <w:p>
            <w:pPr>
              <w:pStyle w:val="TableContents"/>
              <w:spacing w:before="0" w:after="283"/>
              <w:rPr>
                <w:sz w:val="4"/>
                <w:szCs w:val="4"/>
              </w:rPr>
            </w:pPr>
            <w:r>
              <w:rPr>
                <w:sz w:val="4"/>
                <w:szCs w:val="4"/>
              </w:rPr>
            </w:r>
          </w:p>
        </w:tc>
        <w:tc>
          <w:tcPr>
            <w:tcW w:w="88"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059"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82" w:type="dxa"/>
            <w:tcBorders/>
            <w:shd w:fill="auto" w:val="clear"/>
            <w:vAlign w:val="center"/>
          </w:tcPr>
          <w:p>
            <w:pPr>
              <w:pStyle w:val="TableContents"/>
              <w:spacing w:before="0" w:after="283"/>
              <w:rPr>
                <w:sz w:val="4"/>
                <w:szCs w:val="4"/>
              </w:rPr>
            </w:pPr>
            <w:r>
              <w:rPr>
                <w:sz w:val="4"/>
                <w:szCs w:val="4"/>
              </w:rPr>
            </w:r>
          </w:p>
        </w:tc>
        <w:tc>
          <w:tcPr>
            <w:tcW w:w="955" w:type="dxa"/>
            <w:tcBorders/>
            <w:shd w:fill="auto" w:val="clear"/>
            <w:vAlign w:val="center"/>
          </w:tcPr>
          <w:p>
            <w:pPr>
              <w:pStyle w:val="TableContents"/>
              <w:spacing w:before="0" w:after="283"/>
              <w:rPr>
                <w:sz w:val="4"/>
                <w:szCs w:val="4"/>
              </w:rPr>
            </w:pPr>
            <w:r>
              <w:rPr>
                <w:sz w:val="4"/>
                <w:szCs w:val="4"/>
              </w:rPr>
            </w:r>
          </w:p>
        </w:tc>
        <w:tc>
          <w:tcPr>
            <w:tcW w:w="74"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74" w:type="dxa"/>
            <w:tcBorders/>
            <w:shd w:fill="auto" w:val="clear"/>
            <w:vAlign w:val="center"/>
          </w:tcPr>
          <w:p>
            <w:pPr>
              <w:pStyle w:val="TableContents"/>
              <w:spacing w:before="0" w:after="283"/>
              <w:rPr>
                <w:sz w:val="4"/>
                <w:szCs w:val="4"/>
              </w:rPr>
            </w:pPr>
            <w:r>
              <w:rPr>
                <w:sz w:val="4"/>
                <w:szCs w:val="4"/>
              </w:rPr>
            </w:r>
          </w:p>
        </w:tc>
        <w:tc>
          <w:tcPr>
            <w:tcW w:w="1005" w:type="dxa"/>
            <w:tcBorders/>
            <w:shd w:fill="auto" w:val="clear"/>
            <w:vAlign w:val="center"/>
          </w:tcPr>
          <w:p>
            <w:pPr>
              <w:pStyle w:val="TableContents"/>
              <w:spacing w:before="0" w:after="283"/>
              <w:rPr>
                <w:sz w:val="4"/>
                <w:szCs w:val="4"/>
              </w:rPr>
            </w:pPr>
            <w:r>
              <w:rPr>
                <w:sz w:val="4"/>
                <w:szCs w:val="4"/>
              </w:rPr>
            </w:r>
          </w:p>
        </w:tc>
        <w:tc>
          <w:tcPr>
            <w:tcW w:w="70"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82" w:type="dxa"/>
            <w:tcBorders/>
            <w:shd w:fill="auto" w:val="clear"/>
            <w:vAlign w:val="center"/>
          </w:tcPr>
          <w:p>
            <w:pPr>
              <w:pStyle w:val="TableContents"/>
              <w:spacing w:before="0" w:after="283"/>
              <w:rPr>
                <w:sz w:val="4"/>
                <w:szCs w:val="4"/>
              </w:rPr>
            </w:pPr>
            <w:r>
              <w:rPr>
                <w:sz w:val="4"/>
                <w:szCs w:val="4"/>
              </w:rPr>
            </w:r>
          </w:p>
        </w:tc>
        <w:tc>
          <w:tcPr>
            <w:tcW w:w="955" w:type="dxa"/>
            <w:tcBorders/>
            <w:shd w:fill="auto" w:val="clear"/>
            <w:vAlign w:val="center"/>
          </w:tcPr>
          <w:p>
            <w:pPr>
              <w:pStyle w:val="TableContents"/>
              <w:spacing w:before="0" w:after="283"/>
              <w:rPr>
                <w:sz w:val="4"/>
                <w:szCs w:val="4"/>
              </w:rPr>
            </w:pPr>
            <w:r>
              <w:rPr>
                <w:sz w:val="4"/>
                <w:szCs w:val="4"/>
              </w:rPr>
            </w:r>
          </w:p>
        </w:tc>
        <w:tc>
          <w:tcPr>
            <w:tcW w:w="70"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70" w:type="dxa"/>
            <w:tcBorders/>
            <w:shd w:fill="auto" w:val="clear"/>
            <w:vAlign w:val="center"/>
          </w:tcPr>
          <w:p>
            <w:pPr>
              <w:pStyle w:val="TableContents"/>
              <w:spacing w:before="0" w:after="283"/>
              <w:rPr>
                <w:sz w:val="4"/>
                <w:szCs w:val="4"/>
              </w:rPr>
            </w:pPr>
            <w:r>
              <w:rPr>
                <w:sz w:val="4"/>
                <w:szCs w:val="4"/>
              </w:rPr>
            </w:r>
          </w:p>
        </w:tc>
        <w:tc>
          <w:tcPr>
            <w:tcW w:w="807"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r>
      <w:tr>
        <w:trPr/>
        <w:tc>
          <w:tcPr>
            <w:tcW w:w="2591" w:type="dxa"/>
            <w:tcBorders>
              <w:top w:val="single" w:sz="6" w:space="0" w:color="000000"/>
              <w:left w:val="single" w:sz="6" w:space="0" w:color="000000"/>
              <w:right w:val="single" w:sz="6" w:space="0" w:color="000000"/>
            </w:tcBorders>
            <w:shd w:fill="auto" w:val="clear"/>
            <w:tcMar>
              <w:top w:w="28" w:type="dxa"/>
              <w:left w:w="160" w:type="dxa"/>
              <w:right w:w="28" w:type="dxa"/>
            </w:tcMar>
            <w:vAlign w:val="center"/>
          </w:tcPr>
          <w:p>
            <w:pPr>
              <w:pStyle w:val="TableContents"/>
              <w:spacing w:before="0" w:after="283"/>
              <w:rPr/>
            </w:pPr>
            <w:r>
              <w:rPr/>
              <w:t>  </w:t>
            </w:r>
          </w:p>
        </w:tc>
        <w:tc>
          <w:tcPr>
            <w:tcW w:w="142" w:type="dxa"/>
            <w:tcBorders>
              <w:top w:val="single" w:sz="6" w:space="0" w:color="000000"/>
              <w:left w:val="single" w:sz="6" w:space="0" w:color="000000"/>
              <w:bottom w:val="single" w:sz="6" w:space="0" w:color="000000"/>
            </w:tcBorders>
            <w:shd w:fill="auto" w:val="clear"/>
            <w:tcMar>
              <w:top w:w="28" w:type="dxa"/>
              <w:left w:w="28" w:type="dxa"/>
              <w:bottom w:w="28" w:type="dxa"/>
            </w:tcMar>
            <w:vAlign w:val="center"/>
          </w:tcPr>
          <w:p>
            <w:pPr>
              <w:pStyle w:val="TableContents"/>
              <w:spacing w:before="0" w:after="283"/>
              <w:rPr/>
            </w:pPr>
            <w:r>
              <w:rPr/>
              <w:t>  </w:t>
            </w:r>
          </w:p>
        </w:tc>
        <w:tc>
          <w:tcPr>
            <w:tcW w:w="2424" w:type="dxa"/>
            <w:gridSpan w:val="5"/>
            <w:tcBorders>
              <w:top w:val="single" w:sz="6" w:space="0" w:color="000000"/>
              <w:bottom w:val="single" w:sz="6" w:space="0" w:color="000000"/>
              <w:right w:val="single" w:sz="6" w:space="0" w:color="000000"/>
            </w:tcBorders>
            <w:shd w:fill="auto" w:val="clear"/>
            <w:tcMar>
              <w:top w:w="28" w:type="dxa"/>
              <w:bottom w:w="28" w:type="dxa"/>
              <w:right w:w="28" w:type="dxa"/>
            </w:tcMar>
            <w:vAlign w:val="center"/>
          </w:tcPr>
          <w:p>
            <w:pPr>
              <w:pStyle w:val="TableContents"/>
              <w:spacing w:before="0" w:after="0"/>
              <w:jc w:val="center"/>
              <w:rPr>
                <w:rFonts w:ascii="ARIAL" w:hAnsi="ARIAL"/>
                <w:b/>
                <w:sz w:val="16"/>
              </w:rPr>
            </w:pPr>
            <w:r>
              <w:rPr>
                <w:rFonts w:ascii="ARIAL" w:hAnsi="ARIAL"/>
                <w:b/>
                <w:sz w:val="16"/>
              </w:rPr>
              <w:t>Cumulative Consolidated</w:t>
            </w:r>
          </w:p>
          <w:p>
            <w:pPr>
              <w:pStyle w:val="TableContents"/>
              <w:spacing w:before="0" w:after="0"/>
              <w:jc w:val="center"/>
              <w:rPr>
                <w:rFonts w:ascii="ARIAL" w:hAnsi="ARIAL"/>
                <w:b/>
                <w:sz w:val="16"/>
              </w:rPr>
            </w:pPr>
            <w:r>
              <w:rPr>
                <w:rFonts w:ascii="ARIAL" w:hAnsi="ARIAL"/>
                <w:b/>
                <w:sz w:val="16"/>
              </w:rPr>
              <w:t>Adjusted EBITDA Growth</w:t>
            </w:r>
          </w:p>
          <w:p>
            <w:pPr>
              <w:pStyle w:val="TableContents"/>
              <w:spacing w:before="0" w:after="0"/>
              <w:jc w:val="center"/>
              <w:rPr>
                <w:rFonts w:ascii="ARIAL" w:hAnsi="ARIAL"/>
                <w:b/>
                <w:sz w:val="16"/>
              </w:rPr>
            </w:pPr>
            <w:r>
              <w:rPr>
                <w:rFonts w:ascii="ARIAL" w:hAnsi="ARIAL"/>
                <w:b/>
                <w:sz w:val="16"/>
              </w:rPr>
              <w:t>1/1/2020 - 12/31/2022</w:t>
            </w:r>
          </w:p>
          <w:p>
            <w:pPr>
              <w:pStyle w:val="TableContents"/>
              <w:spacing w:before="0" w:after="20"/>
              <w:jc w:val="center"/>
              <w:rPr>
                <w:rFonts w:ascii="ARIAL" w:hAnsi="ARIAL"/>
                <w:b/>
                <w:sz w:val="16"/>
              </w:rPr>
            </w:pPr>
            <w:r>
              <w:rPr>
                <w:rFonts w:ascii="ARIAL" w:hAnsi="ARIAL"/>
                <w:b/>
                <w:sz w:val="16"/>
              </w:rPr>
              <w:t># of Shares</w:t>
            </w:r>
          </w:p>
        </w:tc>
        <w:tc>
          <w:tcPr>
            <w:tcW w:w="142" w:type="dxa"/>
            <w:tcBorders>
              <w:top w:val="single" w:sz="6" w:space="0" w:color="000000"/>
              <w:left w:val="single" w:sz="6" w:space="0" w:color="000000"/>
              <w:bottom w:val="single" w:sz="6" w:space="0" w:color="000000"/>
            </w:tcBorders>
            <w:shd w:fill="auto" w:val="clear"/>
            <w:tcMar>
              <w:top w:w="28" w:type="dxa"/>
              <w:left w:w="28" w:type="dxa"/>
              <w:bottom w:w="28" w:type="dxa"/>
            </w:tcMar>
            <w:vAlign w:val="center"/>
          </w:tcPr>
          <w:p>
            <w:pPr>
              <w:pStyle w:val="TableContents"/>
              <w:spacing w:before="0" w:after="283"/>
              <w:rPr/>
            </w:pPr>
            <w:r>
              <w:rPr/>
              <w:t>  </w:t>
            </w:r>
          </w:p>
        </w:tc>
        <w:tc>
          <w:tcPr>
            <w:tcW w:w="2339" w:type="dxa"/>
            <w:gridSpan w:val="6"/>
            <w:tcBorders>
              <w:top w:val="single" w:sz="6" w:space="0" w:color="000000"/>
              <w:bottom w:val="single" w:sz="6" w:space="0" w:color="000000"/>
            </w:tcBorders>
            <w:shd w:fill="auto" w:val="clear"/>
            <w:tcMar>
              <w:top w:w="28" w:type="dxa"/>
              <w:bottom w:w="28" w:type="dxa"/>
            </w:tcMar>
            <w:vAlign w:val="center"/>
          </w:tcPr>
          <w:p>
            <w:pPr>
              <w:pStyle w:val="TableContents"/>
              <w:spacing w:before="0" w:after="0"/>
              <w:jc w:val="center"/>
              <w:rPr>
                <w:rFonts w:ascii="ARIAL" w:hAnsi="ARIAL"/>
                <w:b/>
                <w:sz w:val="16"/>
              </w:rPr>
            </w:pPr>
            <w:r>
              <w:rPr>
                <w:rFonts w:ascii="ARIAL" w:hAnsi="ARIAL"/>
                <w:b/>
                <w:sz w:val="16"/>
              </w:rPr>
              <w:t>Cumulative Same-Store</w:t>
            </w:r>
          </w:p>
          <w:p>
            <w:pPr>
              <w:pStyle w:val="TableContents"/>
              <w:spacing w:before="0" w:after="0"/>
              <w:jc w:val="center"/>
              <w:rPr>
                <w:rFonts w:ascii="ARIAL" w:hAnsi="ARIAL"/>
                <w:b/>
                <w:sz w:val="16"/>
              </w:rPr>
            </w:pPr>
            <w:r>
              <w:rPr>
                <w:rFonts w:ascii="ARIAL" w:hAnsi="ARIAL"/>
                <w:b/>
                <w:sz w:val="16"/>
              </w:rPr>
              <w:t>Net Revenue Growth</w:t>
            </w:r>
          </w:p>
          <w:p>
            <w:pPr>
              <w:pStyle w:val="TableContents"/>
              <w:spacing w:before="0" w:after="0"/>
              <w:jc w:val="center"/>
              <w:rPr>
                <w:rFonts w:ascii="ARIAL" w:hAnsi="ARIAL"/>
                <w:b/>
                <w:sz w:val="16"/>
              </w:rPr>
            </w:pPr>
            <w:r>
              <w:rPr>
                <w:rFonts w:ascii="ARIAL" w:hAnsi="ARIAL"/>
                <w:b/>
                <w:sz w:val="16"/>
              </w:rPr>
              <w:t>1/1/2020 - 12/31/2022</w:t>
            </w:r>
          </w:p>
          <w:p>
            <w:pPr>
              <w:pStyle w:val="TableContents"/>
              <w:spacing w:before="0" w:after="20"/>
              <w:jc w:val="center"/>
              <w:rPr>
                <w:rFonts w:ascii="ARIAL" w:hAnsi="ARIAL"/>
                <w:b/>
                <w:sz w:val="16"/>
              </w:rPr>
            </w:pPr>
            <w:r>
              <w:rPr>
                <w:rFonts w:ascii="ARIAL" w:hAnsi="ARIAL"/>
                <w:b/>
                <w:sz w:val="16"/>
              </w:rPr>
              <w:t># of Shares</w:t>
            </w:r>
          </w:p>
        </w:tc>
        <w:tc>
          <w:tcPr>
            <w:tcW w:w="70" w:type="dxa"/>
            <w:tcBorders>
              <w:top w:val="single" w:sz="6" w:space="0" w:color="000000"/>
              <w:bottom w:val="single" w:sz="6" w:space="0" w:color="000000"/>
              <w:right w:val="single" w:sz="6" w:space="0" w:color="000000"/>
            </w:tcBorders>
            <w:shd w:fill="auto" w:val="clear"/>
            <w:tcMar>
              <w:top w:w="28" w:type="dxa"/>
              <w:bottom w:w="28" w:type="dxa"/>
              <w:right w:w="28" w:type="dxa"/>
            </w:tcMar>
            <w:vAlign w:val="center"/>
          </w:tcPr>
          <w:p>
            <w:pPr>
              <w:pStyle w:val="TableContents"/>
              <w:spacing w:before="0" w:after="283"/>
              <w:rPr/>
            </w:pPr>
            <w:r>
              <w:rPr/>
              <w:t> </w:t>
            </w:r>
          </w:p>
        </w:tc>
        <w:tc>
          <w:tcPr>
            <w:tcW w:w="142" w:type="dxa"/>
            <w:tcBorders>
              <w:top w:val="single" w:sz="6" w:space="0" w:color="000000"/>
              <w:left w:val="single" w:sz="6" w:space="0" w:color="000000"/>
              <w:bottom w:val="single" w:sz="6" w:space="0" w:color="000000"/>
            </w:tcBorders>
            <w:shd w:fill="auto" w:val="clear"/>
            <w:tcMar>
              <w:top w:w="28" w:type="dxa"/>
              <w:left w:w="28" w:type="dxa"/>
              <w:bottom w:w="28" w:type="dxa"/>
            </w:tcMar>
            <w:vAlign w:val="center"/>
          </w:tcPr>
          <w:p>
            <w:pPr>
              <w:pStyle w:val="TableContents"/>
              <w:spacing w:before="0" w:after="283"/>
              <w:rPr/>
            </w:pPr>
            <w:r>
              <w:rPr/>
              <w:t>  </w:t>
            </w:r>
          </w:p>
        </w:tc>
        <w:tc>
          <w:tcPr>
            <w:tcW w:w="2126" w:type="dxa"/>
            <w:gridSpan w:val="6"/>
            <w:tcBorders>
              <w:top w:val="single" w:sz="6" w:space="0" w:color="000000"/>
              <w:bottom w:val="single" w:sz="6" w:space="0" w:color="000000"/>
            </w:tcBorders>
            <w:shd w:fill="auto" w:val="clear"/>
            <w:tcMar>
              <w:top w:w="28" w:type="dxa"/>
              <w:bottom w:w="28" w:type="dxa"/>
            </w:tcMar>
            <w:vAlign w:val="center"/>
          </w:tcPr>
          <w:p>
            <w:pPr>
              <w:pStyle w:val="TableContents"/>
              <w:spacing w:before="0" w:after="0"/>
              <w:jc w:val="center"/>
              <w:rPr>
                <w:rFonts w:ascii="ARIAL" w:hAnsi="ARIAL"/>
                <w:b/>
                <w:sz w:val="16"/>
              </w:rPr>
            </w:pPr>
            <w:r>
              <w:rPr>
                <w:rFonts w:ascii="ARIAL" w:hAnsi="ARIAL"/>
                <w:b/>
                <w:sz w:val="16"/>
              </w:rPr>
              <w:t>TSR Percentile Rank</w:t>
            </w:r>
          </w:p>
          <w:p>
            <w:pPr>
              <w:pStyle w:val="TableContents"/>
              <w:spacing w:before="0" w:after="0"/>
              <w:jc w:val="center"/>
              <w:rPr>
                <w:rFonts w:ascii="ARIAL" w:hAnsi="ARIAL"/>
                <w:b/>
                <w:sz w:val="16"/>
              </w:rPr>
            </w:pPr>
            <w:r>
              <w:rPr>
                <w:rFonts w:ascii="ARIAL" w:hAnsi="ARIAL"/>
                <w:b/>
                <w:sz w:val="16"/>
              </w:rPr>
              <w:t>1/1/2020 - 12/31/2022</w:t>
            </w:r>
          </w:p>
          <w:p>
            <w:pPr>
              <w:pStyle w:val="TableContents"/>
              <w:spacing w:before="0" w:after="20"/>
              <w:jc w:val="center"/>
              <w:rPr>
                <w:rFonts w:ascii="ARIAL" w:hAnsi="ARIAL"/>
                <w:b/>
                <w:sz w:val="16"/>
              </w:rPr>
            </w:pPr>
            <w:r>
              <w:rPr>
                <w:rFonts w:ascii="ARIAL" w:hAnsi="ARIAL"/>
                <w:b/>
                <w:sz w:val="16"/>
              </w:rPr>
              <w:t># of Shares</w:t>
            </w:r>
          </w:p>
        </w:tc>
        <w:tc>
          <w:tcPr>
            <w:tcW w:w="229" w:type="dxa"/>
            <w:tcBorders>
              <w:top w:val="single" w:sz="6" w:space="0" w:color="000000"/>
              <w:bottom w:val="single" w:sz="6" w:space="0" w:color="000000"/>
              <w:right w:val="single" w:sz="6" w:space="0" w:color="000000"/>
            </w:tcBorders>
            <w:shd w:fill="auto" w:val="clear"/>
            <w:tcMar>
              <w:top w:w="28" w:type="dxa"/>
              <w:bottom w:w="28" w:type="dxa"/>
              <w:right w:w="40" w:type="dxa"/>
            </w:tcMar>
            <w:vAlign w:val="center"/>
          </w:tcPr>
          <w:p>
            <w:pPr>
              <w:pStyle w:val="TableContents"/>
              <w:spacing w:before="0" w:after="283"/>
              <w:rPr/>
            </w:pPr>
            <w:r>
              <w:rPr/>
              <w:t> </w:t>
            </w:r>
          </w:p>
        </w:tc>
      </w:tr>
      <w:tr>
        <w:trPr/>
        <w:tc>
          <w:tcPr>
            <w:tcW w:w="2591" w:type="dxa"/>
            <w:tcBorders>
              <w:left w:val="single" w:sz="6" w:space="0" w:color="000000"/>
              <w:right w:val="single" w:sz="6" w:space="0" w:color="000000"/>
            </w:tcBorders>
            <w:shd w:fill="auto" w:val="clear"/>
            <w:tcMar>
              <w:left w:w="160" w:type="dxa"/>
              <w:right w:w="28" w:type="dxa"/>
            </w:tcMar>
            <w:vAlign w:val="center"/>
          </w:tcPr>
          <w:p>
            <w:pPr>
              <w:pStyle w:val="TableContents"/>
              <w:spacing w:before="0" w:after="283"/>
              <w:rPr/>
            </w:pPr>
            <w:r>
              <w:rPr/>
              <w:t> </w:t>
            </w:r>
          </w:p>
        </w:tc>
        <w:tc>
          <w:tcPr>
            <w:tcW w:w="1330" w:type="dxa"/>
            <w:gridSpan w:val="4"/>
            <w:tcBorders>
              <w:top w:val="single" w:sz="6" w:space="0" w:color="000000"/>
              <w:left w:val="single" w:sz="6" w:space="0" w:color="000000"/>
              <w:right w:val="single" w:sz="6" w:space="0" w:color="000000"/>
            </w:tcBorders>
            <w:shd w:fill="auto" w:val="clear"/>
            <w:tcMar>
              <w:top w:w="28" w:type="dxa"/>
              <w:left w:w="28" w:type="dxa"/>
              <w:right w:w="28" w:type="dxa"/>
            </w:tcMar>
            <w:vAlign w:val="center"/>
          </w:tcPr>
          <w:p>
            <w:pPr>
              <w:pStyle w:val="TableContents"/>
              <w:spacing w:before="0" w:after="283"/>
              <w:rPr/>
            </w:pPr>
            <w:r>
              <w:rPr/>
              <w:t> </w:t>
            </w:r>
          </w:p>
        </w:tc>
        <w:tc>
          <w:tcPr>
            <w:tcW w:w="1236" w:type="dxa"/>
            <w:gridSpan w:val="2"/>
            <w:tcBorders>
              <w:top w:val="single" w:sz="6" w:space="0" w:color="000000"/>
              <w:left w:val="single" w:sz="6" w:space="0" w:color="000000"/>
              <w:right w:val="single" w:sz="6" w:space="0" w:color="000000"/>
            </w:tcBorders>
            <w:shd w:fill="auto" w:val="clear"/>
            <w:tcMar>
              <w:top w:w="28" w:type="dxa"/>
              <w:left w:w="28" w:type="dxa"/>
              <w:right w:w="28" w:type="dxa"/>
            </w:tcMar>
            <w:vAlign w:val="center"/>
          </w:tcPr>
          <w:p>
            <w:pPr>
              <w:pStyle w:val="TableContents"/>
              <w:spacing w:before="0" w:after="283"/>
              <w:rPr/>
            </w:pPr>
            <w:r>
              <w:rPr/>
              <w:t> </w:t>
            </w:r>
          </w:p>
        </w:tc>
        <w:tc>
          <w:tcPr>
            <w:tcW w:w="1253" w:type="dxa"/>
            <w:gridSpan w:val="4"/>
            <w:tcBorders>
              <w:top w:val="single" w:sz="6" w:space="0" w:color="000000"/>
              <w:left w:val="single" w:sz="6" w:space="0" w:color="000000"/>
              <w:right w:val="single" w:sz="6" w:space="0" w:color="000000"/>
            </w:tcBorders>
            <w:shd w:fill="auto" w:val="clear"/>
            <w:tcMar>
              <w:top w:w="28" w:type="dxa"/>
              <w:left w:w="28" w:type="dxa"/>
              <w:right w:w="28" w:type="dxa"/>
            </w:tcMar>
            <w:vAlign w:val="center"/>
          </w:tcPr>
          <w:p>
            <w:pPr>
              <w:pStyle w:val="TableContents"/>
              <w:spacing w:before="0" w:after="283"/>
              <w:rPr/>
            </w:pPr>
            <w:r>
              <w:rPr/>
              <w:t> </w:t>
            </w:r>
          </w:p>
        </w:tc>
        <w:tc>
          <w:tcPr>
            <w:tcW w:w="1298" w:type="dxa"/>
            <w:gridSpan w:val="4"/>
            <w:tcBorders>
              <w:top w:val="single" w:sz="6" w:space="0" w:color="000000"/>
              <w:left w:val="single" w:sz="6" w:space="0" w:color="000000"/>
              <w:right w:val="single" w:sz="6" w:space="0" w:color="000000"/>
            </w:tcBorders>
            <w:shd w:fill="auto" w:val="clear"/>
            <w:tcMar>
              <w:top w:w="28" w:type="dxa"/>
              <w:left w:w="28" w:type="dxa"/>
              <w:right w:w="28" w:type="dxa"/>
            </w:tcMar>
            <w:vAlign w:val="center"/>
          </w:tcPr>
          <w:p>
            <w:pPr>
              <w:pStyle w:val="TableContents"/>
              <w:spacing w:before="0" w:after="283"/>
              <w:rPr/>
            </w:pPr>
            <w:r>
              <w:rPr/>
              <w:t> </w:t>
            </w:r>
          </w:p>
        </w:tc>
        <w:tc>
          <w:tcPr>
            <w:tcW w:w="1249" w:type="dxa"/>
            <w:gridSpan w:val="4"/>
            <w:tcBorders>
              <w:top w:val="single" w:sz="6" w:space="0" w:color="000000"/>
              <w:left w:val="single" w:sz="6" w:space="0" w:color="000000"/>
              <w:right w:val="single" w:sz="6" w:space="0" w:color="000000"/>
            </w:tcBorders>
            <w:shd w:fill="auto" w:val="clear"/>
            <w:tcMar>
              <w:top w:w="28" w:type="dxa"/>
              <w:left w:w="28" w:type="dxa"/>
              <w:right w:w="28" w:type="dxa"/>
            </w:tcMar>
            <w:vAlign w:val="center"/>
          </w:tcPr>
          <w:p>
            <w:pPr>
              <w:pStyle w:val="TableContents"/>
              <w:spacing w:before="0" w:after="283"/>
              <w:rPr/>
            </w:pPr>
            <w:r>
              <w:rPr/>
              <w:t> </w:t>
            </w:r>
          </w:p>
        </w:tc>
        <w:tc>
          <w:tcPr>
            <w:tcW w:w="1248" w:type="dxa"/>
            <w:gridSpan w:val="4"/>
            <w:tcBorders>
              <w:top w:val="single" w:sz="6" w:space="0" w:color="000000"/>
              <w:left w:val="single" w:sz="6" w:space="0" w:color="000000"/>
              <w:right w:val="single" w:sz="6" w:space="0" w:color="000000"/>
            </w:tcBorders>
            <w:shd w:fill="auto" w:val="clear"/>
            <w:tcMar>
              <w:top w:w="28" w:type="dxa"/>
              <w:left w:w="28" w:type="dxa"/>
              <w:right w:w="28" w:type="dxa"/>
            </w:tcMar>
            <w:vAlign w:val="center"/>
          </w:tcPr>
          <w:p>
            <w:pPr>
              <w:pStyle w:val="TableContents"/>
              <w:spacing w:before="0" w:after="283"/>
              <w:rPr/>
            </w:pPr>
            <w:r>
              <w:rPr/>
              <w:t> </w:t>
            </w:r>
          </w:p>
        </w:tc>
      </w:tr>
      <w:tr>
        <w:trPr/>
        <w:tc>
          <w:tcPr>
            <w:tcW w:w="2591" w:type="dxa"/>
            <w:tcBorders>
              <w:left w:val="single" w:sz="6" w:space="0" w:color="000000"/>
              <w:bottom w:val="single" w:sz="6" w:space="0" w:color="000000"/>
              <w:right w:val="single" w:sz="6" w:space="0" w:color="000000"/>
            </w:tcBorders>
            <w:shd w:fill="auto" w:val="clear"/>
            <w:tcMar>
              <w:left w:w="160" w:type="dxa"/>
              <w:bottom w:w="28" w:type="dxa"/>
              <w:right w:w="28" w:type="dxa"/>
            </w:tcMar>
            <w:vAlign w:val="center"/>
          </w:tcPr>
          <w:p>
            <w:pPr>
              <w:pStyle w:val="TableContents"/>
              <w:spacing w:before="0" w:after="283"/>
              <w:jc w:val="center"/>
              <w:rPr>
                <w:b/>
              </w:rPr>
            </w:pPr>
            <w:r>
              <w:rPr>
                <w:b/>
              </w:rPr>
              <w:t>Named Executive Officer</w:t>
            </w:r>
          </w:p>
        </w:tc>
        <w:tc>
          <w:tcPr>
            <w:tcW w:w="142" w:type="dxa"/>
            <w:tcBorders>
              <w:left w:val="single" w:sz="6" w:space="0" w:color="000000"/>
              <w:bottom w:val="single" w:sz="6" w:space="0" w:color="000000"/>
            </w:tcBorders>
            <w:shd w:fill="auto" w:val="clear"/>
            <w:tcMar>
              <w:left w:w="28" w:type="dxa"/>
              <w:bottom w:w="28" w:type="dxa"/>
            </w:tcMar>
            <w:vAlign w:val="center"/>
          </w:tcPr>
          <w:p>
            <w:pPr>
              <w:pStyle w:val="TableContents"/>
              <w:spacing w:before="0" w:after="283"/>
              <w:rPr/>
            </w:pPr>
            <w:r>
              <w:rPr/>
              <w:t>  </w:t>
            </w:r>
          </w:p>
        </w:tc>
        <w:tc>
          <w:tcPr>
            <w:tcW w:w="1100" w:type="dxa"/>
            <w:gridSpan w:val="2"/>
            <w:tcBorders>
              <w:bottom w:val="single" w:sz="6" w:space="0" w:color="000000"/>
            </w:tcBorders>
            <w:shd w:fill="auto" w:val="clear"/>
            <w:tcMar>
              <w:bottom w:w="28" w:type="dxa"/>
            </w:tcMar>
            <w:vAlign w:val="center"/>
          </w:tcPr>
          <w:p>
            <w:pPr>
              <w:pStyle w:val="TableContents"/>
              <w:spacing w:before="0" w:after="283"/>
              <w:jc w:val="center"/>
              <w:rPr>
                <w:b/>
              </w:rPr>
            </w:pPr>
            <w:r>
              <w:rPr>
                <w:b/>
              </w:rPr>
              <w:t>Granted</w:t>
            </w:r>
          </w:p>
        </w:tc>
        <w:tc>
          <w:tcPr>
            <w:tcW w:w="88" w:type="dxa"/>
            <w:tcBorders>
              <w:bottom w:val="single" w:sz="6" w:space="0" w:color="000000"/>
              <w:right w:val="single" w:sz="6" w:space="0" w:color="000000"/>
            </w:tcBorders>
            <w:shd w:fill="auto" w:val="clear"/>
            <w:tcMar>
              <w:bottom w:w="28" w:type="dxa"/>
              <w:right w:w="28" w:type="dxa"/>
            </w:tcMar>
            <w:vAlign w:val="center"/>
          </w:tcPr>
          <w:p>
            <w:pPr>
              <w:pStyle w:val="TableContents"/>
              <w:spacing w:before="0" w:after="283"/>
              <w:rPr/>
            </w:pPr>
            <w:r>
              <w:rPr/>
              <w:t> </w:t>
            </w:r>
          </w:p>
        </w:tc>
        <w:tc>
          <w:tcPr>
            <w:tcW w:w="177" w:type="dxa"/>
            <w:tcBorders>
              <w:left w:val="single" w:sz="6" w:space="0" w:color="000000"/>
              <w:bottom w:val="single" w:sz="6" w:space="0" w:color="000000"/>
            </w:tcBorders>
            <w:shd w:fill="auto" w:val="clear"/>
            <w:tcMar>
              <w:left w:w="28" w:type="dxa"/>
              <w:bottom w:w="28" w:type="dxa"/>
            </w:tcMar>
            <w:vAlign w:val="center"/>
          </w:tcPr>
          <w:p>
            <w:pPr>
              <w:pStyle w:val="TableContents"/>
              <w:spacing w:before="0" w:after="283"/>
              <w:rPr/>
            </w:pPr>
            <w:r>
              <w:rPr/>
              <w:t>  </w:t>
            </w:r>
          </w:p>
        </w:tc>
        <w:tc>
          <w:tcPr>
            <w:tcW w:w="1059" w:type="dxa"/>
            <w:tcBorders>
              <w:bottom w:val="single" w:sz="6" w:space="0" w:color="000000"/>
              <w:right w:val="single" w:sz="6" w:space="0" w:color="000000"/>
            </w:tcBorders>
            <w:shd w:fill="auto" w:val="clear"/>
            <w:tcMar>
              <w:bottom w:w="28" w:type="dxa"/>
              <w:right w:w="28" w:type="dxa"/>
            </w:tcMar>
            <w:vAlign w:val="center"/>
          </w:tcPr>
          <w:p>
            <w:pPr>
              <w:pStyle w:val="TableContents"/>
              <w:spacing w:before="0" w:after="283"/>
              <w:jc w:val="center"/>
              <w:rPr>
                <w:b/>
              </w:rPr>
            </w:pPr>
            <w:r>
              <w:rPr>
                <w:b/>
              </w:rPr>
              <w:t>Vested</w:t>
            </w:r>
          </w:p>
        </w:tc>
        <w:tc>
          <w:tcPr>
            <w:tcW w:w="142" w:type="dxa"/>
            <w:tcBorders>
              <w:left w:val="single" w:sz="6" w:space="0" w:color="000000"/>
              <w:bottom w:val="single" w:sz="6" w:space="0" w:color="000000"/>
            </w:tcBorders>
            <w:shd w:fill="auto" w:val="clear"/>
            <w:tcMar>
              <w:left w:w="28" w:type="dxa"/>
              <w:bottom w:w="28" w:type="dxa"/>
            </w:tcMar>
            <w:vAlign w:val="center"/>
          </w:tcPr>
          <w:p>
            <w:pPr>
              <w:pStyle w:val="TableContents"/>
              <w:spacing w:before="0" w:after="283"/>
              <w:rPr/>
            </w:pPr>
            <w:r>
              <w:rPr/>
              <w:t>  </w:t>
            </w:r>
          </w:p>
        </w:tc>
        <w:tc>
          <w:tcPr>
            <w:tcW w:w="1037" w:type="dxa"/>
            <w:gridSpan w:val="2"/>
            <w:tcBorders>
              <w:bottom w:val="single" w:sz="6" w:space="0" w:color="000000"/>
            </w:tcBorders>
            <w:shd w:fill="auto" w:val="clear"/>
            <w:tcMar>
              <w:bottom w:w="28" w:type="dxa"/>
            </w:tcMar>
            <w:vAlign w:val="center"/>
          </w:tcPr>
          <w:p>
            <w:pPr>
              <w:pStyle w:val="TableContents"/>
              <w:spacing w:before="0" w:after="283"/>
              <w:jc w:val="center"/>
              <w:rPr>
                <w:b/>
              </w:rPr>
            </w:pPr>
            <w:r>
              <w:rPr>
                <w:b/>
              </w:rPr>
              <w:t>Granted</w:t>
            </w:r>
          </w:p>
        </w:tc>
        <w:tc>
          <w:tcPr>
            <w:tcW w:w="74" w:type="dxa"/>
            <w:tcBorders>
              <w:bottom w:val="single" w:sz="6" w:space="0" w:color="000000"/>
              <w:right w:val="single" w:sz="6" w:space="0" w:color="000000"/>
            </w:tcBorders>
            <w:shd w:fill="auto" w:val="clear"/>
            <w:tcMar>
              <w:bottom w:w="28" w:type="dxa"/>
              <w:right w:w="28" w:type="dxa"/>
            </w:tcMar>
            <w:vAlign w:val="center"/>
          </w:tcPr>
          <w:p>
            <w:pPr>
              <w:pStyle w:val="TableContents"/>
              <w:spacing w:before="0" w:after="283"/>
              <w:rPr/>
            </w:pPr>
            <w:r>
              <w:rPr/>
              <w:t> </w:t>
            </w:r>
          </w:p>
        </w:tc>
        <w:tc>
          <w:tcPr>
            <w:tcW w:w="149" w:type="dxa"/>
            <w:tcBorders>
              <w:left w:val="single" w:sz="6" w:space="0" w:color="000000"/>
              <w:bottom w:val="single" w:sz="6" w:space="0" w:color="000000"/>
            </w:tcBorders>
            <w:shd w:fill="auto" w:val="clear"/>
            <w:tcMar>
              <w:left w:w="28" w:type="dxa"/>
              <w:bottom w:w="28" w:type="dxa"/>
            </w:tcMar>
            <w:vAlign w:val="center"/>
          </w:tcPr>
          <w:p>
            <w:pPr>
              <w:pStyle w:val="TableContents"/>
              <w:spacing w:before="0" w:after="283"/>
              <w:rPr/>
            </w:pPr>
            <w:r>
              <w:rPr/>
              <w:t>  </w:t>
            </w:r>
          </w:p>
        </w:tc>
        <w:tc>
          <w:tcPr>
            <w:tcW w:w="1079" w:type="dxa"/>
            <w:gridSpan w:val="2"/>
            <w:tcBorders>
              <w:bottom w:val="single" w:sz="6" w:space="0" w:color="000000"/>
            </w:tcBorders>
            <w:shd w:fill="auto" w:val="clear"/>
            <w:tcMar>
              <w:bottom w:w="28" w:type="dxa"/>
            </w:tcMar>
            <w:vAlign w:val="center"/>
          </w:tcPr>
          <w:p>
            <w:pPr>
              <w:pStyle w:val="TableContents"/>
              <w:spacing w:before="0" w:after="283"/>
              <w:jc w:val="center"/>
              <w:rPr>
                <w:b/>
              </w:rPr>
            </w:pPr>
            <w:r>
              <w:rPr>
                <w:b/>
              </w:rPr>
              <w:t>Vested</w:t>
            </w:r>
          </w:p>
        </w:tc>
        <w:tc>
          <w:tcPr>
            <w:tcW w:w="70" w:type="dxa"/>
            <w:tcBorders>
              <w:bottom w:val="single" w:sz="6" w:space="0" w:color="000000"/>
              <w:right w:val="single" w:sz="6" w:space="0" w:color="000000"/>
            </w:tcBorders>
            <w:shd w:fill="auto" w:val="clear"/>
            <w:tcMar>
              <w:bottom w:w="28" w:type="dxa"/>
              <w:right w:w="28" w:type="dxa"/>
            </w:tcMar>
            <w:vAlign w:val="center"/>
          </w:tcPr>
          <w:p>
            <w:pPr>
              <w:pStyle w:val="TableContents"/>
              <w:spacing w:before="0" w:after="283"/>
              <w:rPr/>
            </w:pPr>
            <w:r>
              <w:rPr/>
              <w:t> </w:t>
            </w:r>
          </w:p>
        </w:tc>
        <w:tc>
          <w:tcPr>
            <w:tcW w:w="142" w:type="dxa"/>
            <w:tcBorders>
              <w:left w:val="single" w:sz="6" w:space="0" w:color="000000"/>
              <w:bottom w:val="single" w:sz="6" w:space="0" w:color="000000"/>
            </w:tcBorders>
            <w:shd w:fill="auto" w:val="clear"/>
            <w:tcMar>
              <w:left w:w="28" w:type="dxa"/>
              <w:bottom w:w="28" w:type="dxa"/>
            </w:tcMar>
            <w:vAlign w:val="center"/>
          </w:tcPr>
          <w:p>
            <w:pPr>
              <w:pStyle w:val="TableContents"/>
              <w:spacing w:before="0" w:after="283"/>
              <w:rPr/>
            </w:pPr>
            <w:r>
              <w:rPr/>
              <w:t>  </w:t>
            </w:r>
          </w:p>
        </w:tc>
        <w:tc>
          <w:tcPr>
            <w:tcW w:w="1037" w:type="dxa"/>
            <w:gridSpan w:val="2"/>
            <w:tcBorders>
              <w:bottom w:val="single" w:sz="6" w:space="0" w:color="000000"/>
            </w:tcBorders>
            <w:shd w:fill="auto" w:val="clear"/>
            <w:tcMar>
              <w:bottom w:w="28" w:type="dxa"/>
            </w:tcMar>
            <w:vAlign w:val="center"/>
          </w:tcPr>
          <w:p>
            <w:pPr>
              <w:pStyle w:val="TableContents"/>
              <w:spacing w:before="0" w:after="283"/>
              <w:jc w:val="center"/>
              <w:rPr>
                <w:b/>
              </w:rPr>
            </w:pPr>
            <w:r>
              <w:rPr>
                <w:b/>
              </w:rPr>
              <w:t>Granted</w:t>
            </w:r>
          </w:p>
        </w:tc>
        <w:tc>
          <w:tcPr>
            <w:tcW w:w="70" w:type="dxa"/>
            <w:tcBorders>
              <w:bottom w:val="single" w:sz="6" w:space="0" w:color="000000"/>
              <w:right w:val="single" w:sz="6" w:space="0" w:color="000000"/>
            </w:tcBorders>
            <w:shd w:fill="auto" w:val="clear"/>
            <w:tcMar>
              <w:bottom w:w="28" w:type="dxa"/>
              <w:right w:w="28" w:type="dxa"/>
            </w:tcMar>
            <w:vAlign w:val="center"/>
          </w:tcPr>
          <w:p>
            <w:pPr>
              <w:pStyle w:val="TableContents"/>
              <w:spacing w:before="0" w:after="283"/>
              <w:rPr/>
            </w:pPr>
            <w:r>
              <w:rPr/>
              <w:t> </w:t>
            </w:r>
          </w:p>
        </w:tc>
        <w:tc>
          <w:tcPr>
            <w:tcW w:w="142" w:type="dxa"/>
            <w:tcBorders>
              <w:left w:val="single" w:sz="6" w:space="0" w:color="000000"/>
              <w:bottom w:val="single" w:sz="6" w:space="0" w:color="000000"/>
            </w:tcBorders>
            <w:shd w:fill="auto" w:val="clear"/>
            <w:tcMar>
              <w:left w:w="28" w:type="dxa"/>
              <w:bottom w:w="28" w:type="dxa"/>
            </w:tcMar>
            <w:vAlign w:val="center"/>
          </w:tcPr>
          <w:p>
            <w:pPr>
              <w:pStyle w:val="TableContents"/>
              <w:spacing w:before="0" w:after="283"/>
              <w:rPr/>
            </w:pPr>
            <w:r>
              <w:rPr/>
              <w:t>  </w:t>
            </w:r>
          </w:p>
        </w:tc>
        <w:tc>
          <w:tcPr>
            <w:tcW w:w="877" w:type="dxa"/>
            <w:gridSpan w:val="2"/>
            <w:tcBorders>
              <w:bottom w:val="single" w:sz="6" w:space="0" w:color="000000"/>
            </w:tcBorders>
            <w:shd w:fill="auto" w:val="clear"/>
            <w:tcMar>
              <w:bottom w:w="28" w:type="dxa"/>
            </w:tcMar>
            <w:vAlign w:val="center"/>
          </w:tcPr>
          <w:p>
            <w:pPr>
              <w:pStyle w:val="TableContents"/>
              <w:spacing w:before="0" w:after="283"/>
              <w:jc w:val="center"/>
              <w:rPr>
                <w:b/>
              </w:rPr>
            </w:pPr>
            <w:r>
              <w:rPr>
                <w:b/>
              </w:rPr>
              <w:t>Vested</w:t>
            </w:r>
          </w:p>
        </w:tc>
        <w:tc>
          <w:tcPr>
            <w:tcW w:w="229" w:type="dxa"/>
            <w:tcBorders>
              <w:bottom w:val="single" w:sz="6" w:space="0" w:color="000000"/>
              <w:right w:val="single" w:sz="6" w:space="0" w:color="000000"/>
            </w:tcBorders>
            <w:shd w:fill="auto" w:val="clear"/>
            <w:tcMar>
              <w:bottom w:w="28" w:type="dxa"/>
              <w:right w:w="40" w:type="dxa"/>
            </w:tcMar>
            <w:vAlign w:val="center"/>
          </w:tcPr>
          <w:p>
            <w:pPr>
              <w:pStyle w:val="TableContents"/>
              <w:spacing w:before="0" w:after="283"/>
              <w:rPr/>
            </w:pPr>
            <w:r>
              <w:rPr/>
              <w:t> </w:t>
            </w:r>
          </w:p>
        </w:tc>
      </w:tr>
      <w:tr>
        <w:trPr/>
        <w:tc>
          <w:tcPr>
            <w:tcW w:w="2591" w:type="dxa"/>
            <w:tcBorders>
              <w:top w:val="single" w:sz="6" w:space="0" w:color="000000"/>
              <w:left w:val="single" w:sz="6" w:space="0" w:color="000000"/>
              <w:bottom w:val="single" w:sz="6" w:space="0" w:color="000000"/>
              <w:right w:val="single" w:sz="6" w:space="0" w:color="000000"/>
            </w:tcBorders>
            <w:shd w:fill="auto" w:val="clear"/>
            <w:tcMar>
              <w:top w:w="28" w:type="dxa"/>
              <w:left w:w="160" w:type="dxa"/>
              <w:bottom w:w="28" w:type="dxa"/>
              <w:right w:w="28" w:type="dxa"/>
            </w:tcMar>
            <w:vAlign w:val="center"/>
          </w:tcPr>
          <w:p>
            <w:pPr>
              <w:pStyle w:val="TableContents"/>
              <w:spacing w:before="0" w:after="0"/>
              <w:rPr/>
            </w:pPr>
            <w:r>
              <w:rPr/>
              <w:t>  </w:t>
            </w:r>
            <w:r>
              <w:rPr>
                <w:rFonts w:ascii="ARIAL" w:hAnsi="ARIAL"/>
                <w:sz w:val="20"/>
              </w:rPr>
              <w:t>CEO (Hingtgen) (1)</w:t>
            </w:r>
          </w:p>
        </w:tc>
        <w:tc>
          <w:tcPr>
            <w:tcW w:w="142" w:type="dxa"/>
            <w:tcBorders>
              <w:top w:val="single" w:sz="6" w:space="0" w:color="000000"/>
              <w:left w:val="single" w:sz="6" w:space="0" w:color="000000"/>
              <w:bottom w:val="single" w:sz="6" w:space="0" w:color="000000"/>
            </w:tcBorders>
            <w:shd w:fill="auto" w:val="clear"/>
            <w:tcMar>
              <w:top w:w="28" w:type="dxa"/>
              <w:left w:w="28" w:type="dxa"/>
              <w:bottom w:w="28" w:type="dxa"/>
            </w:tcMar>
            <w:vAlign w:val="center"/>
          </w:tcPr>
          <w:p>
            <w:pPr>
              <w:pStyle w:val="TableContents"/>
              <w:spacing w:before="0" w:after="283"/>
              <w:rPr/>
            </w:pPr>
            <w:r>
              <w:rPr/>
              <w:t>  </w:t>
            </w:r>
          </w:p>
        </w:tc>
        <w:tc>
          <w:tcPr>
            <w:tcW w:w="88" w:type="dxa"/>
            <w:tcBorders>
              <w:top w:val="single" w:sz="6" w:space="0" w:color="000000"/>
              <w:bottom w:val="single" w:sz="6" w:space="0" w:color="000000"/>
            </w:tcBorders>
            <w:shd w:fill="auto" w:val="clear"/>
            <w:tcMar>
              <w:top w:w="28" w:type="dxa"/>
              <w:bottom w:w="28" w:type="dxa"/>
            </w:tcMar>
            <w:vAlign w:val="center"/>
          </w:tcPr>
          <w:p>
            <w:pPr>
              <w:pStyle w:val="TableContents"/>
              <w:spacing w:before="0" w:after="283"/>
              <w:rPr/>
            </w:pPr>
            <w:r>
              <w:rPr/>
              <w:t> </w:t>
            </w:r>
          </w:p>
        </w:tc>
        <w:tc>
          <w:tcPr>
            <w:tcW w:w="1012" w:type="dxa"/>
            <w:tcBorders>
              <w:top w:val="single" w:sz="6" w:space="0" w:color="000000"/>
              <w:bottom w:val="single" w:sz="6" w:space="0" w:color="000000"/>
            </w:tcBorders>
            <w:shd w:fill="auto" w:val="clear"/>
            <w:tcMar>
              <w:top w:w="28" w:type="dxa"/>
              <w:bottom w:w="28" w:type="dxa"/>
            </w:tcMar>
            <w:vAlign w:val="center"/>
          </w:tcPr>
          <w:p>
            <w:pPr>
              <w:pStyle w:val="TableContents"/>
              <w:spacing w:before="0" w:after="283"/>
              <w:jc w:val="right"/>
              <w:rPr/>
            </w:pPr>
            <w:r>
              <w:rPr/>
              <w:t>75,000</w:t>
            </w:r>
          </w:p>
        </w:tc>
        <w:tc>
          <w:tcPr>
            <w:tcW w:w="88" w:type="dxa"/>
            <w:tcBorders>
              <w:top w:val="single" w:sz="6" w:space="0" w:color="000000"/>
              <w:bottom w:val="single" w:sz="6" w:space="0" w:color="000000"/>
              <w:right w:val="single" w:sz="6" w:space="0" w:color="000000"/>
            </w:tcBorders>
            <w:shd w:fill="auto" w:val="clear"/>
            <w:tcMar>
              <w:top w:w="28" w:type="dxa"/>
              <w:bottom w:w="28" w:type="dxa"/>
              <w:right w:w="28" w:type="dxa"/>
            </w:tcMar>
            <w:vAlign w:val="center"/>
          </w:tcPr>
          <w:p>
            <w:pPr>
              <w:pStyle w:val="TableContents"/>
              <w:spacing w:before="0" w:after="283"/>
              <w:rPr/>
            </w:pPr>
            <w:r>
              <w:rPr/>
              <w:t> </w:t>
            </w:r>
          </w:p>
        </w:tc>
        <w:tc>
          <w:tcPr>
            <w:tcW w:w="177" w:type="dxa"/>
            <w:tcBorders>
              <w:top w:val="single" w:sz="6" w:space="0" w:color="000000"/>
              <w:left w:val="single" w:sz="6" w:space="0" w:color="000000"/>
              <w:bottom w:val="single" w:sz="6" w:space="0" w:color="000000"/>
            </w:tcBorders>
            <w:shd w:fill="auto" w:val="clear"/>
            <w:tcMar>
              <w:top w:w="28" w:type="dxa"/>
              <w:left w:w="28" w:type="dxa"/>
              <w:bottom w:w="28" w:type="dxa"/>
            </w:tcMar>
            <w:vAlign w:val="center"/>
          </w:tcPr>
          <w:p>
            <w:pPr>
              <w:pStyle w:val="TableContents"/>
              <w:spacing w:before="0" w:after="283"/>
              <w:rPr/>
            </w:pPr>
            <w:r>
              <w:rPr/>
              <w:t>  </w:t>
            </w:r>
          </w:p>
        </w:tc>
        <w:tc>
          <w:tcPr>
            <w:tcW w:w="1059" w:type="dxa"/>
            <w:tcBorders>
              <w:top w:val="single" w:sz="6" w:space="0" w:color="000000"/>
              <w:bottom w:val="single" w:sz="6" w:space="0" w:color="000000"/>
              <w:right w:val="single" w:sz="6" w:space="0" w:color="000000"/>
            </w:tcBorders>
            <w:shd w:fill="auto" w:val="clear"/>
            <w:tcMar>
              <w:top w:w="28" w:type="dxa"/>
              <w:bottom w:w="28" w:type="dxa"/>
              <w:right w:w="28" w:type="dxa"/>
            </w:tcMar>
            <w:vAlign w:val="center"/>
          </w:tcPr>
          <w:p>
            <w:pPr>
              <w:pStyle w:val="TableContents"/>
              <w:spacing w:before="0" w:after="283"/>
              <w:jc w:val="right"/>
              <w:rPr/>
            </w:pPr>
            <w:r>
              <w:rPr/>
              <w:t>0</w:t>
            </w:r>
          </w:p>
        </w:tc>
        <w:tc>
          <w:tcPr>
            <w:tcW w:w="142" w:type="dxa"/>
            <w:tcBorders>
              <w:top w:val="single" w:sz="6" w:space="0" w:color="000000"/>
              <w:left w:val="single" w:sz="6" w:space="0" w:color="000000"/>
              <w:bottom w:val="single" w:sz="6" w:space="0" w:color="000000"/>
            </w:tcBorders>
            <w:shd w:fill="auto" w:val="clear"/>
            <w:tcMar>
              <w:top w:w="28" w:type="dxa"/>
              <w:left w:w="28" w:type="dxa"/>
              <w:bottom w:w="28" w:type="dxa"/>
            </w:tcMar>
            <w:vAlign w:val="center"/>
          </w:tcPr>
          <w:p>
            <w:pPr>
              <w:pStyle w:val="TableContents"/>
              <w:spacing w:before="0" w:after="283"/>
              <w:rPr/>
            </w:pPr>
            <w:r>
              <w:rPr/>
              <w:t>  </w:t>
            </w:r>
          </w:p>
        </w:tc>
        <w:tc>
          <w:tcPr>
            <w:tcW w:w="82" w:type="dxa"/>
            <w:tcBorders>
              <w:top w:val="single" w:sz="6" w:space="0" w:color="000000"/>
              <w:bottom w:val="single" w:sz="6" w:space="0" w:color="000000"/>
            </w:tcBorders>
            <w:shd w:fill="auto" w:val="clear"/>
            <w:tcMar>
              <w:top w:w="28" w:type="dxa"/>
              <w:bottom w:w="28" w:type="dxa"/>
            </w:tcMar>
            <w:vAlign w:val="center"/>
          </w:tcPr>
          <w:p>
            <w:pPr>
              <w:pStyle w:val="TableContents"/>
              <w:spacing w:before="0" w:after="283"/>
              <w:rPr/>
            </w:pPr>
            <w:r>
              <w:rPr/>
              <w:t> </w:t>
            </w:r>
          </w:p>
        </w:tc>
        <w:tc>
          <w:tcPr>
            <w:tcW w:w="955" w:type="dxa"/>
            <w:tcBorders>
              <w:top w:val="single" w:sz="6" w:space="0" w:color="000000"/>
              <w:bottom w:val="single" w:sz="6" w:space="0" w:color="000000"/>
            </w:tcBorders>
            <w:shd w:fill="auto" w:val="clear"/>
            <w:tcMar>
              <w:top w:w="28" w:type="dxa"/>
              <w:bottom w:w="28" w:type="dxa"/>
            </w:tcMar>
            <w:vAlign w:val="center"/>
          </w:tcPr>
          <w:p>
            <w:pPr>
              <w:pStyle w:val="TableContents"/>
              <w:spacing w:before="0" w:after="283"/>
              <w:jc w:val="right"/>
              <w:rPr/>
            </w:pPr>
            <w:r>
              <w:rPr/>
              <w:t>75,000</w:t>
            </w:r>
          </w:p>
        </w:tc>
        <w:tc>
          <w:tcPr>
            <w:tcW w:w="74" w:type="dxa"/>
            <w:tcBorders>
              <w:top w:val="single" w:sz="6" w:space="0" w:color="000000"/>
              <w:bottom w:val="single" w:sz="6" w:space="0" w:color="000000"/>
              <w:right w:val="single" w:sz="6" w:space="0" w:color="000000"/>
            </w:tcBorders>
            <w:shd w:fill="auto" w:val="clear"/>
            <w:tcMar>
              <w:top w:w="28" w:type="dxa"/>
              <w:bottom w:w="28" w:type="dxa"/>
              <w:right w:w="28" w:type="dxa"/>
            </w:tcMar>
            <w:vAlign w:val="center"/>
          </w:tcPr>
          <w:p>
            <w:pPr>
              <w:pStyle w:val="TableContents"/>
              <w:spacing w:before="0" w:after="283"/>
              <w:rPr/>
            </w:pPr>
            <w:r>
              <w:rPr/>
              <w:t> </w:t>
            </w:r>
          </w:p>
        </w:tc>
        <w:tc>
          <w:tcPr>
            <w:tcW w:w="149" w:type="dxa"/>
            <w:tcBorders>
              <w:top w:val="single" w:sz="6" w:space="0" w:color="000000"/>
              <w:left w:val="single" w:sz="6" w:space="0" w:color="000000"/>
              <w:bottom w:val="single" w:sz="6" w:space="0" w:color="000000"/>
            </w:tcBorders>
            <w:shd w:fill="auto" w:val="clear"/>
            <w:tcMar>
              <w:top w:w="28" w:type="dxa"/>
              <w:left w:w="28" w:type="dxa"/>
              <w:bottom w:w="28" w:type="dxa"/>
            </w:tcMar>
            <w:vAlign w:val="center"/>
          </w:tcPr>
          <w:p>
            <w:pPr>
              <w:pStyle w:val="TableContents"/>
              <w:spacing w:before="0" w:after="283"/>
              <w:rPr/>
            </w:pPr>
            <w:r>
              <w:rPr/>
              <w:t>  </w:t>
            </w:r>
          </w:p>
        </w:tc>
        <w:tc>
          <w:tcPr>
            <w:tcW w:w="74" w:type="dxa"/>
            <w:tcBorders>
              <w:top w:val="single" w:sz="6" w:space="0" w:color="000000"/>
              <w:bottom w:val="single" w:sz="6" w:space="0" w:color="000000"/>
            </w:tcBorders>
            <w:shd w:fill="auto" w:val="clear"/>
            <w:tcMar>
              <w:top w:w="28" w:type="dxa"/>
              <w:bottom w:w="28" w:type="dxa"/>
            </w:tcMar>
            <w:vAlign w:val="center"/>
          </w:tcPr>
          <w:p>
            <w:pPr>
              <w:pStyle w:val="TableContents"/>
              <w:spacing w:before="0" w:after="283"/>
              <w:rPr/>
            </w:pPr>
            <w:r>
              <w:rPr/>
              <w:t> </w:t>
            </w:r>
          </w:p>
        </w:tc>
        <w:tc>
          <w:tcPr>
            <w:tcW w:w="1005" w:type="dxa"/>
            <w:tcBorders>
              <w:top w:val="single" w:sz="6" w:space="0" w:color="000000"/>
              <w:bottom w:val="single" w:sz="6" w:space="0" w:color="000000"/>
            </w:tcBorders>
            <w:shd w:fill="auto" w:val="clear"/>
            <w:tcMar>
              <w:top w:w="28" w:type="dxa"/>
              <w:bottom w:w="28" w:type="dxa"/>
            </w:tcMar>
            <w:vAlign w:val="center"/>
          </w:tcPr>
          <w:p>
            <w:pPr>
              <w:pStyle w:val="TableContents"/>
              <w:spacing w:before="0" w:after="283"/>
              <w:jc w:val="right"/>
              <w:rPr/>
            </w:pPr>
            <w:r>
              <w:rPr/>
              <w:t>150,000</w:t>
            </w:r>
          </w:p>
        </w:tc>
        <w:tc>
          <w:tcPr>
            <w:tcW w:w="70" w:type="dxa"/>
            <w:tcBorders>
              <w:top w:val="single" w:sz="6" w:space="0" w:color="000000"/>
              <w:bottom w:val="single" w:sz="6" w:space="0" w:color="000000"/>
              <w:right w:val="single" w:sz="6" w:space="0" w:color="000000"/>
            </w:tcBorders>
            <w:shd w:fill="auto" w:val="clear"/>
            <w:tcMar>
              <w:top w:w="28" w:type="dxa"/>
              <w:bottom w:w="28" w:type="dxa"/>
              <w:right w:w="28" w:type="dxa"/>
            </w:tcMar>
            <w:vAlign w:val="center"/>
          </w:tcPr>
          <w:p>
            <w:pPr>
              <w:pStyle w:val="TableContents"/>
              <w:spacing w:before="0" w:after="283"/>
              <w:rPr/>
            </w:pPr>
            <w:r>
              <w:rPr/>
              <w:t> </w:t>
            </w:r>
          </w:p>
        </w:tc>
        <w:tc>
          <w:tcPr>
            <w:tcW w:w="142" w:type="dxa"/>
            <w:tcBorders>
              <w:top w:val="single" w:sz="6" w:space="0" w:color="000000"/>
              <w:left w:val="single" w:sz="6" w:space="0" w:color="000000"/>
              <w:bottom w:val="single" w:sz="6" w:space="0" w:color="000000"/>
            </w:tcBorders>
            <w:shd w:fill="auto" w:val="clear"/>
            <w:tcMar>
              <w:top w:w="28" w:type="dxa"/>
              <w:left w:w="28" w:type="dxa"/>
              <w:bottom w:w="28" w:type="dxa"/>
            </w:tcMar>
            <w:vAlign w:val="center"/>
          </w:tcPr>
          <w:p>
            <w:pPr>
              <w:pStyle w:val="TableContents"/>
              <w:spacing w:before="0" w:after="283"/>
              <w:rPr/>
            </w:pPr>
            <w:r>
              <w:rPr/>
              <w:t>  </w:t>
            </w:r>
          </w:p>
        </w:tc>
        <w:tc>
          <w:tcPr>
            <w:tcW w:w="82" w:type="dxa"/>
            <w:tcBorders>
              <w:top w:val="single" w:sz="6" w:space="0" w:color="000000"/>
              <w:bottom w:val="single" w:sz="6" w:space="0" w:color="000000"/>
            </w:tcBorders>
            <w:shd w:fill="auto" w:val="clear"/>
            <w:tcMar>
              <w:top w:w="28" w:type="dxa"/>
              <w:bottom w:w="28" w:type="dxa"/>
            </w:tcMar>
            <w:vAlign w:val="center"/>
          </w:tcPr>
          <w:p>
            <w:pPr>
              <w:pStyle w:val="TableContents"/>
              <w:spacing w:before="0" w:after="283"/>
              <w:rPr/>
            </w:pPr>
            <w:r>
              <w:rPr/>
              <w:t> </w:t>
            </w:r>
          </w:p>
        </w:tc>
        <w:tc>
          <w:tcPr>
            <w:tcW w:w="955" w:type="dxa"/>
            <w:tcBorders>
              <w:top w:val="single" w:sz="6" w:space="0" w:color="000000"/>
              <w:bottom w:val="single" w:sz="6" w:space="0" w:color="000000"/>
            </w:tcBorders>
            <w:shd w:fill="auto" w:val="clear"/>
            <w:tcMar>
              <w:top w:w="28" w:type="dxa"/>
              <w:bottom w:w="28" w:type="dxa"/>
            </w:tcMar>
            <w:vAlign w:val="center"/>
          </w:tcPr>
          <w:p>
            <w:pPr>
              <w:pStyle w:val="TableContents"/>
              <w:spacing w:before="0" w:after="283"/>
              <w:jc w:val="right"/>
              <w:rPr/>
            </w:pPr>
            <w:r>
              <w:rPr/>
              <w:t>N/A</w:t>
            </w:r>
          </w:p>
        </w:tc>
        <w:tc>
          <w:tcPr>
            <w:tcW w:w="70" w:type="dxa"/>
            <w:tcBorders>
              <w:top w:val="single" w:sz="6" w:space="0" w:color="000000"/>
              <w:bottom w:val="single" w:sz="6" w:space="0" w:color="000000"/>
              <w:right w:val="single" w:sz="6" w:space="0" w:color="000000"/>
            </w:tcBorders>
            <w:shd w:fill="auto" w:val="clear"/>
            <w:tcMar>
              <w:top w:w="28" w:type="dxa"/>
              <w:bottom w:w="28" w:type="dxa"/>
              <w:right w:w="28" w:type="dxa"/>
            </w:tcMar>
            <w:vAlign w:val="center"/>
          </w:tcPr>
          <w:p>
            <w:pPr>
              <w:pStyle w:val="TableContents"/>
              <w:spacing w:before="0" w:after="283"/>
              <w:rPr/>
            </w:pPr>
            <w:r>
              <w:rPr/>
              <w:t> </w:t>
            </w:r>
          </w:p>
        </w:tc>
        <w:tc>
          <w:tcPr>
            <w:tcW w:w="142" w:type="dxa"/>
            <w:tcBorders>
              <w:top w:val="single" w:sz="6" w:space="0" w:color="000000"/>
              <w:left w:val="single" w:sz="6" w:space="0" w:color="000000"/>
              <w:bottom w:val="single" w:sz="6" w:space="0" w:color="000000"/>
            </w:tcBorders>
            <w:shd w:fill="auto" w:val="clear"/>
            <w:tcMar>
              <w:top w:w="28" w:type="dxa"/>
              <w:left w:w="28" w:type="dxa"/>
              <w:bottom w:w="28" w:type="dxa"/>
            </w:tcMar>
            <w:vAlign w:val="center"/>
          </w:tcPr>
          <w:p>
            <w:pPr>
              <w:pStyle w:val="TableContents"/>
              <w:spacing w:before="0" w:after="283"/>
              <w:rPr/>
            </w:pPr>
            <w:r>
              <w:rPr/>
              <w:t>  </w:t>
            </w:r>
          </w:p>
        </w:tc>
        <w:tc>
          <w:tcPr>
            <w:tcW w:w="70" w:type="dxa"/>
            <w:tcBorders>
              <w:top w:val="single" w:sz="6" w:space="0" w:color="000000"/>
              <w:bottom w:val="single" w:sz="6" w:space="0" w:color="000000"/>
            </w:tcBorders>
            <w:shd w:fill="auto" w:val="clear"/>
            <w:tcMar>
              <w:top w:w="28" w:type="dxa"/>
              <w:bottom w:w="28" w:type="dxa"/>
            </w:tcMar>
            <w:vAlign w:val="center"/>
          </w:tcPr>
          <w:p>
            <w:pPr>
              <w:pStyle w:val="TableContents"/>
              <w:spacing w:before="0" w:after="283"/>
              <w:rPr/>
            </w:pPr>
            <w:r>
              <w:rPr/>
              <w:t> </w:t>
            </w:r>
          </w:p>
        </w:tc>
        <w:tc>
          <w:tcPr>
            <w:tcW w:w="807" w:type="dxa"/>
            <w:tcBorders>
              <w:top w:val="single" w:sz="6" w:space="0" w:color="000000"/>
              <w:bottom w:val="single" w:sz="6" w:space="0" w:color="000000"/>
            </w:tcBorders>
            <w:shd w:fill="auto" w:val="clear"/>
            <w:tcMar>
              <w:top w:w="28" w:type="dxa"/>
              <w:bottom w:w="28" w:type="dxa"/>
            </w:tcMar>
            <w:vAlign w:val="center"/>
          </w:tcPr>
          <w:p>
            <w:pPr>
              <w:pStyle w:val="TableContents"/>
              <w:spacing w:before="0" w:after="283"/>
              <w:jc w:val="right"/>
              <w:rPr/>
            </w:pPr>
            <w:r>
              <w:rPr/>
              <w:t>N/A</w:t>
            </w:r>
          </w:p>
        </w:tc>
        <w:tc>
          <w:tcPr>
            <w:tcW w:w="229" w:type="dxa"/>
            <w:tcBorders>
              <w:top w:val="single" w:sz="6" w:space="0" w:color="000000"/>
              <w:bottom w:val="single" w:sz="6" w:space="0" w:color="000000"/>
              <w:right w:val="single" w:sz="6" w:space="0" w:color="000000"/>
            </w:tcBorders>
            <w:shd w:fill="auto" w:val="clear"/>
            <w:tcMar>
              <w:top w:w="28" w:type="dxa"/>
              <w:bottom w:w="28" w:type="dxa"/>
              <w:right w:w="40" w:type="dxa"/>
            </w:tcMar>
            <w:vAlign w:val="center"/>
          </w:tcPr>
          <w:p>
            <w:pPr>
              <w:pStyle w:val="TableContents"/>
              <w:spacing w:before="0" w:after="283"/>
              <w:rPr/>
            </w:pPr>
            <w:r>
              <w:rPr/>
              <w:t> </w:t>
            </w:r>
          </w:p>
        </w:tc>
      </w:tr>
      <w:tr>
        <w:trPr/>
        <w:tc>
          <w:tcPr>
            <w:tcW w:w="2591" w:type="dxa"/>
            <w:tcBorders>
              <w:top w:val="single" w:sz="6" w:space="0" w:color="000000"/>
              <w:left w:val="single" w:sz="6" w:space="0" w:color="000000"/>
              <w:bottom w:val="single" w:sz="6" w:space="0" w:color="000000"/>
              <w:right w:val="single" w:sz="6" w:space="0" w:color="000000"/>
            </w:tcBorders>
            <w:shd w:fill="auto" w:val="clear"/>
            <w:tcMar>
              <w:top w:w="28" w:type="dxa"/>
              <w:left w:w="160" w:type="dxa"/>
              <w:bottom w:w="28" w:type="dxa"/>
              <w:right w:w="28" w:type="dxa"/>
            </w:tcMar>
            <w:vAlign w:val="center"/>
          </w:tcPr>
          <w:p>
            <w:pPr>
              <w:pStyle w:val="TableContents"/>
              <w:spacing w:before="0" w:after="0"/>
              <w:rPr/>
            </w:pPr>
            <w:r>
              <w:rPr/>
              <w:t>  </w:t>
            </w:r>
            <w:r>
              <w:rPr>
                <w:rFonts w:ascii="ARIAL" w:hAnsi="ARIAL"/>
                <w:sz w:val="20"/>
              </w:rPr>
              <w:t>President/CFO (Hammons)</w:t>
            </w:r>
          </w:p>
        </w:tc>
        <w:tc>
          <w:tcPr>
            <w:tcW w:w="142" w:type="dxa"/>
            <w:tcBorders>
              <w:top w:val="single" w:sz="6" w:space="0" w:color="000000"/>
              <w:left w:val="single" w:sz="6" w:space="0" w:color="000000"/>
              <w:bottom w:val="single" w:sz="6" w:space="0" w:color="000000"/>
            </w:tcBorders>
            <w:shd w:fill="auto" w:val="clear"/>
            <w:tcMar>
              <w:top w:w="28" w:type="dxa"/>
              <w:left w:w="28" w:type="dxa"/>
              <w:bottom w:w="28" w:type="dxa"/>
            </w:tcMar>
            <w:vAlign w:val="center"/>
          </w:tcPr>
          <w:p>
            <w:pPr>
              <w:pStyle w:val="TableContents"/>
              <w:spacing w:before="0" w:after="283"/>
              <w:rPr/>
            </w:pPr>
            <w:r>
              <w:rPr/>
              <w:t>  </w:t>
            </w:r>
          </w:p>
        </w:tc>
        <w:tc>
          <w:tcPr>
            <w:tcW w:w="88" w:type="dxa"/>
            <w:tcBorders>
              <w:top w:val="single" w:sz="6" w:space="0" w:color="000000"/>
              <w:bottom w:val="single" w:sz="6" w:space="0" w:color="000000"/>
            </w:tcBorders>
            <w:shd w:fill="auto" w:val="clear"/>
            <w:tcMar>
              <w:top w:w="28" w:type="dxa"/>
              <w:bottom w:w="28" w:type="dxa"/>
            </w:tcMar>
            <w:vAlign w:val="center"/>
          </w:tcPr>
          <w:p>
            <w:pPr>
              <w:pStyle w:val="TableContents"/>
              <w:spacing w:before="0" w:after="283"/>
              <w:rPr/>
            </w:pPr>
            <w:r>
              <w:rPr/>
              <w:t> </w:t>
            </w:r>
          </w:p>
        </w:tc>
        <w:tc>
          <w:tcPr>
            <w:tcW w:w="1012" w:type="dxa"/>
            <w:tcBorders>
              <w:top w:val="single" w:sz="6" w:space="0" w:color="000000"/>
              <w:bottom w:val="single" w:sz="6" w:space="0" w:color="000000"/>
            </w:tcBorders>
            <w:shd w:fill="auto" w:val="clear"/>
            <w:tcMar>
              <w:top w:w="28" w:type="dxa"/>
              <w:bottom w:w="28" w:type="dxa"/>
            </w:tcMar>
            <w:vAlign w:val="center"/>
          </w:tcPr>
          <w:p>
            <w:pPr>
              <w:pStyle w:val="TableContents"/>
              <w:spacing w:before="0" w:after="283"/>
              <w:jc w:val="right"/>
              <w:rPr/>
            </w:pPr>
            <w:r>
              <w:rPr/>
              <w:t>38,000</w:t>
            </w:r>
          </w:p>
        </w:tc>
        <w:tc>
          <w:tcPr>
            <w:tcW w:w="88" w:type="dxa"/>
            <w:tcBorders>
              <w:top w:val="single" w:sz="6" w:space="0" w:color="000000"/>
              <w:bottom w:val="single" w:sz="6" w:space="0" w:color="000000"/>
              <w:right w:val="single" w:sz="6" w:space="0" w:color="000000"/>
            </w:tcBorders>
            <w:shd w:fill="auto" w:val="clear"/>
            <w:tcMar>
              <w:top w:w="28" w:type="dxa"/>
              <w:bottom w:w="28" w:type="dxa"/>
              <w:right w:w="28" w:type="dxa"/>
            </w:tcMar>
            <w:vAlign w:val="center"/>
          </w:tcPr>
          <w:p>
            <w:pPr>
              <w:pStyle w:val="TableContents"/>
              <w:spacing w:before="0" w:after="283"/>
              <w:rPr/>
            </w:pPr>
            <w:r>
              <w:rPr/>
              <w:t> </w:t>
            </w:r>
          </w:p>
        </w:tc>
        <w:tc>
          <w:tcPr>
            <w:tcW w:w="177" w:type="dxa"/>
            <w:tcBorders>
              <w:top w:val="single" w:sz="6" w:space="0" w:color="000000"/>
              <w:left w:val="single" w:sz="6" w:space="0" w:color="000000"/>
              <w:bottom w:val="single" w:sz="6" w:space="0" w:color="000000"/>
            </w:tcBorders>
            <w:shd w:fill="auto" w:val="clear"/>
            <w:tcMar>
              <w:top w:w="28" w:type="dxa"/>
              <w:left w:w="28" w:type="dxa"/>
              <w:bottom w:w="28" w:type="dxa"/>
            </w:tcMar>
            <w:vAlign w:val="center"/>
          </w:tcPr>
          <w:p>
            <w:pPr>
              <w:pStyle w:val="TableContents"/>
              <w:spacing w:before="0" w:after="283"/>
              <w:rPr/>
            </w:pPr>
            <w:r>
              <w:rPr/>
              <w:t>  </w:t>
            </w:r>
          </w:p>
        </w:tc>
        <w:tc>
          <w:tcPr>
            <w:tcW w:w="1059" w:type="dxa"/>
            <w:tcBorders>
              <w:top w:val="single" w:sz="6" w:space="0" w:color="000000"/>
              <w:bottom w:val="single" w:sz="6" w:space="0" w:color="000000"/>
              <w:right w:val="single" w:sz="6" w:space="0" w:color="000000"/>
            </w:tcBorders>
            <w:shd w:fill="auto" w:val="clear"/>
            <w:tcMar>
              <w:top w:w="28" w:type="dxa"/>
              <w:bottom w:w="28" w:type="dxa"/>
              <w:right w:w="28" w:type="dxa"/>
            </w:tcMar>
            <w:vAlign w:val="center"/>
          </w:tcPr>
          <w:p>
            <w:pPr>
              <w:pStyle w:val="TableContents"/>
              <w:spacing w:before="0" w:after="283"/>
              <w:jc w:val="right"/>
              <w:rPr/>
            </w:pPr>
            <w:r>
              <w:rPr/>
              <w:t>0</w:t>
            </w:r>
          </w:p>
        </w:tc>
        <w:tc>
          <w:tcPr>
            <w:tcW w:w="142" w:type="dxa"/>
            <w:tcBorders>
              <w:top w:val="single" w:sz="6" w:space="0" w:color="000000"/>
              <w:left w:val="single" w:sz="6" w:space="0" w:color="000000"/>
              <w:bottom w:val="single" w:sz="6" w:space="0" w:color="000000"/>
            </w:tcBorders>
            <w:shd w:fill="auto" w:val="clear"/>
            <w:tcMar>
              <w:top w:w="28" w:type="dxa"/>
              <w:left w:w="28" w:type="dxa"/>
              <w:bottom w:w="28" w:type="dxa"/>
            </w:tcMar>
            <w:vAlign w:val="center"/>
          </w:tcPr>
          <w:p>
            <w:pPr>
              <w:pStyle w:val="TableContents"/>
              <w:spacing w:before="0" w:after="283"/>
              <w:rPr/>
            </w:pPr>
            <w:r>
              <w:rPr/>
              <w:t>  </w:t>
            </w:r>
          </w:p>
        </w:tc>
        <w:tc>
          <w:tcPr>
            <w:tcW w:w="82" w:type="dxa"/>
            <w:tcBorders>
              <w:top w:val="single" w:sz="6" w:space="0" w:color="000000"/>
              <w:bottom w:val="single" w:sz="6" w:space="0" w:color="000000"/>
            </w:tcBorders>
            <w:shd w:fill="auto" w:val="clear"/>
            <w:tcMar>
              <w:top w:w="28" w:type="dxa"/>
              <w:bottom w:w="28" w:type="dxa"/>
            </w:tcMar>
            <w:vAlign w:val="center"/>
          </w:tcPr>
          <w:p>
            <w:pPr>
              <w:pStyle w:val="TableContents"/>
              <w:spacing w:before="0" w:after="283"/>
              <w:rPr/>
            </w:pPr>
            <w:r>
              <w:rPr/>
              <w:t> </w:t>
            </w:r>
          </w:p>
        </w:tc>
        <w:tc>
          <w:tcPr>
            <w:tcW w:w="955" w:type="dxa"/>
            <w:tcBorders>
              <w:top w:val="single" w:sz="6" w:space="0" w:color="000000"/>
              <w:bottom w:val="single" w:sz="6" w:space="0" w:color="000000"/>
            </w:tcBorders>
            <w:shd w:fill="auto" w:val="clear"/>
            <w:tcMar>
              <w:top w:w="28" w:type="dxa"/>
              <w:bottom w:w="28" w:type="dxa"/>
            </w:tcMar>
            <w:vAlign w:val="center"/>
          </w:tcPr>
          <w:p>
            <w:pPr>
              <w:pStyle w:val="TableContents"/>
              <w:spacing w:before="0" w:after="283"/>
              <w:jc w:val="right"/>
              <w:rPr/>
            </w:pPr>
            <w:r>
              <w:rPr/>
              <w:t>38,000</w:t>
            </w:r>
          </w:p>
        </w:tc>
        <w:tc>
          <w:tcPr>
            <w:tcW w:w="74" w:type="dxa"/>
            <w:tcBorders>
              <w:top w:val="single" w:sz="6" w:space="0" w:color="000000"/>
              <w:bottom w:val="single" w:sz="6" w:space="0" w:color="000000"/>
              <w:right w:val="single" w:sz="6" w:space="0" w:color="000000"/>
            </w:tcBorders>
            <w:shd w:fill="auto" w:val="clear"/>
            <w:tcMar>
              <w:top w:w="28" w:type="dxa"/>
              <w:bottom w:w="28" w:type="dxa"/>
              <w:right w:w="28" w:type="dxa"/>
            </w:tcMar>
            <w:vAlign w:val="center"/>
          </w:tcPr>
          <w:p>
            <w:pPr>
              <w:pStyle w:val="TableContents"/>
              <w:spacing w:before="0" w:after="283"/>
              <w:rPr/>
            </w:pPr>
            <w:r>
              <w:rPr/>
              <w:t> </w:t>
            </w:r>
          </w:p>
        </w:tc>
        <w:tc>
          <w:tcPr>
            <w:tcW w:w="149" w:type="dxa"/>
            <w:tcBorders>
              <w:top w:val="single" w:sz="6" w:space="0" w:color="000000"/>
              <w:left w:val="single" w:sz="6" w:space="0" w:color="000000"/>
              <w:bottom w:val="single" w:sz="6" w:space="0" w:color="000000"/>
            </w:tcBorders>
            <w:shd w:fill="auto" w:val="clear"/>
            <w:tcMar>
              <w:top w:w="28" w:type="dxa"/>
              <w:left w:w="28" w:type="dxa"/>
              <w:bottom w:w="28" w:type="dxa"/>
            </w:tcMar>
            <w:vAlign w:val="center"/>
          </w:tcPr>
          <w:p>
            <w:pPr>
              <w:pStyle w:val="TableContents"/>
              <w:spacing w:before="0" w:after="283"/>
              <w:rPr/>
            </w:pPr>
            <w:r>
              <w:rPr/>
              <w:t>  </w:t>
            </w:r>
          </w:p>
        </w:tc>
        <w:tc>
          <w:tcPr>
            <w:tcW w:w="74" w:type="dxa"/>
            <w:tcBorders>
              <w:top w:val="single" w:sz="6" w:space="0" w:color="000000"/>
              <w:bottom w:val="single" w:sz="6" w:space="0" w:color="000000"/>
            </w:tcBorders>
            <w:shd w:fill="auto" w:val="clear"/>
            <w:tcMar>
              <w:top w:w="28" w:type="dxa"/>
              <w:bottom w:w="28" w:type="dxa"/>
            </w:tcMar>
            <w:vAlign w:val="center"/>
          </w:tcPr>
          <w:p>
            <w:pPr>
              <w:pStyle w:val="TableContents"/>
              <w:spacing w:before="0" w:after="283"/>
              <w:rPr/>
            </w:pPr>
            <w:r>
              <w:rPr/>
              <w:t> </w:t>
            </w:r>
          </w:p>
        </w:tc>
        <w:tc>
          <w:tcPr>
            <w:tcW w:w="1005" w:type="dxa"/>
            <w:tcBorders>
              <w:top w:val="single" w:sz="6" w:space="0" w:color="000000"/>
              <w:bottom w:val="single" w:sz="6" w:space="0" w:color="000000"/>
            </w:tcBorders>
            <w:shd w:fill="auto" w:val="clear"/>
            <w:tcMar>
              <w:top w:w="28" w:type="dxa"/>
              <w:bottom w:w="28" w:type="dxa"/>
            </w:tcMar>
            <w:vAlign w:val="center"/>
          </w:tcPr>
          <w:p>
            <w:pPr>
              <w:pStyle w:val="TableContents"/>
              <w:spacing w:before="0" w:after="283"/>
              <w:jc w:val="right"/>
              <w:rPr/>
            </w:pPr>
            <w:r>
              <w:rPr/>
              <w:t>76,000</w:t>
            </w:r>
          </w:p>
        </w:tc>
        <w:tc>
          <w:tcPr>
            <w:tcW w:w="70" w:type="dxa"/>
            <w:tcBorders>
              <w:top w:val="single" w:sz="6" w:space="0" w:color="000000"/>
              <w:bottom w:val="single" w:sz="6" w:space="0" w:color="000000"/>
              <w:right w:val="single" w:sz="6" w:space="0" w:color="000000"/>
            </w:tcBorders>
            <w:shd w:fill="auto" w:val="clear"/>
            <w:tcMar>
              <w:top w:w="28" w:type="dxa"/>
              <w:bottom w:w="28" w:type="dxa"/>
              <w:right w:w="28" w:type="dxa"/>
            </w:tcMar>
            <w:vAlign w:val="center"/>
          </w:tcPr>
          <w:p>
            <w:pPr>
              <w:pStyle w:val="TableContents"/>
              <w:spacing w:before="0" w:after="283"/>
              <w:rPr/>
            </w:pPr>
            <w:r>
              <w:rPr/>
              <w:t> </w:t>
            </w:r>
          </w:p>
        </w:tc>
        <w:tc>
          <w:tcPr>
            <w:tcW w:w="142" w:type="dxa"/>
            <w:tcBorders>
              <w:top w:val="single" w:sz="6" w:space="0" w:color="000000"/>
              <w:left w:val="single" w:sz="6" w:space="0" w:color="000000"/>
              <w:bottom w:val="single" w:sz="6" w:space="0" w:color="000000"/>
            </w:tcBorders>
            <w:shd w:fill="auto" w:val="clear"/>
            <w:tcMar>
              <w:top w:w="28" w:type="dxa"/>
              <w:left w:w="28" w:type="dxa"/>
              <w:bottom w:w="28" w:type="dxa"/>
            </w:tcMar>
            <w:vAlign w:val="center"/>
          </w:tcPr>
          <w:p>
            <w:pPr>
              <w:pStyle w:val="TableContents"/>
              <w:spacing w:before="0" w:after="283"/>
              <w:rPr/>
            </w:pPr>
            <w:r>
              <w:rPr/>
              <w:t>  </w:t>
            </w:r>
          </w:p>
        </w:tc>
        <w:tc>
          <w:tcPr>
            <w:tcW w:w="82" w:type="dxa"/>
            <w:tcBorders>
              <w:top w:val="single" w:sz="6" w:space="0" w:color="000000"/>
              <w:bottom w:val="single" w:sz="6" w:space="0" w:color="000000"/>
            </w:tcBorders>
            <w:shd w:fill="auto" w:val="clear"/>
            <w:tcMar>
              <w:top w:w="28" w:type="dxa"/>
              <w:bottom w:w="28" w:type="dxa"/>
            </w:tcMar>
            <w:vAlign w:val="center"/>
          </w:tcPr>
          <w:p>
            <w:pPr>
              <w:pStyle w:val="TableContents"/>
              <w:spacing w:before="0" w:after="283"/>
              <w:rPr/>
            </w:pPr>
            <w:r>
              <w:rPr/>
              <w:t> </w:t>
            </w:r>
          </w:p>
        </w:tc>
        <w:tc>
          <w:tcPr>
            <w:tcW w:w="955" w:type="dxa"/>
            <w:tcBorders>
              <w:top w:val="single" w:sz="6" w:space="0" w:color="000000"/>
              <w:bottom w:val="single" w:sz="6" w:space="0" w:color="000000"/>
            </w:tcBorders>
            <w:shd w:fill="auto" w:val="clear"/>
            <w:tcMar>
              <w:top w:w="28" w:type="dxa"/>
              <w:bottom w:w="28" w:type="dxa"/>
            </w:tcMar>
            <w:vAlign w:val="center"/>
          </w:tcPr>
          <w:p>
            <w:pPr>
              <w:pStyle w:val="TableContents"/>
              <w:spacing w:before="0" w:after="283"/>
              <w:jc w:val="right"/>
              <w:rPr/>
            </w:pPr>
            <w:r>
              <w:rPr/>
              <w:t>19,000</w:t>
            </w:r>
          </w:p>
        </w:tc>
        <w:tc>
          <w:tcPr>
            <w:tcW w:w="70" w:type="dxa"/>
            <w:tcBorders>
              <w:top w:val="single" w:sz="6" w:space="0" w:color="000000"/>
              <w:bottom w:val="single" w:sz="6" w:space="0" w:color="000000"/>
              <w:right w:val="single" w:sz="6" w:space="0" w:color="000000"/>
            </w:tcBorders>
            <w:shd w:fill="auto" w:val="clear"/>
            <w:tcMar>
              <w:top w:w="28" w:type="dxa"/>
              <w:bottom w:w="28" w:type="dxa"/>
              <w:right w:w="28" w:type="dxa"/>
            </w:tcMar>
            <w:vAlign w:val="center"/>
          </w:tcPr>
          <w:p>
            <w:pPr>
              <w:pStyle w:val="TableContents"/>
              <w:spacing w:before="0" w:after="283"/>
              <w:rPr/>
            </w:pPr>
            <w:r>
              <w:rPr/>
              <w:t> </w:t>
            </w:r>
          </w:p>
        </w:tc>
        <w:tc>
          <w:tcPr>
            <w:tcW w:w="142" w:type="dxa"/>
            <w:tcBorders>
              <w:top w:val="single" w:sz="6" w:space="0" w:color="000000"/>
              <w:left w:val="single" w:sz="6" w:space="0" w:color="000000"/>
              <w:bottom w:val="single" w:sz="6" w:space="0" w:color="000000"/>
            </w:tcBorders>
            <w:shd w:fill="auto" w:val="clear"/>
            <w:tcMar>
              <w:top w:w="28" w:type="dxa"/>
              <w:left w:w="28" w:type="dxa"/>
              <w:bottom w:w="28" w:type="dxa"/>
            </w:tcMar>
            <w:vAlign w:val="center"/>
          </w:tcPr>
          <w:p>
            <w:pPr>
              <w:pStyle w:val="TableContents"/>
              <w:spacing w:before="0" w:after="283"/>
              <w:rPr/>
            </w:pPr>
            <w:r>
              <w:rPr/>
              <w:t>  </w:t>
            </w:r>
          </w:p>
        </w:tc>
        <w:tc>
          <w:tcPr>
            <w:tcW w:w="70" w:type="dxa"/>
            <w:tcBorders>
              <w:top w:val="single" w:sz="6" w:space="0" w:color="000000"/>
              <w:bottom w:val="single" w:sz="6" w:space="0" w:color="000000"/>
            </w:tcBorders>
            <w:shd w:fill="auto" w:val="clear"/>
            <w:tcMar>
              <w:top w:w="28" w:type="dxa"/>
              <w:bottom w:w="28" w:type="dxa"/>
            </w:tcMar>
            <w:vAlign w:val="center"/>
          </w:tcPr>
          <w:p>
            <w:pPr>
              <w:pStyle w:val="TableContents"/>
              <w:spacing w:before="0" w:after="283"/>
              <w:rPr/>
            </w:pPr>
            <w:r>
              <w:rPr/>
              <w:t> </w:t>
            </w:r>
          </w:p>
        </w:tc>
        <w:tc>
          <w:tcPr>
            <w:tcW w:w="807" w:type="dxa"/>
            <w:tcBorders>
              <w:top w:val="single" w:sz="6" w:space="0" w:color="000000"/>
              <w:bottom w:val="single" w:sz="6" w:space="0" w:color="000000"/>
            </w:tcBorders>
            <w:shd w:fill="auto" w:val="clear"/>
            <w:tcMar>
              <w:top w:w="28" w:type="dxa"/>
              <w:bottom w:w="28" w:type="dxa"/>
            </w:tcMar>
            <w:vAlign w:val="center"/>
          </w:tcPr>
          <w:p>
            <w:pPr>
              <w:pStyle w:val="TableContents"/>
              <w:spacing w:before="0" w:after="283"/>
              <w:jc w:val="right"/>
              <w:rPr/>
            </w:pPr>
            <w:r>
              <w:rPr/>
              <w:t>19,000</w:t>
            </w:r>
          </w:p>
        </w:tc>
        <w:tc>
          <w:tcPr>
            <w:tcW w:w="229" w:type="dxa"/>
            <w:tcBorders>
              <w:top w:val="single" w:sz="6" w:space="0" w:color="000000"/>
              <w:bottom w:val="single" w:sz="6" w:space="0" w:color="000000"/>
              <w:right w:val="single" w:sz="6" w:space="0" w:color="000000"/>
            </w:tcBorders>
            <w:shd w:fill="auto" w:val="clear"/>
            <w:tcMar>
              <w:top w:w="28" w:type="dxa"/>
              <w:bottom w:w="28" w:type="dxa"/>
              <w:right w:w="40" w:type="dxa"/>
            </w:tcMar>
            <w:vAlign w:val="center"/>
          </w:tcPr>
          <w:p>
            <w:pPr>
              <w:pStyle w:val="TableContents"/>
              <w:spacing w:before="0" w:after="283"/>
              <w:rPr/>
            </w:pPr>
            <w:r>
              <w:rPr/>
              <w:t> </w:t>
            </w:r>
          </w:p>
        </w:tc>
      </w:tr>
      <w:tr>
        <w:trPr/>
        <w:tc>
          <w:tcPr>
            <w:tcW w:w="2591" w:type="dxa"/>
            <w:tcBorders>
              <w:top w:val="single" w:sz="6" w:space="0" w:color="000000"/>
              <w:left w:val="single" w:sz="6" w:space="0" w:color="000000"/>
              <w:bottom w:val="single" w:sz="6" w:space="0" w:color="000000"/>
              <w:right w:val="single" w:sz="6" w:space="0" w:color="000000"/>
            </w:tcBorders>
            <w:shd w:fill="auto" w:val="clear"/>
            <w:tcMar>
              <w:top w:w="28" w:type="dxa"/>
              <w:left w:w="160" w:type="dxa"/>
              <w:bottom w:w="28" w:type="dxa"/>
              <w:right w:w="28" w:type="dxa"/>
            </w:tcMar>
            <w:vAlign w:val="center"/>
          </w:tcPr>
          <w:p>
            <w:pPr>
              <w:pStyle w:val="TableContents"/>
              <w:spacing w:before="0" w:after="0"/>
              <w:rPr/>
            </w:pPr>
            <w:r>
              <w:rPr/>
              <w:t>  </w:t>
            </w:r>
            <w:r>
              <w:rPr>
                <w:rFonts w:ascii="ARIAL" w:hAnsi="ARIAL"/>
                <w:sz w:val="20"/>
              </w:rPr>
              <w:t>Executive Chairman (Smith) (2)</w:t>
            </w:r>
          </w:p>
        </w:tc>
        <w:tc>
          <w:tcPr>
            <w:tcW w:w="142" w:type="dxa"/>
            <w:tcBorders>
              <w:top w:val="single" w:sz="6" w:space="0" w:color="000000"/>
              <w:left w:val="single" w:sz="6" w:space="0" w:color="000000"/>
              <w:bottom w:val="single" w:sz="6" w:space="0" w:color="000000"/>
            </w:tcBorders>
            <w:shd w:fill="auto" w:val="clear"/>
            <w:tcMar>
              <w:top w:w="28" w:type="dxa"/>
              <w:left w:w="28" w:type="dxa"/>
              <w:bottom w:w="28" w:type="dxa"/>
            </w:tcMar>
            <w:vAlign w:val="center"/>
          </w:tcPr>
          <w:p>
            <w:pPr>
              <w:pStyle w:val="TableContents"/>
              <w:spacing w:before="0" w:after="283"/>
              <w:rPr/>
            </w:pPr>
            <w:r>
              <w:rPr/>
              <w:t>  </w:t>
            </w:r>
          </w:p>
        </w:tc>
        <w:tc>
          <w:tcPr>
            <w:tcW w:w="88" w:type="dxa"/>
            <w:tcBorders>
              <w:top w:val="single" w:sz="6" w:space="0" w:color="000000"/>
              <w:bottom w:val="single" w:sz="6" w:space="0" w:color="000000"/>
            </w:tcBorders>
            <w:shd w:fill="auto" w:val="clear"/>
            <w:tcMar>
              <w:top w:w="28" w:type="dxa"/>
              <w:bottom w:w="28" w:type="dxa"/>
            </w:tcMar>
            <w:vAlign w:val="center"/>
          </w:tcPr>
          <w:p>
            <w:pPr>
              <w:pStyle w:val="TableContents"/>
              <w:spacing w:before="0" w:after="283"/>
              <w:rPr/>
            </w:pPr>
            <w:r>
              <w:rPr/>
              <w:t> </w:t>
            </w:r>
          </w:p>
        </w:tc>
        <w:tc>
          <w:tcPr>
            <w:tcW w:w="1012" w:type="dxa"/>
            <w:tcBorders>
              <w:top w:val="single" w:sz="6" w:space="0" w:color="000000"/>
              <w:bottom w:val="single" w:sz="6" w:space="0" w:color="000000"/>
            </w:tcBorders>
            <w:shd w:fill="auto" w:val="clear"/>
            <w:tcMar>
              <w:top w:w="28" w:type="dxa"/>
              <w:bottom w:w="28" w:type="dxa"/>
            </w:tcMar>
            <w:vAlign w:val="center"/>
          </w:tcPr>
          <w:p>
            <w:pPr>
              <w:pStyle w:val="TableContents"/>
              <w:spacing w:before="0" w:after="283"/>
              <w:jc w:val="right"/>
              <w:rPr/>
            </w:pPr>
            <w:r>
              <w:rPr/>
              <w:t>90,000</w:t>
            </w:r>
          </w:p>
        </w:tc>
        <w:tc>
          <w:tcPr>
            <w:tcW w:w="88" w:type="dxa"/>
            <w:tcBorders>
              <w:top w:val="single" w:sz="6" w:space="0" w:color="000000"/>
              <w:bottom w:val="single" w:sz="6" w:space="0" w:color="000000"/>
              <w:right w:val="single" w:sz="6" w:space="0" w:color="000000"/>
            </w:tcBorders>
            <w:shd w:fill="auto" w:val="clear"/>
            <w:tcMar>
              <w:top w:w="28" w:type="dxa"/>
              <w:bottom w:w="28" w:type="dxa"/>
              <w:right w:w="28" w:type="dxa"/>
            </w:tcMar>
            <w:vAlign w:val="center"/>
          </w:tcPr>
          <w:p>
            <w:pPr>
              <w:pStyle w:val="TableContents"/>
              <w:spacing w:before="0" w:after="283"/>
              <w:rPr/>
            </w:pPr>
            <w:r>
              <w:rPr/>
              <w:t> </w:t>
            </w:r>
          </w:p>
        </w:tc>
        <w:tc>
          <w:tcPr>
            <w:tcW w:w="177" w:type="dxa"/>
            <w:tcBorders>
              <w:top w:val="single" w:sz="6" w:space="0" w:color="000000"/>
              <w:left w:val="single" w:sz="6" w:space="0" w:color="000000"/>
              <w:bottom w:val="single" w:sz="6" w:space="0" w:color="000000"/>
            </w:tcBorders>
            <w:shd w:fill="auto" w:val="clear"/>
            <w:tcMar>
              <w:top w:w="28" w:type="dxa"/>
              <w:left w:w="28" w:type="dxa"/>
              <w:bottom w:w="28" w:type="dxa"/>
            </w:tcMar>
            <w:vAlign w:val="center"/>
          </w:tcPr>
          <w:p>
            <w:pPr>
              <w:pStyle w:val="TableContents"/>
              <w:spacing w:before="0" w:after="283"/>
              <w:rPr/>
            </w:pPr>
            <w:r>
              <w:rPr/>
              <w:t>  </w:t>
            </w:r>
          </w:p>
        </w:tc>
        <w:tc>
          <w:tcPr>
            <w:tcW w:w="1059" w:type="dxa"/>
            <w:tcBorders>
              <w:top w:val="single" w:sz="6" w:space="0" w:color="000000"/>
              <w:bottom w:val="single" w:sz="6" w:space="0" w:color="000000"/>
              <w:right w:val="single" w:sz="6" w:space="0" w:color="000000"/>
            </w:tcBorders>
            <w:shd w:fill="auto" w:val="clear"/>
            <w:tcMar>
              <w:top w:w="28" w:type="dxa"/>
              <w:bottom w:w="28" w:type="dxa"/>
              <w:right w:w="28" w:type="dxa"/>
            </w:tcMar>
            <w:vAlign w:val="center"/>
          </w:tcPr>
          <w:p>
            <w:pPr>
              <w:pStyle w:val="TableContents"/>
              <w:spacing w:before="0" w:after="283"/>
              <w:jc w:val="right"/>
              <w:rPr/>
            </w:pPr>
            <w:r>
              <w:rPr/>
              <w:t>0</w:t>
            </w:r>
          </w:p>
        </w:tc>
        <w:tc>
          <w:tcPr>
            <w:tcW w:w="142" w:type="dxa"/>
            <w:tcBorders>
              <w:top w:val="single" w:sz="6" w:space="0" w:color="000000"/>
              <w:left w:val="single" w:sz="6" w:space="0" w:color="000000"/>
              <w:bottom w:val="single" w:sz="6" w:space="0" w:color="000000"/>
            </w:tcBorders>
            <w:shd w:fill="auto" w:val="clear"/>
            <w:tcMar>
              <w:top w:w="28" w:type="dxa"/>
              <w:left w:w="28" w:type="dxa"/>
              <w:bottom w:w="28" w:type="dxa"/>
            </w:tcMar>
            <w:vAlign w:val="center"/>
          </w:tcPr>
          <w:p>
            <w:pPr>
              <w:pStyle w:val="TableContents"/>
              <w:spacing w:before="0" w:after="283"/>
              <w:rPr/>
            </w:pPr>
            <w:r>
              <w:rPr/>
              <w:t>  </w:t>
            </w:r>
          </w:p>
        </w:tc>
        <w:tc>
          <w:tcPr>
            <w:tcW w:w="82" w:type="dxa"/>
            <w:tcBorders>
              <w:top w:val="single" w:sz="6" w:space="0" w:color="000000"/>
              <w:bottom w:val="single" w:sz="6" w:space="0" w:color="000000"/>
            </w:tcBorders>
            <w:shd w:fill="auto" w:val="clear"/>
            <w:tcMar>
              <w:top w:w="28" w:type="dxa"/>
              <w:bottom w:w="28" w:type="dxa"/>
            </w:tcMar>
            <w:vAlign w:val="center"/>
          </w:tcPr>
          <w:p>
            <w:pPr>
              <w:pStyle w:val="TableContents"/>
              <w:spacing w:before="0" w:after="283"/>
              <w:rPr/>
            </w:pPr>
            <w:r>
              <w:rPr/>
              <w:t> </w:t>
            </w:r>
          </w:p>
        </w:tc>
        <w:tc>
          <w:tcPr>
            <w:tcW w:w="955" w:type="dxa"/>
            <w:tcBorders>
              <w:top w:val="single" w:sz="6" w:space="0" w:color="000000"/>
              <w:bottom w:val="single" w:sz="6" w:space="0" w:color="000000"/>
            </w:tcBorders>
            <w:shd w:fill="auto" w:val="clear"/>
            <w:tcMar>
              <w:top w:w="28" w:type="dxa"/>
              <w:bottom w:w="28" w:type="dxa"/>
            </w:tcMar>
            <w:vAlign w:val="center"/>
          </w:tcPr>
          <w:p>
            <w:pPr>
              <w:pStyle w:val="TableContents"/>
              <w:spacing w:before="0" w:after="283"/>
              <w:jc w:val="right"/>
              <w:rPr/>
            </w:pPr>
            <w:r>
              <w:rPr/>
              <w:t>90,000</w:t>
            </w:r>
          </w:p>
        </w:tc>
        <w:tc>
          <w:tcPr>
            <w:tcW w:w="74" w:type="dxa"/>
            <w:tcBorders>
              <w:top w:val="single" w:sz="6" w:space="0" w:color="000000"/>
              <w:bottom w:val="single" w:sz="6" w:space="0" w:color="000000"/>
              <w:right w:val="single" w:sz="6" w:space="0" w:color="000000"/>
            </w:tcBorders>
            <w:shd w:fill="auto" w:val="clear"/>
            <w:tcMar>
              <w:top w:w="28" w:type="dxa"/>
              <w:bottom w:w="28" w:type="dxa"/>
              <w:right w:w="28" w:type="dxa"/>
            </w:tcMar>
            <w:vAlign w:val="center"/>
          </w:tcPr>
          <w:p>
            <w:pPr>
              <w:pStyle w:val="TableContents"/>
              <w:spacing w:before="0" w:after="283"/>
              <w:rPr/>
            </w:pPr>
            <w:r>
              <w:rPr/>
              <w:t> </w:t>
            </w:r>
          </w:p>
        </w:tc>
        <w:tc>
          <w:tcPr>
            <w:tcW w:w="149" w:type="dxa"/>
            <w:tcBorders>
              <w:top w:val="single" w:sz="6" w:space="0" w:color="000000"/>
              <w:left w:val="single" w:sz="6" w:space="0" w:color="000000"/>
              <w:bottom w:val="single" w:sz="6" w:space="0" w:color="000000"/>
            </w:tcBorders>
            <w:shd w:fill="auto" w:val="clear"/>
            <w:tcMar>
              <w:top w:w="28" w:type="dxa"/>
              <w:left w:w="28" w:type="dxa"/>
              <w:bottom w:w="28" w:type="dxa"/>
            </w:tcMar>
            <w:vAlign w:val="center"/>
          </w:tcPr>
          <w:p>
            <w:pPr>
              <w:pStyle w:val="TableContents"/>
              <w:spacing w:before="0" w:after="283"/>
              <w:rPr/>
            </w:pPr>
            <w:r>
              <w:rPr/>
              <w:t>  </w:t>
            </w:r>
          </w:p>
        </w:tc>
        <w:tc>
          <w:tcPr>
            <w:tcW w:w="74" w:type="dxa"/>
            <w:tcBorders>
              <w:top w:val="single" w:sz="6" w:space="0" w:color="000000"/>
              <w:bottom w:val="single" w:sz="6" w:space="0" w:color="000000"/>
            </w:tcBorders>
            <w:shd w:fill="auto" w:val="clear"/>
            <w:tcMar>
              <w:top w:w="28" w:type="dxa"/>
              <w:bottom w:w="28" w:type="dxa"/>
            </w:tcMar>
            <w:vAlign w:val="center"/>
          </w:tcPr>
          <w:p>
            <w:pPr>
              <w:pStyle w:val="TableContents"/>
              <w:spacing w:before="0" w:after="283"/>
              <w:rPr/>
            </w:pPr>
            <w:r>
              <w:rPr/>
              <w:t> </w:t>
            </w:r>
          </w:p>
        </w:tc>
        <w:tc>
          <w:tcPr>
            <w:tcW w:w="1005" w:type="dxa"/>
            <w:tcBorders>
              <w:top w:val="single" w:sz="6" w:space="0" w:color="000000"/>
              <w:bottom w:val="single" w:sz="6" w:space="0" w:color="000000"/>
            </w:tcBorders>
            <w:shd w:fill="auto" w:val="clear"/>
            <w:tcMar>
              <w:top w:w="28" w:type="dxa"/>
              <w:bottom w:w="28" w:type="dxa"/>
            </w:tcMar>
            <w:vAlign w:val="center"/>
          </w:tcPr>
          <w:p>
            <w:pPr>
              <w:pStyle w:val="TableContents"/>
              <w:spacing w:before="0" w:after="283"/>
              <w:jc w:val="right"/>
              <w:rPr/>
            </w:pPr>
            <w:r>
              <w:rPr/>
              <w:t>180,000</w:t>
            </w:r>
          </w:p>
        </w:tc>
        <w:tc>
          <w:tcPr>
            <w:tcW w:w="70" w:type="dxa"/>
            <w:tcBorders>
              <w:top w:val="single" w:sz="6" w:space="0" w:color="000000"/>
              <w:bottom w:val="single" w:sz="6" w:space="0" w:color="000000"/>
              <w:right w:val="single" w:sz="6" w:space="0" w:color="000000"/>
            </w:tcBorders>
            <w:shd w:fill="auto" w:val="clear"/>
            <w:tcMar>
              <w:top w:w="28" w:type="dxa"/>
              <w:bottom w:w="28" w:type="dxa"/>
              <w:right w:w="28" w:type="dxa"/>
            </w:tcMar>
            <w:vAlign w:val="center"/>
          </w:tcPr>
          <w:p>
            <w:pPr>
              <w:pStyle w:val="TableContents"/>
              <w:spacing w:before="0" w:after="283"/>
              <w:rPr/>
            </w:pPr>
            <w:r>
              <w:rPr/>
              <w:t> </w:t>
            </w:r>
          </w:p>
        </w:tc>
        <w:tc>
          <w:tcPr>
            <w:tcW w:w="142" w:type="dxa"/>
            <w:tcBorders>
              <w:top w:val="single" w:sz="6" w:space="0" w:color="000000"/>
              <w:left w:val="single" w:sz="6" w:space="0" w:color="000000"/>
              <w:bottom w:val="single" w:sz="6" w:space="0" w:color="000000"/>
            </w:tcBorders>
            <w:shd w:fill="auto" w:val="clear"/>
            <w:tcMar>
              <w:top w:w="28" w:type="dxa"/>
              <w:left w:w="28" w:type="dxa"/>
              <w:bottom w:w="28" w:type="dxa"/>
            </w:tcMar>
            <w:vAlign w:val="center"/>
          </w:tcPr>
          <w:p>
            <w:pPr>
              <w:pStyle w:val="TableContents"/>
              <w:spacing w:before="0" w:after="283"/>
              <w:rPr/>
            </w:pPr>
            <w:r>
              <w:rPr/>
              <w:t>  </w:t>
            </w:r>
          </w:p>
        </w:tc>
        <w:tc>
          <w:tcPr>
            <w:tcW w:w="82" w:type="dxa"/>
            <w:tcBorders>
              <w:top w:val="single" w:sz="6" w:space="0" w:color="000000"/>
              <w:bottom w:val="single" w:sz="6" w:space="0" w:color="000000"/>
            </w:tcBorders>
            <w:shd w:fill="auto" w:val="clear"/>
            <w:tcMar>
              <w:top w:w="28" w:type="dxa"/>
              <w:bottom w:w="28" w:type="dxa"/>
            </w:tcMar>
            <w:vAlign w:val="center"/>
          </w:tcPr>
          <w:p>
            <w:pPr>
              <w:pStyle w:val="TableContents"/>
              <w:spacing w:before="0" w:after="283"/>
              <w:rPr/>
            </w:pPr>
            <w:r>
              <w:rPr/>
              <w:t> </w:t>
            </w:r>
          </w:p>
        </w:tc>
        <w:tc>
          <w:tcPr>
            <w:tcW w:w="955" w:type="dxa"/>
            <w:tcBorders>
              <w:top w:val="single" w:sz="6" w:space="0" w:color="000000"/>
              <w:bottom w:val="single" w:sz="6" w:space="0" w:color="000000"/>
            </w:tcBorders>
            <w:shd w:fill="auto" w:val="clear"/>
            <w:tcMar>
              <w:top w:w="28" w:type="dxa"/>
              <w:bottom w:w="28" w:type="dxa"/>
            </w:tcMar>
            <w:vAlign w:val="center"/>
          </w:tcPr>
          <w:p>
            <w:pPr>
              <w:pStyle w:val="TableContents"/>
              <w:spacing w:before="0" w:after="283"/>
              <w:jc w:val="right"/>
              <w:rPr/>
            </w:pPr>
            <w:r>
              <w:rPr/>
              <w:t>45,000</w:t>
            </w:r>
          </w:p>
        </w:tc>
        <w:tc>
          <w:tcPr>
            <w:tcW w:w="70" w:type="dxa"/>
            <w:tcBorders>
              <w:top w:val="single" w:sz="6" w:space="0" w:color="000000"/>
              <w:bottom w:val="single" w:sz="6" w:space="0" w:color="000000"/>
              <w:right w:val="single" w:sz="6" w:space="0" w:color="000000"/>
            </w:tcBorders>
            <w:shd w:fill="auto" w:val="clear"/>
            <w:tcMar>
              <w:top w:w="28" w:type="dxa"/>
              <w:bottom w:w="28" w:type="dxa"/>
              <w:right w:w="28" w:type="dxa"/>
            </w:tcMar>
            <w:vAlign w:val="center"/>
          </w:tcPr>
          <w:p>
            <w:pPr>
              <w:pStyle w:val="TableContents"/>
              <w:spacing w:before="0" w:after="283"/>
              <w:rPr/>
            </w:pPr>
            <w:r>
              <w:rPr/>
              <w:t> </w:t>
            </w:r>
          </w:p>
        </w:tc>
        <w:tc>
          <w:tcPr>
            <w:tcW w:w="142" w:type="dxa"/>
            <w:tcBorders>
              <w:top w:val="single" w:sz="6" w:space="0" w:color="000000"/>
              <w:left w:val="single" w:sz="6" w:space="0" w:color="000000"/>
              <w:bottom w:val="single" w:sz="6" w:space="0" w:color="000000"/>
            </w:tcBorders>
            <w:shd w:fill="auto" w:val="clear"/>
            <w:tcMar>
              <w:top w:w="28" w:type="dxa"/>
              <w:left w:w="28" w:type="dxa"/>
              <w:bottom w:w="28" w:type="dxa"/>
            </w:tcMar>
            <w:vAlign w:val="center"/>
          </w:tcPr>
          <w:p>
            <w:pPr>
              <w:pStyle w:val="TableContents"/>
              <w:spacing w:before="0" w:after="283"/>
              <w:rPr/>
            </w:pPr>
            <w:r>
              <w:rPr/>
              <w:t>  </w:t>
            </w:r>
          </w:p>
        </w:tc>
        <w:tc>
          <w:tcPr>
            <w:tcW w:w="70" w:type="dxa"/>
            <w:tcBorders>
              <w:top w:val="single" w:sz="6" w:space="0" w:color="000000"/>
              <w:bottom w:val="single" w:sz="6" w:space="0" w:color="000000"/>
            </w:tcBorders>
            <w:shd w:fill="auto" w:val="clear"/>
            <w:tcMar>
              <w:top w:w="28" w:type="dxa"/>
              <w:bottom w:w="28" w:type="dxa"/>
            </w:tcMar>
            <w:vAlign w:val="center"/>
          </w:tcPr>
          <w:p>
            <w:pPr>
              <w:pStyle w:val="TableContents"/>
              <w:spacing w:before="0" w:after="283"/>
              <w:rPr/>
            </w:pPr>
            <w:r>
              <w:rPr/>
              <w:t> </w:t>
            </w:r>
          </w:p>
        </w:tc>
        <w:tc>
          <w:tcPr>
            <w:tcW w:w="807" w:type="dxa"/>
            <w:tcBorders>
              <w:top w:val="single" w:sz="6" w:space="0" w:color="000000"/>
              <w:bottom w:val="single" w:sz="6" w:space="0" w:color="000000"/>
            </w:tcBorders>
            <w:shd w:fill="auto" w:val="clear"/>
            <w:tcMar>
              <w:top w:w="28" w:type="dxa"/>
              <w:bottom w:w="28" w:type="dxa"/>
            </w:tcMar>
            <w:vAlign w:val="center"/>
          </w:tcPr>
          <w:p>
            <w:pPr>
              <w:pStyle w:val="TableContents"/>
              <w:spacing w:before="0" w:after="283"/>
              <w:jc w:val="right"/>
              <w:rPr/>
            </w:pPr>
            <w:r>
              <w:rPr/>
              <w:t>45,000</w:t>
            </w:r>
          </w:p>
        </w:tc>
        <w:tc>
          <w:tcPr>
            <w:tcW w:w="229" w:type="dxa"/>
            <w:tcBorders>
              <w:top w:val="single" w:sz="6" w:space="0" w:color="000000"/>
              <w:bottom w:val="single" w:sz="6" w:space="0" w:color="000000"/>
              <w:right w:val="single" w:sz="6" w:space="0" w:color="000000"/>
            </w:tcBorders>
            <w:shd w:fill="auto" w:val="clear"/>
            <w:tcMar>
              <w:top w:w="28" w:type="dxa"/>
              <w:bottom w:w="28" w:type="dxa"/>
              <w:right w:w="40" w:type="dxa"/>
            </w:tcMar>
            <w:vAlign w:val="center"/>
          </w:tcPr>
          <w:p>
            <w:pPr>
              <w:pStyle w:val="TableContents"/>
              <w:spacing w:before="0" w:after="283"/>
              <w:rPr/>
            </w:pPr>
            <w:r>
              <w:rPr/>
              <w:t> </w:t>
            </w:r>
          </w:p>
        </w:tc>
      </w:tr>
      <w:tr>
        <w:trPr/>
        <w:tc>
          <w:tcPr>
            <w:tcW w:w="2591" w:type="dxa"/>
            <w:tcBorders>
              <w:top w:val="single" w:sz="6" w:space="0" w:color="000000"/>
              <w:left w:val="single" w:sz="6" w:space="0" w:color="000000"/>
              <w:bottom w:val="single" w:sz="6" w:space="0" w:color="000000"/>
              <w:right w:val="single" w:sz="6" w:space="0" w:color="000000"/>
            </w:tcBorders>
            <w:shd w:fill="auto" w:val="clear"/>
            <w:tcMar>
              <w:top w:w="28" w:type="dxa"/>
              <w:left w:w="160" w:type="dxa"/>
              <w:bottom w:w="28" w:type="dxa"/>
              <w:right w:w="28" w:type="dxa"/>
            </w:tcMar>
            <w:vAlign w:val="center"/>
          </w:tcPr>
          <w:p>
            <w:pPr>
              <w:pStyle w:val="TableContents"/>
              <w:spacing w:before="0" w:after="0"/>
              <w:rPr/>
            </w:pPr>
            <w:r>
              <w:rPr/>
              <w:t>  </w:t>
            </w:r>
            <w:r>
              <w:rPr>
                <w:rFonts w:ascii="ARIAL" w:hAnsi="ARIAL"/>
                <w:sz w:val="20"/>
              </w:rPr>
              <w:t xml:space="preserve">President of Clinical </w:t>
              <w:br/>
              <w:t>Operations/CMO (Simon)</w:t>
            </w:r>
          </w:p>
        </w:tc>
        <w:tc>
          <w:tcPr>
            <w:tcW w:w="142" w:type="dxa"/>
            <w:tcBorders>
              <w:top w:val="single" w:sz="6" w:space="0" w:color="000000"/>
              <w:left w:val="single" w:sz="6" w:space="0" w:color="000000"/>
              <w:bottom w:val="single" w:sz="6" w:space="0" w:color="000000"/>
            </w:tcBorders>
            <w:shd w:fill="auto" w:val="clear"/>
            <w:tcMar>
              <w:top w:w="28" w:type="dxa"/>
              <w:left w:w="28" w:type="dxa"/>
              <w:bottom w:w="28" w:type="dxa"/>
            </w:tcMar>
            <w:vAlign w:val="center"/>
          </w:tcPr>
          <w:p>
            <w:pPr>
              <w:pStyle w:val="TableContents"/>
              <w:spacing w:before="0" w:after="283"/>
              <w:rPr/>
            </w:pPr>
            <w:r>
              <w:rPr/>
              <w:t>  </w:t>
            </w:r>
          </w:p>
        </w:tc>
        <w:tc>
          <w:tcPr>
            <w:tcW w:w="88" w:type="dxa"/>
            <w:tcBorders>
              <w:top w:val="single" w:sz="6" w:space="0" w:color="000000"/>
              <w:bottom w:val="single" w:sz="6" w:space="0" w:color="000000"/>
            </w:tcBorders>
            <w:shd w:fill="auto" w:val="clear"/>
            <w:tcMar>
              <w:top w:w="28" w:type="dxa"/>
              <w:bottom w:w="28" w:type="dxa"/>
            </w:tcMar>
            <w:vAlign w:val="center"/>
          </w:tcPr>
          <w:p>
            <w:pPr>
              <w:pStyle w:val="TableContents"/>
              <w:spacing w:before="0" w:after="283"/>
              <w:rPr/>
            </w:pPr>
            <w:r>
              <w:rPr/>
              <w:t> </w:t>
            </w:r>
          </w:p>
        </w:tc>
        <w:tc>
          <w:tcPr>
            <w:tcW w:w="1012" w:type="dxa"/>
            <w:tcBorders>
              <w:top w:val="single" w:sz="6" w:space="0" w:color="000000"/>
              <w:bottom w:val="single" w:sz="6" w:space="0" w:color="000000"/>
            </w:tcBorders>
            <w:shd w:fill="auto" w:val="clear"/>
            <w:tcMar>
              <w:top w:w="28" w:type="dxa"/>
              <w:bottom w:w="28" w:type="dxa"/>
            </w:tcMar>
            <w:vAlign w:val="center"/>
          </w:tcPr>
          <w:p>
            <w:pPr>
              <w:pStyle w:val="TableContents"/>
              <w:spacing w:before="0" w:after="283"/>
              <w:jc w:val="right"/>
              <w:rPr/>
            </w:pPr>
            <w:r>
              <w:rPr/>
              <w:t>26,250</w:t>
            </w:r>
          </w:p>
        </w:tc>
        <w:tc>
          <w:tcPr>
            <w:tcW w:w="88" w:type="dxa"/>
            <w:tcBorders>
              <w:top w:val="single" w:sz="6" w:space="0" w:color="000000"/>
              <w:bottom w:val="single" w:sz="6" w:space="0" w:color="000000"/>
              <w:right w:val="single" w:sz="6" w:space="0" w:color="000000"/>
            </w:tcBorders>
            <w:shd w:fill="auto" w:val="clear"/>
            <w:tcMar>
              <w:top w:w="28" w:type="dxa"/>
              <w:bottom w:w="28" w:type="dxa"/>
              <w:right w:w="28" w:type="dxa"/>
            </w:tcMar>
            <w:vAlign w:val="center"/>
          </w:tcPr>
          <w:p>
            <w:pPr>
              <w:pStyle w:val="TableContents"/>
              <w:spacing w:before="0" w:after="283"/>
              <w:rPr/>
            </w:pPr>
            <w:r>
              <w:rPr/>
              <w:t> </w:t>
            </w:r>
          </w:p>
        </w:tc>
        <w:tc>
          <w:tcPr>
            <w:tcW w:w="177" w:type="dxa"/>
            <w:tcBorders>
              <w:top w:val="single" w:sz="6" w:space="0" w:color="000000"/>
              <w:left w:val="single" w:sz="6" w:space="0" w:color="000000"/>
              <w:bottom w:val="single" w:sz="6" w:space="0" w:color="000000"/>
            </w:tcBorders>
            <w:shd w:fill="auto" w:val="clear"/>
            <w:tcMar>
              <w:top w:w="28" w:type="dxa"/>
              <w:left w:w="28" w:type="dxa"/>
              <w:bottom w:w="28" w:type="dxa"/>
            </w:tcMar>
            <w:vAlign w:val="center"/>
          </w:tcPr>
          <w:p>
            <w:pPr>
              <w:pStyle w:val="TableContents"/>
              <w:spacing w:before="0" w:after="283"/>
              <w:rPr/>
            </w:pPr>
            <w:r>
              <w:rPr/>
              <w:t>  </w:t>
            </w:r>
          </w:p>
        </w:tc>
        <w:tc>
          <w:tcPr>
            <w:tcW w:w="1059" w:type="dxa"/>
            <w:tcBorders>
              <w:top w:val="single" w:sz="6" w:space="0" w:color="000000"/>
              <w:bottom w:val="single" w:sz="6" w:space="0" w:color="000000"/>
              <w:right w:val="single" w:sz="6" w:space="0" w:color="000000"/>
            </w:tcBorders>
            <w:shd w:fill="auto" w:val="clear"/>
            <w:tcMar>
              <w:top w:w="28" w:type="dxa"/>
              <w:bottom w:w="28" w:type="dxa"/>
              <w:right w:w="28" w:type="dxa"/>
            </w:tcMar>
            <w:vAlign w:val="center"/>
          </w:tcPr>
          <w:p>
            <w:pPr>
              <w:pStyle w:val="TableContents"/>
              <w:spacing w:before="0" w:after="283"/>
              <w:jc w:val="right"/>
              <w:rPr/>
            </w:pPr>
            <w:r>
              <w:rPr/>
              <w:t>0</w:t>
            </w:r>
          </w:p>
        </w:tc>
        <w:tc>
          <w:tcPr>
            <w:tcW w:w="142" w:type="dxa"/>
            <w:tcBorders>
              <w:top w:val="single" w:sz="6" w:space="0" w:color="000000"/>
              <w:left w:val="single" w:sz="6" w:space="0" w:color="000000"/>
              <w:bottom w:val="single" w:sz="6" w:space="0" w:color="000000"/>
            </w:tcBorders>
            <w:shd w:fill="auto" w:val="clear"/>
            <w:tcMar>
              <w:top w:w="28" w:type="dxa"/>
              <w:left w:w="28" w:type="dxa"/>
              <w:bottom w:w="28" w:type="dxa"/>
            </w:tcMar>
            <w:vAlign w:val="center"/>
          </w:tcPr>
          <w:p>
            <w:pPr>
              <w:pStyle w:val="TableContents"/>
              <w:spacing w:before="0" w:after="283"/>
              <w:rPr/>
            </w:pPr>
            <w:r>
              <w:rPr/>
              <w:t>  </w:t>
            </w:r>
          </w:p>
        </w:tc>
        <w:tc>
          <w:tcPr>
            <w:tcW w:w="82" w:type="dxa"/>
            <w:tcBorders>
              <w:top w:val="single" w:sz="6" w:space="0" w:color="000000"/>
              <w:bottom w:val="single" w:sz="6" w:space="0" w:color="000000"/>
            </w:tcBorders>
            <w:shd w:fill="auto" w:val="clear"/>
            <w:tcMar>
              <w:top w:w="28" w:type="dxa"/>
              <w:bottom w:w="28" w:type="dxa"/>
            </w:tcMar>
            <w:vAlign w:val="center"/>
          </w:tcPr>
          <w:p>
            <w:pPr>
              <w:pStyle w:val="TableContents"/>
              <w:spacing w:before="0" w:after="283"/>
              <w:rPr/>
            </w:pPr>
            <w:r>
              <w:rPr/>
              <w:t> </w:t>
            </w:r>
          </w:p>
        </w:tc>
        <w:tc>
          <w:tcPr>
            <w:tcW w:w="955" w:type="dxa"/>
            <w:tcBorders>
              <w:top w:val="single" w:sz="6" w:space="0" w:color="000000"/>
              <w:bottom w:val="single" w:sz="6" w:space="0" w:color="000000"/>
            </w:tcBorders>
            <w:shd w:fill="auto" w:val="clear"/>
            <w:tcMar>
              <w:top w:w="28" w:type="dxa"/>
              <w:bottom w:w="28" w:type="dxa"/>
            </w:tcMar>
            <w:vAlign w:val="center"/>
          </w:tcPr>
          <w:p>
            <w:pPr>
              <w:pStyle w:val="TableContents"/>
              <w:spacing w:before="0" w:after="283"/>
              <w:jc w:val="right"/>
              <w:rPr/>
            </w:pPr>
            <w:r>
              <w:rPr/>
              <w:t>26,250</w:t>
            </w:r>
          </w:p>
        </w:tc>
        <w:tc>
          <w:tcPr>
            <w:tcW w:w="74" w:type="dxa"/>
            <w:tcBorders>
              <w:top w:val="single" w:sz="6" w:space="0" w:color="000000"/>
              <w:bottom w:val="single" w:sz="6" w:space="0" w:color="000000"/>
              <w:right w:val="single" w:sz="6" w:space="0" w:color="000000"/>
            </w:tcBorders>
            <w:shd w:fill="auto" w:val="clear"/>
            <w:tcMar>
              <w:top w:w="28" w:type="dxa"/>
              <w:bottom w:w="28" w:type="dxa"/>
              <w:right w:w="28" w:type="dxa"/>
            </w:tcMar>
            <w:vAlign w:val="center"/>
          </w:tcPr>
          <w:p>
            <w:pPr>
              <w:pStyle w:val="TableContents"/>
              <w:spacing w:before="0" w:after="283"/>
              <w:rPr/>
            </w:pPr>
            <w:r>
              <w:rPr/>
              <w:t> </w:t>
            </w:r>
          </w:p>
        </w:tc>
        <w:tc>
          <w:tcPr>
            <w:tcW w:w="149" w:type="dxa"/>
            <w:tcBorders>
              <w:top w:val="single" w:sz="6" w:space="0" w:color="000000"/>
              <w:left w:val="single" w:sz="6" w:space="0" w:color="000000"/>
              <w:bottom w:val="single" w:sz="6" w:space="0" w:color="000000"/>
            </w:tcBorders>
            <w:shd w:fill="auto" w:val="clear"/>
            <w:tcMar>
              <w:top w:w="28" w:type="dxa"/>
              <w:left w:w="28" w:type="dxa"/>
              <w:bottom w:w="28" w:type="dxa"/>
            </w:tcMar>
            <w:vAlign w:val="center"/>
          </w:tcPr>
          <w:p>
            <w:pPr>
              <w:pStyle w:val="TableContents"/>
              <w:spacing w:before="0" w:after="283"/>
              <w:rPr/>
            </w:pPr>
            <w:r>
              <w:rPr/>
              <w:t>  </w:t>
            </w:r>
          </w:p>
        </w:tc>
        <w:tc>
          <w:tcPr>
            <w:tcW w:w="74" w:type="dxa"/>
            <w:tcBorders>
              <w:top w:val="single" w:sz="6" w:space="0" w:color="000000"/>
              <w:bottom w:val="single" w:sz="6" w:space="0" w:color="000000"/>
            </w:tcBorders>
            <w:shd w:fill="auto" w:val="clear"/>
            <w:tcMar>
              <w:top w:w="28" w:type="dxa"/>
              <w:bottom w:w="28" w:type="dxa"/>
            </w:tcMar>
            <w:vAlign w:val="center"/>
          </w:tcPr>
          <w:p>
            <w:pPr>
              <w:pStyle w:val="TableContents"/>
              <w:spacing w:before="0" w:after="283"/>
              <w:rPr/>
            </w:pPr>
            <w:r>
              <w:rPr/>
              <w:t> </w:t>
            </w:r>
          </w:p>
        </w:tc>
        <w:tc>
          <w:tcPr>
            <w:tcW w:w="1005" w:type="dxa"/>
            <w:tcBorders>
              <w:top w:val="single" w:sz="6" w:space="0" w:color="000000"/>
              <w:bottom w:val="single" w:sz="6" w:space="0" w:color="000000"/>
            </w:tcBorders>
            <w:shd w:fill="auto" w:val="clear"/>
            <w:tcMar>
              <w:top w:w="28" w:type="dxa"/>
              <w:bottom w:w="28" w:type="dxa"/>
            </w:tcMar>
            <w:vAlign w:val="center"/>
          </w:tcPr>
          <w:p>
            <w:pPr>
              <w:pStyle w:val="TableContents"/>
              <w:spacing w:before="0" w:after="283"/>
              <w:jc w:val="right"/>
              <w:rPr/>
            </w:pPr>
            <w:r>
              <w:rPr/>
              <w:t>52,500</w:t>
            </w:r>
          </w:p>
        </w:tc>
        <w:tc>
          <w:tcPr>
            <w:tcW w:w="70" w:type="dxa"/>
            <w:tcBorders>
              <w:top w:val="single" w:sz="6" w:space="0" w:color="000000"/>
              <w:bottom w:val="single" w:sz="6" w:space="0" w:color="000000"/>
              <w:right w:val="single" w:sz="6" w:space="0" w:color="000000"/>
            </w:tcBorders>
            <w:shd w:fill="auto" w:val="clear"/>
            <w:tcMar>
              <w:top w:w="28" w:type="dxa"/>
              <w:bottom w:w="28" w:type="dxa"/>
              <w:right w:w="28" w:type="dxa"/>
            </w:tcMar>
            <w:vAlign w:val="center"/>
          </w:tcPr>
          <w:p>
            <w:pPr>
              <w:pStyle w:val="TableContents"/>
              <w:spacing w:before="0" w:after="283"/>
              <w:rPr/>
            </w:pPr>
            <w:r>
              <w:rPr/>
              <w:t> </w:t>
            </w:r>
          </w:p>
        </w:tc>
        <w:tc>
          <w:tcPr>
            <w:tcW w:w="142" w:type="dxa"/>
            <w:tcBorders>
              <w:top w:val="single" w:sz="6" w:space="0" w:color="000000"/>
              <w:left w:val="single" w:sz="6" w:space="0" w:color="000000"/>
              <w:bottom w:val="single" w:sz="6" w:space="0" w:color="000000"/>
            </w:tcBorders>
            <w:shd w:fill="auto" w:val="clear"/>
            <w:tcMar>
              <w:top w:w="28" w:type="dxa"/>
              <w:left w:w="28" w:type="dxa"/>
              <w:bottom w:w="28" w:type="dxa"/>
            </w:tcMar>
            <w:vAlign w:val="center"/>
          </w:tcPr>
          <w:p>
            <w:pPr>
              <w:pStyle w:val="TableContents"/>
              <w:spacing w:before="0" w:after="283"/>
              <w:rPr/>
            </w:pPr>
            <w:r>
              <w:rPr/>
              <w:t>  </w:t>
            </w:r>
          </w:p>
        </w:tc>
        <w:tc>
          <w:tcPr>
            <w:tcW w:w="82" w:type="dxa"/>
            <w:tcBorders>
              <w:top w:val="single" w:sz="6" w:space="0" w:color="000000"/>
              <w:bottom w:val="single" w:sz="6" w:space="0" w:color="000000"/>
            </w:tcBorders>
            <w:shd w:fill="auto" w:val="clear"/>
            <w:tcMar>
              <w:top w:w="28" w:type="dxa"/>
              <w:bottom w:w="28" w:type="dxa"/>
            </w:tcMar>
            <w:vAlign w:val="center"/>
          </w:tcPr>
          <w:p>
            <w:pPr>
              <w:pStyle w:val="TableContents"/>
              <w:spacing w:before="0" w:after="283"/>
              <w:rPr/>
            </w:pPr>
            <w:r>
              <w:rPr/>
              <w:t> </w:t>
            </w:r>
          </w:p>
        </w:tc>
        <w:tc>
          <w:tcPr>
            <w:tcW w:w="955" w:type="dxa"/>
            <w:tcBorders>
              <w:top w:val="single" w:sz="6" w:space="0" w:color="000000"/>
              <w:bottom w:val="single" w:sz="6" w:space="0" w:color="000000"/>
            </w:tcBorders>
            <w:shd w:fill="auto" w:val="clear"/>
            <w:tcMar>
              <w:top w:w="28" w:type="dxa"/>
              <w:bottom w:w="28" w:type="dxa"/>
            </w:tcMar>
            <w:vAlign w:val="center"/>
          </w:tcPr>
          <w:p>
            <w:pPr>
              <w:pStyle w:val="TableContents"/>
              <w:spacing w:before="0" w:after="283"/>
              <w:jc w:val="right"/>
              <w:rPr/>
            </w:pPr>
            <w:r>
              <w:rPr/>
              <w:t>N/A</w:t>
            </w:r>
          </w:p>
        </w:tc>
        <w:tc>
          <w:tcPr>
            <w:tcW w:w="70" w:type="dxa"/>
            <w:tcBorders>
              <w:top w:val="single" w:sz="6" w:space="0" w:color="000000"/>
              <w:bottom w:val="single" w:sz="6" w:space="0" w:color="000000"/>
              <w:right w:val="single" w:sz="6" w:space="0" w:color="000000"/>
            </w:tcBorders>
            <w:shd w:fill="auto" w:val="clear"/>
            <w:tcMar>
              <w:top w:w="28" w:type="dxa"/>
              <w:bottom w:w="28" w:type="dxa"/>
              <w:right w:w="28" w:type="dxa"/>
            </w:tcMar>
            <w:vAlign w:val="center"/>
          </w:tcPr>
          <w:p>
            <w:pPr>
              <w:pStyle w:val="TableContents"/>
              <w:spacing w:before="0" w:after="283"/>
              <w:rPr/>
            </w:pPr>
            <w:r>
              <w:rPr/>
              <w:t> </w:t>
            </w:r>
          </w:p>
        </w:tc>
        <w:tc>
          <w:tcPr>
            <w:tcW w:w="142" w:type="dxa"/>
            <w:tcBorders>
              <w:top w:val="single" w:sz="6" w:space="0" w:color="000000"/>
              <w:left w:val="single" w:sz="6" w:space="0" w:color="000000"/>
              <w:bottom w:val="single" w:sz="6" w:space="0" w:color="000000"/>
            </w:tcBorders>
            <w:shd w:fill="auto" w:val="clear"/>
            <w:tcMar>
              <w:top w:w="28" w:type="dxa"/>
              <w:left w:w="28" w:type="dxa"/>
              <w:bottom w:w="28" w:type="dxa"/>
            </w:tcMar>
            <w:vAlign w:val="center"/>
          </w:tcPr>
          <w:p>
            <w:pPr>
              <w:pStyle w:val="TableContents"/>
              <w:spacing w:before="0" w:after="283"/>
              <w:rPr/>
            </w:pPr>
            <w:r>
              <w:rPr/>
              <w:t>  </w:t>
            </w:r>
          </w:p>
        </w:tc>
        <w:tc>
          <w:tcPr>
            <w:tcW w:w="70" w:type="dxa"/>
            <w:tcBorders>
              <w:top w:val="single" w:sz="6" w:space="0" w:color="000000"/>
              <w:bottom w:val="single" w:sz="6" w:space="0" w:color="000000"/>
            </w:tcBorders>
            <w:shd w:fill="auto" w:val="clear"/>
            <w:tcMar>
              <w:top w:w="28" w:type="dxa"/>
              <w:bottom w:w="28" w:type="dxa"/>
            </w:tcMar>
            <w:vAlign w:val="center"/>
          </w:tcPr>
          <w:p>
            <w:pPr>
              <w:pStyle w:val="TableContents"/>
              <w:spacing w:before="0" w:after="283"/>
              <w:rPr/>
            </w:pPr>
            <w:r>
              <w:rPr/>
              <w:t> </w:t>
            </w:r>
          </w:p>
        </w:tc>
        <w:tc>
          <w:tcPr>
            <w:tcW w:w="807" w:type="dxa"/>
            <w:tcBorders>
              <w:top w:val="single" w:sz="6" w:space="0" w:color="000000"/>
              <w:bottom w:val="single" w:sz="6" w:space="0" w:color="000000"/>
            </w:tcBorders>
            <w:shd w:fill="auto" w:val="clear"/>
            <w:tcMar>
              <w:top w:w="28" w:type="dxa"/>
              <w:bottom w:w="28" w:type="dxa"/>
            </w:tcMar>
            <w:vAlign w:val="center"/>
          </w:tcPr>
          <w:p>
            <w:pPr>
              <w:pStyle w:val="TableContents"/>
              <w:spacing w:before="0" w:after="283"/>
              <w:jc w:val="right"/>
              <w:rPr/>
            </w:pPr>
            <w:r>
              <w:rPr/>
              <w:t>N/A</w:t>
            </w:r>
          </w:p>
        </w:tc>
        <w:tc>
          <w:tcPr>
            <w:tcW w:w="229" w:type="dxa"/>
            <w:tcBorders>
              <w:top w:val="single" w:sz="6" w:space="0" w:color="000000"/>
              <w:bottom w:val="single" w:sz="6" w:space="0" w:color="000000"/>
              <w:right w:val="single" w:sz="6" w:space="0" w:color="000000"/>
            </w:tcBorders>
            <w:shd w:fill="auto" w:val="clear"/>
            <w:tcMar>
              <w:top w:w="28" w:type="dxa"/>
              <w:bottom w:w="28" w:type="dxa"/>
              <w:right w:w="40" w:type="dxa"/>
            </w:tcMar>
            <w:vAlign w:val="center"/>
          </w:tcPr>
          <w:p>
            <w:pPr>
              <w:pStyle w:val="TableContents"/>
              <w:spacing w:before="0" w:after="283"/>
              <w:rPr/>
            </w:pPr>
            <w:r>
              <w:rPr/>
              <w:t> </w:t>
            </w:r>
          </w:p>
        </w:tc>
      </w:tr>
      <w:tr>
        <w:trPr/>
        <w:tc>
          <w:tcPr>
            <w:tcW w:w="2591" w:type="dxa"/>
            <w:tcBorders>
              <w:top w:val="single" w:sz="6" w:space="0" w:color="000000"/>
              <w:left w:val="single" w:sz="6" w:space="0" w:color="000000"/>
              <w:bottom w:val="single" w:sz="6" w:space="0" w:color="000000"/>
              <w:right w:val="single" w:sz="6" w:space="0" w:color="000000"/>
            </w:tcBorders>
            <w:shd w:fill="auto" w:val="clear"/>
            <w:tcMar>
              <w:top w:w="28" w:type="dxa"/>
              <w:left w:w="160" w:type="dxa"/>
              <w:bottom w:w="28" w:type="dxa"/>
              <w:right w:w="28" w:type="dxa"/>
            </w:tcMar>
            <w:vAlign w:val="center"/>
          </w:tcPr>
          <w:p>
            <w:pPr>
              <w:pStyle w:val="TableContents"/>
              <w:spacing w:before="0" w:after="0"/>
              <w:rPr/>
            </w:pPr>
            <w:r>
              <w:rPr/>
              <w:t>  </w:t>
            </w:r>
            <w:r>
              <w:rPr>
                <w:rFonts w:ascii="ARIAL" w:hAnsi="ARIAL"/>
                <w:sz w:val="20"/>
              </w:rPr>
              <w:t>Regional President (Medley)</w:t>
            </w:r>
          </w:p>
        </w:tc>
        <w:tc>
          <w:tcPr>
            <w:tcW w:w="142" w:type="dxa"/>
            <w:tcBorders>
              <w:top w:val="single" w:sz="6" w:space="0" w:color="000000"/>
              <w:left w:val="single" w:sz="6" w:space="0" w:color="000000"/>
              <w:bottom w:val="single" w:sz="6" w:space="0" w:color="000000"/>
            </w:tcBorders>
            <w:shd w:fill="auto" w:val="clear"/>
            <w:tcMar>
              <w:top w:w="28" w:type="dxa"/>
              <w:left w:w="28" w:type="dxa"/>
              <w:bottom w:w="28" w:type="dxa"/>
            </w:tcMar>
            <w:vAlign w:val="center"/>
          </w:tcPr>
          <w:p>
            <w:pPr>
              <w:pStyle w:val="TableContents"/>
              <w:spacing w:before="0" w:after="283"/>
              <w:rPr/>
            </w:pPr>
            <w:r>
              <w:rPr/>
              <w:t>  </w:t>
            </w:r>
          </w:p>
        </w:tc>
        <w:tc>
          <w:tcPr>
            <w:tcW w:w="88" w:type="dxa"/>
            <w:tcBorders>
              <w:top w:val="single" w:sz="6" w:space="0" w:color="000000"/>
              <w:bottom w:val="single" w:sz="6" w:space="0" w:color="000000"/>
            </w:tcBorders>
            <w:shd w:fill="auto" w:val="clear"/>
            <w:tcMar>
              <w:top w:w="28" w:type="dxa"/>
              <w:bottom w:w="28" w:type="dxa"/>
            </w:tcMar>
            <w:vAlign w:val="center"/>
          </w:tcPr>
          <w:p>
            <w:pPr>
              <w:pStyle w:val="TableContents"/>
              <w:spacing w:before="0" w:after="283"/>
              <w:rPr/>
            </w:pPr>
            <w:r>
              <w:rPr/>
              <w:t> </w:t>
            </w:r>
          </w:p>
        </w:tc>
        <w:tc>
          <w:tcPr>
            <w:tcW w:w="1012" w:type="dxa"/>
            <w:tcBorders>
              <w:top w:val="single" w:sz="6" w:space="0" w:color="000000"/>
              <w:bottom w:val="single" w:sz="6" w:space="0" w:color="000000"/>
            </w:tcBorders>
            <w:shd w:fill="auto" w:val="clear"/>
            <w:tcMar>
              <w:top w:w="28" w:type="dxa"/>
              <w:bottom w:w="28" w:type="dxa"/>
            </w:tcMar>
            <w:vAlign w:val="center"/>
          </w:tcPr>
          <w:p>
            <w:pPr>
              <w:pStyle w:val="TableContents"/>
              <w:spacing w:before="0" w:after="283"/>
              <w:jc w:val="right"/>
              <w:rPr/>
            </w:pPr>
            <w:r>
              <w:rPr/>
              <w:t>7,500</w:t>
            </w:r>
          </w:p>
        </w:tc>
        <w:tc>
          <w:tcPr>
            <w:tcW w:w="88" w:type="dxa"/>
            <w:tcBorders>
              <w:top w:val="single" w:sz="6" w:space="0" w:color="000000"/>
              <w:bottom w:val="single" w:sz="6" w:space="0" w:color="000000"/>
              <w:right w:val="single" w:sz="6" w:space="0" w:color="000000"/>
            </w:tcBorders>
            <w:shd w:fill="auto" w:val="clear"/>
            <w:tcMar>
              <w:top w:w="28" w:type="dxa"/>
              <w:bottom w:w="28" w:type="dxa"/>
              <w:right w:w="28" w:type="dxa"/>
            </w:tcMar>
            <w:vAlign w:val="center"/>
          </w:tcPr>
          <w:p>
            <w:pPr>
              <w:pStyle w:val="TableContents"/>
              <w:spacing w:before="0" w:after="283"/>
              <w:rPr/>
            </w:pPr>
            <w:r>
              <w:rPr/>
              <w:t> </w:t>
            </w:r>
          </w:p>
        </w:tc>
        <w:tc>
          <w:tcPr>
            <w:tcW w:w="177" w:type="dxa"/>
            <w:tcBorders>
              <w:top w:val="single" w:sz="6" w:space="0" w:color="000000"/>
              <w:left w:val="single" w:sz="6" w:space="0" w:color="000000"/>
              <w:bottom w:val="single" w:sz="6" w:space="0" w:color="000000"/>
            </w:tcBorders>
            <w:shd w:fill="auto" w:val="clear"/>
            <w:tcMar>
              <w:top w:w="28" w:type="dxa"/>
              <w:left w:w="28" w:type="dxa"/>
              <w:bottom w:w="28" w:type="dxa"/>
            </w:tcMar>
            <w:vAlign w:val="center"/>
          </w:tcPr>
          <w:p>
            <w:pPr>
              <w:pStyle w:val="TableContents"/>
              <w:spacing w:before="0" w:after="283"/>
              <w:rPr/>
            </w:pPr>
            <w:r>
              <w:rPr/>
              <w:t>  </w:t>
            </w:r>
          </w:p>
        </w:tc>
        <w:tc>
          <w:tcPr>
            <w:tcW w:w="1059" w:type="dxa"/>
            <w:tcBorders>
              <w:top w:val="single" w:sz="6" w:space="0" w:color="000000"/>
              <w:bottom w:val="single" w:sz="6" w:space="0" w:color="000000"/>
              <w:right w:val="single" w:sz="6" w:space="0" w:color="000000"/>
            </w:tcBorders>
            <w:shd w:fill="auto" w:val="clear"/>
            <w:tcMar>
              <w:top w:w="28" w:type="dxa"/>
              <w:bottom w:w="28" w:type="dxa"/>
              <w:right w:w="28" w:type="dxa"/>
            </w:tcMar>
            <w:vAlign w:val="center"/>
          </w:tcPr>
          <w:p>
            <w:pPr>
              <w:pStyle w:val="TableContents"/>
              <w:spacing w:before="0" w:after="283"/>
              <w:jc w:val="right"/>
              <w:rPr/>
            </w:pPr>
            <w:r>
              <w:rPr/>
              <w:t>0</w:t>
            </w:r>
          </w:p>
        </w:tc>
        <w:tc>
          <w:tcPr>
            <w:tcW w:w="142" w:type="dxa"/>
            <w:tcBorders>
              <w:top w:val="single" w:sz="6" w:space="0" w:color="000000"/>
              <w:left w:val="single" w:sz="6" w:space="0" w:color="000000"/>
              <w:bottom w:val="single" w:sz="6" w:space="0" w:color="000000"/>
            </w:tcBorders>
            <w:shd w:fill="auto" w:val="clear"/>
            <w:tcMar>
              <w:top w:w="28" w:type="dxa"/>
              <w:left w:w="28" w:type="dxa"/>
              <w:bottom w:w="28" w:type="dxa"/>
            </w:tcMar>
            <w:vAlign w:val="center"/>
          </w:tcPr>
          <w:p>
            <w:pPr>
              <w:pStyle w:val="TableContents"/>
              <w:spacing w:before="0" w:after="283"/>
              <w:rPr/>
            </w:pPr>
            <w:r>
              <w:rPr/>
              <w:t>  </w:t>
            </w:r>
          </w:p>
        </w:tc>
        <w:tc>
          <w:tcPr>
            <w:tcW w:w="82" w:type="dxa"/>
            <w:tcBorders>
              <w:top w:val="single" w:sz="6" w:space="0" w:color="000000"/>
              <w:bottom w:val="single" w:sz="6" w:space="0" w:color="000000"/>
            </w:tcBorders>
            <w:shd w:fill="auto" w:val="clear"/>
            <w:tcMar>
              <w:top w:w="28" w:type="dxa"/>
              <w:bottom w:w="28" w:type="dxa"/>
            </w:tcMar>
            <w:vAlign w:val="center"/>
          </w:tcPr>
          <w:p>
            <w:pPr>
              <w:pStyle w:val="TableContents"/>
              <w:spacing w:before="0" w:after="283"/>
              <w:rPr/>
            </w:pPr>
            <w:r>
              <w:rPr/>
              <w:t> </w:t>
            </w:r>
          </w:p>
        </w:tc>
        <w:tc>
          <w:tcPr>
            <w:tcW w:w="955" w:type="dxa"/>
            <w:tcBorders>
              <w:top w:val="single" w:sz="6" w:space="0" w:color="000000"/>
              <w:bottom w:val="single" w:sz="6" w:space="0" w:color="000000"/>
            </w:tcBorders>
            <w:shd w:fill="auto" w:val="clear"/>
            <w:tcMar>
              <w:top w:w="28" w:type="dxa"/>
              <w:bottom w:w="28" w:type="dxa"/>
            </w:tcMar>
            <w:vAlign w:val="center"/>
          </w:tcPr>
          <w:p>
            <w:pPr>
              <w:pStyle w:val="TableContents"/>
              <w:spacing w:before="0" w:after="283"/>
              <w:jc w:val="right"/>
              <w:rPr/>
            </w:pPr>
            <w:r>
              <w:rPr/>
              <w:t>7,500</w:t>
            </w:r>
          </w:p>
        </w:tc>
        <w:tc>
          <w:tcPr>
            <w:tcW w:w="74" w:type="dxa"/>
            <w:tcBorders>
              <w:top w:val="single" w:sz="6" w:space="0" w:color="000000"/>
              <w:bottom w:val="single" w:sz="6" w:space="0" w:color="000000"/>
              <w:right w:val="single" w:sz="6" w:space="0" w:color="000000"/>
            </w:tcBorders>
            <w:shd w:fill="auto" w:val="clear"/>
            <w:tcMar>
              <w:top w:w="28" w:type="dxa"/>
              <w:bottom w:w="28" w:type="dxa"/>
              <w:right w:w="28" w:type="dxa"/>
            </w:tcMar>
            <w:vAlign w:val="center"/>
          </w:tcPr>
          <w:p>
            <w:pPr>
              <w:pStyle w:val="TableContents"/>
              <w:spacing w:before="0" w:after="283"/>
              <w:rPr/>
            </w:pPr>
            <w:r>
              <w:rPr/>
              <w:t> </w:t>
            </w:r>
          </w:p>
        </w:tc>
        <w:tc>
          <w:tcPr>
            <w:tcW w:w="149" w:type="dxa"/>
            <w:tcBorders>
              <w:top w:val="single" w:sz="6" w:space="0" w:color="000000"/>
              <w:left w:val="single" w:sz="6" w:space="0" w:color="000000"/>
              <w:bottom w:val="single" w:sz="6" w:space="0" w:color="000000"/>
            </w:tcBorders>
            <w:shd w:fill="auto" w:val="clear"/>
            <w:tcMar>
              <w:top w:w="28" w:type="dxa"/>
              <w:left w:w="28" w:type="dxa"/>
              <w:bottom w:w="28" w:type="dxa"/>
            </w:tcMar>
            <w:vAlign w:val="center"/>
          </w:tcPr>
          <w:p>
            <w:pPr>
              <w:pStyle w:val="TableContents"/>
              <w:spacing w:before="0" w:after="283"/>
              <w:rPr/>
            </w:pPr>
            <w:r>
              <w:rPr/>
              <w:t>  </w:t>
            </w:r>
          </w:p>
        </w:tc>
        <w:tc>
          <w:tcPr>
            <w:tcW w:w="74" w:type="dxa"/>
            <w:tcBorders>
              <w:top w:val="single" w:sz="6" w:space="0" w:color="000000"/>
              <w:bottom w:val="single" w:sz="6" w:space="0" w:color="000000"/>
            </w:tcBorders>
            <w:shd w:fill="auto" w:val="clear"/>
            <w:tcMar>
              <w:top w:w="28" w:type="dxa"/>
              <w:bottom w:w="28" w:type="dxa"/>
            </w:tcMar>
            <w:vAlign w:val="center"/>
          </w:tcPr>
          <w:p>
            <w:pPr>
              <w:pStyle w:val="TableContents"/>
              <w:spacing w:before="0" w:after="283"/>
              <w:rPr/>
            </w:pPr>
            <w:r>
              <w:rPr/>
              <w:t> </w:t>
            </w:r>
          </w:p>
        </w:tc>
        <w:tc>
          <w:tcPr>
            <w:tcW w:w="1005" w:type="dxa"/>
            <w:tcBorders>
              <w:top w:val="single" w:sz="6" w:space="0" w:color="000000"/>
              <w:bottom w:val="single" w:sz="6" w:space="0" w:color="000000"/>
            </w:tcBorders>
            <w:shd w:fill="auto" w:val="clear"/>
            <w:tcMar>
              <w:top w:w="28" w:type="dxa"/>
              <w:bottom w:w="28" w:type="dxa"/>
            </w:tcMar>
            <w:vAlign w:val="center"/>
          </w:tcPr>
          <w:p>
            <w:pPr>
              <w:pStyle w:val="TableContents"/>
              <w:spacing w:before="0" w:after="283"/>
              <w:jc w:val="right"/>
              <w:rPr/>
            </w:pPr>
            <w:r>
              <w:rPr/>
              <w:t>15,000</w:t>
            </w:r>
          </w:p>
        </w:tc>
        <w:tc>
          <w:tcPr>
            <w:tcW w:w="70" w:type="dxa"/>
            <w:tcBorders>
              <w:top w:val="single" w:sz="6" w:space="0" w:color="000000"/>
              <w:bottom w:val="single" w:sz="6" w:space="0" w:color="000000"/>
              <w:right w:val="single" w:sz="6" w:space="0" w:color="000000"/>
            </w:tcBorders>
            <w:shd w:fill="auto" w:val="clear"/>
            <w:tcMar>
              <w:top w:w="28" w:type="dxa"/>
              <w:bottom w:w="28" w:type="dxa"/>
              <w:right w:w="28" w:type="dxa"/>
            </w:tcMar>
            <w:vAlign w:val="center"/>
          </w:tcPr>
          <w:p>
            <w:pPr>
              <w:pStyle w:val="TableContents"/>
              <w:spacing w:before="0" w:after="283"/>
              <w:rPr/>
            </w:pPr>
            <w:r>
              <w:rPr/>
              <w:t> </w:t>
            </w:r>
          </w:p>
        </w:tc>
        <w:tc>
          <w:tcPr>
            <w:tcW w:w="142" w:type="dxa"/>
            <w:tcBorders>
              <w:top w:val="single" w:sz="6" w:space="0" w:color="000000"/>
              <w:left w:val="single" w:sz="6" w:space="0" w:color="000000"/>
              <w:bottom w:val="single" w:sz="6" w:space="0" w:color="000000"/>
            </w:tcBorders>
            <w:shd w:fill="auto" w:val="clear"/>
            <w:tcMar>
              <w:top w:w="28" w:type="dxa"/>
              <w:left w:w="28" w:type="dxa"/>
              <w:bottom w:w="28" w:type="dxa"/>
            </w:tcMar>
            <w:vAlign w:val="center"/>
          </w:tcPr>
          <w:p>
            <w:pPr>
              <w:pStyle w:val="TableContents"/>
              <w:spacing w:before="0" w:after="283"/>
              <w:rPr/>
            </w:pPr>
            <w:r>
              <w:rPr/>
              <w:t>  </w:t>
            </w:r>
          </w:p>
        </w:tc>
        <w:tc>
          <w:tcPr>
            <w:tcW w:w="82" w:type="dxa"/>
            <w:tcBorders>
              <w:top w:val="single" w:sz="6" w:space="0" w:color="000000"/>
              <w:bottom w:val="single" w:sz="6" w:space="0" w:color="000000"/>
            </w:tcBorders>
            <w:shd w:fill="auto" w:val="clear"/>
            <w:tcMar>
              <w:top w:w="28" w:type="dxa"/>
              <w:bottom w:w="28" w:type="dxa"/>
            </w:tcMar>
            <w:vAlign w:val="center"/>
          </w:tcPr>
          <w:p>
            <w:pPr>
              <w:pStyle w:val="TableContents"/>
              <w:spacing w:before="0" w:after="283"/>
              <w:rPr/>
            </w:pPr>
            <w:r>
              <w:rPr/>
              <w:t> </w:t>
            </w:r>
          </w:p>
        </w:tc>
        <w:tc>
          <w:tcPr>
            <w:tcW w:w="955" w:type="dxa"/>
            <w:tcBorders>
              <w:top w:val="single" w:sz="6" w:space="0" w:color="000000"/>
              <w:bottom w:val="single" w:sz="6" w:space="0" w:color="000000"/>
            </w:tcBorders>
            <w:shd w:fill="auto" w:val="clear"/>
            <w:tcMar>
              <w:top w:w="28" w:type="dxa"/>
              <w:bottom w:w="28" w:type="dxa"/>
            </w:tcMar>
            <w:vAlign w:val="center"/>
          </w:tcPr>
          <w:p>
            <w:pPr>
              <w:pStyle w:val="TableContents"/>
              <w:spacing w:before="0" w:after="283"/>
              <w:jc w:val="right"/>
              <w:rPr/>
            </w:pPr>
            <w:r>
              <w:rPr/>
              <w:t>N/A</w:t>
            </w:r>
          </w:p>
        </w:tc>
        <w:tc>
          <w:tcPr>
            <w:tcW w:w="70" w:type="dxa"/>
            <w:tcBorders>
              <w:top w:val="single" w:sz="6" w:space="0" w:color="000000"/>
              <w:bottom w:val="single" w:sz="6" w:space="0" w:color="000000"/>
              <w:right w:val="single" w:sz="6" w:space="0" w:color="000000"/>
            </w:tcBorders>
            <w:shd w:fill="auto" w:val="clear"/>
            <w:tcMar>
              <w:top w:w="28" w:type="dxa"/>
              <w:bottom w:w="28" w:type="dxa"/>
              <w:right w:w="28" w:type="dxa"/>
            </w:tcMar>
            <w:vAlign w:val="center"/>
          </w:tcPr>
          <w:p>
            <w:pPr>
              <w:pStyle w:val="TableContents"/>
              <w:spacing w:before="0" w:after="283"/>
              <w:rPr/>
            </w:pPr>
            <w:r>
              <w:rPr/>
              <w:t> </w:t>
            </w:r>
          </w:p>
        </w:tc>
        <w:tc>
          <w:tcPr>
            <w:tcW w:w="142" w:type="dxa"/>
            <w:tcBorders>
              <w:top w:val="single" w:sz="6" w:space="0" w:color="000000"/>
              <w:left w:val="single" w:sz="6" w:space="0" w:color="000000"/>
              <w:bottom w:val="single" w:sz="6" w:space="0" w:color="000000"/>
            </w:tcBorders>
            <w:shd w:fill="auto" w:val="clear"/>
            <w:tcMar>
              <w:top w:w="28" w:type="dxa"/>
              <w:left w:w="28" w:type="dxa"/>
              <w:bottom w:w="28" w:type="dxa"/>
            </w:tcMar>
            <w:vAlign w:val="center"/>
          </w:tcPr>
          <w:p>
            <w:pPr>
              <w:pStyle w:val="TableContents"/>
              <w:spacing w:before="0" w:after="283"/>
              <w:rPr/>
            </w:pPr>
            <w:r>
              <w:rPr/>
              <w:t>  </w:t>
            </w:r>
          </w:p>
        </w:tc>
        <w:tc>
          <w:tcPr>
            <w:tcW w:w="70" w:type="dxa"/>
            <w:tcBorders>
              <w:top w:val="single" w:sz="6" w:space="0" w:color="000000"/>
              <w:bottom w:val="single" w:sz="6" w:space="0" w:color="000000"/>
            </w:tcBorders>
            <w:shd w:fill="auto" w:val="clear"/>
            <w:tcMar>
              <w:top w:w="28" w:type="dxa"/>
              <w:bottom w:w="28" w:type="dxa"/>
            </w:tcMar>
            <w:vAlign w:val="center"/>
          </w:tcPr>
          <w:p>
            <w:pPr>
              <w:pStyle w:val="TableContents"/>
              <w:spacing w:before="0" w:after="283"/>
              <w:rPr/>
            </w:pPr>
            <w:r>
              <w:rPr/>
              <w:t> </w:t>
            </w:r>
          </w:p>
        </w:tc>
        <w:tc>
          <w:tcPr>
            <w:tcW w:w="807" w:type="dxa"/>
            <w:tcBorders>
              <w:top w:val="single" w:sz="6" w:space="0" w:color="000000"/>
              <w:bottom w:val="single" w:sz="6" w:space="0" w:color="000000"/>
            </w:tcBorders>
            <w:shd w:fill="auto" w:val="clear"/>
            <w:tcMar>
              <w:top w:w="28" w:type="dxa"/>
              <w:bottom w:w="28" w:type="dxa"/>
            </w:tcMar>
            <w:vAlign w:val="center"/>
          </w:tcPr>
          <w:p>
            <w:pPr>
              <w:pStyle w:val="TableContents"/>
              <w:spacing w:before="0" w:after="283"/>
              <w:jc w:val="right"/>
              <w:rPr/>
            </w:pPr>
            <w:r>
              <w:rPr/>
              <w:t>N/A</w:t>
            </w:r>
          </w:p>
        </w:tc>
        <w:tc>
          <w:tcPr>
            <w:tcW w:w="229" w:type="dxa"/>
            <w:tcBorders>
              <w:top w:val="single" w:sz="6" w:space="0" w:color="000000"/>
              <w:bottom w:val="single" w:sz="6" w:space="0" w:color="000000"/>
              <w:right w:val="single" w:sz="6" w:space="0" w:color="000000"/>
            </w:tcBorders>
            <w:shd w:fill="auto" w:val="clear"/>
            <w:tcMar>
              <w:top w:w="28" w:type="dxa"/>
              <w:bottom w:w="28" w:type="dxa"/>
              <w:right w:w="40" w:type="dxa"/>
            </w:tcMar>
            <w:vAlign w:val="center"/>
          </w:tcPr>
          <w:p>
            <w:pPr>
              <w:pStyle w:val="TableContents"/>
              <w:spacing w:before="0" w:after="283"/>
              <w:rPr/>
            </w:pPr>
            <w:r>
              <w:rPr/>
              <w:t> </w:t>
            </w:r>
          </w:p>
        </w:tc>
      </w:tr>
      <w:tr>
        <w:trPr/>
        <w:tc>
          <w:tcPr>
            <w:tcW w:w="9976" w:type="dxa"/>
            <w:gridSpan w:val="22"/>
            <w:tcBorders/>
            <w:shd w:fill="auto" w:val="clear"/>
            <w:vAlign w:val="center"/>
          </w:tcPr>
          <w:p>
            <w:pPr>
              <w:pStyle w:val="TableContents"/>
              <w:spacing w:before="0" w:after="0"/>
              <w:rPr/>
            </w:pPr>
            <w:r>
              <w:rPr/>
              <w:t> </w:t>
            </w:r>
          </w:p>
          <w:p>
            <w:pPr>
              <w:pStyle w:val="TableContents"/>
              <w:spacing w:before="0" w:after="0"/>
              <w:rPr>
                <w:rFonts w:ascii="ARIAL" w:hAnsi="ARIAL"/>
                <w:sz w:val="16"/>
              </w:rPr>
            </w:pPr>
            <w:r>
              <w:rPr>
                <w:rFonts w:ascii="ARIAL" w:hAnsi="ARIAL"/>
                <w:sz w:val="16"/>
              </w:rPr>
              <w:t>(1) Mr. Hingtgen was serving as the Company’s President and Chief Operating Officer on the grant date for the 2020-2022 performance-based restricted stock awards.</w:t>
            </w:r>
          </w:p>
          <w:p>
            <w:pPr>
              <w:pStyle w:val="TableContents"/>
              <w:spacing w:before="0" w:after="0"/>
              <w:rPr/>
            </w:pPr>
            <w:r>
              <w:rPr/>
              <w:t> </w:t>
            </w:r>
          </w:p>
          <w:p>
            <w:pPr>
              <w:pStyle w:val="TableContents"/>
              <w:spacing w:before="0" w:after="20"/>
              <w:rPr>
                <w:rFonts w:ascii="ARIAL" w:hAnsi="ARIAL"/>
                <w:sz w:val="16"/>
              </w:rPr>
            </w:pPr>
            <w:r>
              <w:rPr>
                <w:rFonts w:ascii="ARIAL" w:hAnsi="ARIAL"/>
                <w:sz w:val="16"/>
              </w:rPr>
              <w:t>(2) Mr. Smith was serving as the Company’s Chairman and Chief Executive Officer on the grant date for the 2020-2022 performance-based restricted stock awards.</w:t>
            </w:r>
          </w:p>
        </w:tc>
        <w:tc>
          <w:tcPr>
            <w:tcW w:w="229" w:type="dxa"/>
            <w:tcBorders/>
            <w:shd w:fill="auto" w:val="clear"/>
            <w:vAlign w:val="center"/>
          </w:tcPr>
          <w:p>
            <w:pPr>
              <w:pStyle w:val="TableContents"/>
              <w:spacing w:before="0" w:after="0"/>
              <w:rPr/>
            </w:pPr>
            <w:r>
              <w:rPr/>
              <w:t>  </w:t>
            </w:r>
          </w:p>
          <w:p>
            <w:pPr>
              <w:pStyle w:val="TableContents"/>
              <w:spacing w:before="0" w:after="0"/>
              <w:rPr/>
            </w:pPr>
            <w:r>
              <w:rPr/>
              <w:t>  </w:t>
            </w:r>
          </w:p>
        </w:tc>
      </w:tr>
    </w:tbl>
    <w:p>
      <w:pPr>
        <w:pStyle w:val="TextBody"/>
        <w:spacing w:before="240" w:after="0"/>
        <w:jc w:val="left"/>
        <w:rPr>
          <w:rFonts w:ascii="ARIAL" w:hAnsi="ARIAL"/>
          <w:b/>
          <w:i/>
          <w:sz w:val="20"/>
        </w:rPr>
      </w:pPr>
      <w:r>
        <w:rPr>
          <w:rFonts w:ascii="ARIAL" w:hAnsi="ARIAL"/>
          <w:b/>
          <w:i/>
          <w:sz w:val="20"/>
        </w:rPr>
        <w:t xml:space="preserve">Benefits </w:t>
      </w:r>
    </w:p>
    <w:p>
      <w:pPr>
        <w:pStyle w:val="TextBody"/>
        <w:spacing w:before="240" w:after="0"/>
        <w:jc w:val="left"/>
        <w:rPr>
          <w:rFonts w:ascii="ARIAL" w:hAnsi="ARIAL"/>
          <w:sz w:val="20"/>
        </w:rPr>
      </w:pPr>
      <w:r>
        <w:rPr>
          <w:rFonts w:ascii="ARIAL" w:hAnsi="ARIAL"/>
          <w:sz w:val="20"/>
        </w:rPr>
        <w:t xml:space="preserve">The Company’s named executive officers are each eligible to participate in the Company’s customary qualified benefit plans for health, dental, vision, life insurance, long-term disability and retirement savings (401(k)). The named executive officers are eligible to participate in these plans on the same basis (i.e., benefits, premium amounts and co-payment deductibles) as all other full-time employees of the Company. The Company’s named executive officers also participate in or receive the additional benefits described below, which we believe are competitive with the benefits provided to executives of other companies. </w:t>
      </w:r>
    </w:p>
    <w:p>
      <w:pPr>
        <w:pStyle w:val="TextBody"/>
        <w:spacing w:before="240" w:after="0"/>
        <w:jc w:val="left"/>
        <w:rPr>
          <w:rFonts w:ascii="ARIAL" w:hAnsi="ARIAL"/>
          <w:b/>
          <w:i/>
          <w:sz w:val="20"/>
        </w:rPr>
      </w:pPr>
      <w:r>
        <w:rPr>
          <w:rFonts w:ascii="ARIAL" w:hAnsi="ARIAL"/>
          <w:b/>
          <w:i/>
          <w:sz w:val="20"/>
        </w:rPr>
        <w:t xml:space="preserve">Retirement and Deferred Compensation Benefits </w:t>
      </w:r>
    </w:p>
    <w:p>
      <w:pPr>
        <w:pStyle w:val="TextBody"/>
        <w:spacing w:before="240" w:after="0"/>
        <w:jc w:val="left"/>
        <w:rPr>
          <w:rFonts w:ascii="ARIAL" w:hAnsi="ARIAL"/>
          <w:sz w:val="20"/>
        </w:rPr>
      </w:pPr>
      <w:r>
        <w:rPr>
          <w:rFonts w:ascii="ARIAL" w:hAnsi="ARIAL"/>
          <w:sz w:val="20"/>
        </w:rPr>
        <w:t xml:space="preserve">The Company’s named executive officers also participate in executive compensation arrangements available only to specified officers of the Company and certain key employees of its subsidiaries. The plans in which our named executive officers participate include the Supplemental Executive Retirement Plan, as amended and restated January 1, 2009 (the “Original SERP”), the Supplemental 401(k) Plan and the Deferred Compensation Plan, each of which is a non-qualified plan under the Internal Revenue Code (the “IRC”). In addition, each of the named executive officers, other than Mr. Smith, currently participate in a Supplemental Executive Retirement Plan, that was effective January 1, 2018 (the “2018 SERP” and, collectively, with the Original SERP, the “SERPs”). The benefits under these plans are made available to the named executive officers to encourage and reward their continued service through their most productive years. </w:t>
      </w:r>
    </w:p>
    <w:p>
      <w:pPr>
        <w:pStyle w:val="TextBody"/>
        <w:spacing w:before="240" w:after="0"/>
        <w:jc w:val="left"/>
        <w:rPr>
          <w:rFonts w:ascii="ARIAL" w:hAnsi="ARIAL"/>
          <w:sz w:val="20"/>
        </w:rPr>
      </w:pPr>
      <w:r>
        <w:rPr>
          <w:rFonts w:ascii="ARIAL" w:hAnsi="ARIAL"/>
          <w:sz w:val="20"/>
        </w:rPr>
        <w:t xml:space="preserve">We believe that the provision of a retirement benefit is necessary to remain competitive with the Company’s peer group and is thus an important element for the recruitment and retention of valuable executive talent. Effective January 1, 2003, while the Company’s stock ownership and the Board of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56 </w:t>
      </w:r>
      <w:r>
        <w:br w:type="page"/>
      </w:r>
    </w:p>
    <w:p>
      <w:pPr>
        <w:pStyle w:val="HorizontalLine"/>
        <w:rPr/>
      </w:pPr>
      <w:r>
        <w:rPr/>
      </w:r>
    </w:p>
    <w:p>
      <w:pPr>
        <w:pStyle w:val="TextBody"/>
        <w:spacing w:before="0" w:after="0"/>
        <w:jc w:val="left"/>
        <w:rPr>
          <w:rFonts w:ascii="ARIAL" w:hAnsi="ARIAL"/>
          <w:sz w:val="20"/>
        </w:rPr>
      </w:pPr>
      <w:r>
        <w:rPr>
          <w:rFonts w:ascii="ARIAL" w:hAnsi="ARIAL"/>
          <w:sz w:val="20"/>
        </w:rPr>
        <w:t xml:space="preserve">Directors were controlled by affiliates of Forstmann Little &amp; Co., the Company adopted the Original SERP for the benefit of our officers and key employees of our subsidiaries. The 2018 SERP was adopted by the Company’s Board effective January 1, 2018. The SERPs are non-contributory non-qualified defined benefit plans that provide for the payment of benefits from the general funds of the Company. The Compensation Committee of our Board administers these plans and all determinations and decisions made by the Compensation Committee are final, conclusive and binding upon all participants. In particular, the defined benefit provided under the SERPs is intended to supplement the incentives provided by the other elements of the executive compensation program, for which the maximum provision of benefits is limited to three years. </w:t>
      </w:r>
    </w:p>
    <w:p>
      <w:pPr>
        <w:pStyle w:val="TextBody"/>
        <w:spacing w:before="240" w:after="0"/>
        <w:jc w:val="left"/>
        <w:rPr>
          <w:rFonts w:ascii="ARIAL" w:hAnsi="ARIAL"/>
          <w:sz w:val="20"/>
        </w:rPr>
      </w:pPr>
      <w:r>
        <w:rPr>
          <w:rFonts w:ascii="ARIAL" w:hAnsi="ARIAL"/>
          <w:sz w:val="20"/>
        </w:rPr>
        <w:t xml:space="preserve">The SERPs generally provide that, when a participant retires after his or her normal retirement date (age 65), he or she will be entitled to receive a single lump-sum payment based on the actuarially-determined monthly income payment based on a monthly calculation of (i) the participant’s Annual Retirement Benefit, reduced by (ii) the participant’s monthly amount of Social Security old age and survivor disability insurance benefits payable to the participant commencing at his or her unreduced Social Security retirement age (the “Social Security Benefit”). </w:t>
      </w:r>
    </w:p>
    <w:p>
      <w:pPr>
        <w:pStyle w:val="TextBody"/>
        <w:spacing w:before="240" w:after="0"/>
        <w:jc w:val="left"/>
        <w:rPr>
          <w:rFonts w:ascii="ARIAL" w:hAnsi="ARIAL"/>
          <w:sz w:val="20"/>
        </w:rPr>
      </w:pPr>
      <w:r>
        <w:rPr>
          <w:rFonts w:ascii="ARIAL" w:hAnsi="ARIAL"/>
          <w:sz w:val="20"/>
        </w:rPr>
        <w:t xml:space="preserve">For this purpose, in the Original SERP, the “Annual Retirement Benefit” means an amount equal to the sum of the participant’s compensation for the highest three years out of the last five full years of service preceding the participant’s termination of employment, divided by three, then multiplied by the lesser of (i) 60% or (ii) a percentage equal to 2% multiplied by the participant’s years of service. Employees who have attained age 55 with at least 5 years of service and who retire prior to the normal retirement date or with fewer than 30 years of service receive a reduced benefit. In the 2018 SERP, the “Annual Retirement Benefit” is calculated using the highest three years of the last ten full years of service preceding the participant’s termination of employment (rather than the last five full years as in the Original SERP). In all other respects, the “Annual Retirement Benefit” is calculated in the same manner under both the Original SERP and the 2018 SERP. All participants in the 2018 SERP are also participants in the Original SERP. Upon their retirement, their benefit is calculated under the Original SERP and the 2018 SERP. Participants receive their benefit under the Original SERP. If the calculation under the 2018 SERP would yield any additional benefit, the difference is paid under the 2018 SERP. </w:t>
      </w:r>
    </w:p>
    <w:p>
      <w:pPr>
        <w:pStyle w:val="TextBody"/>
        <w:spacing w:before="240" w:after="0"/>
        <w:jc w:val="left"/>
        <w:rPr>
          <w:rFonts w:ascii="ARIAL" w:hAnsi="ARIAL"/>
          <w:sz w:val="20"/>
        </w:rPr>
      </w:pPr>
      <w:r>
        <w:rPr>
          <w:rFonts w:ascii="ARIAL" w:hAnsi="ARIAL"/>
          <w:sz w:val="20"/>
        </w:rPr>
        <w:t xml:space="preserve">Generally, our named executive officers receive one year of credited service for each year of actual service. In March 2004, the then Compensation Committee of the Board of Directors, in an effort to achieve peer pay equality using a mechanism that would also maximize retention, caused the Original SERP to be amended to credit Mr. Smith with two years of service for each year of actual service. This change occurred at a time when the Company was controlled by affiliates of Forstmann Little &amp; Co. (through the ownership of greater than 46,000,000 shares of the Company’s Common Stock) and all members of the Board and the Compensation Committee were nominated by Forstmann Little &amp; Co. None of the Forstmann Little &amp; Co. affiliates continued to serve on the Board of Directors or its committees following the sale of their position in the Company during 2004. In 2008, the Compensation Committee and the Board voted to amend the Original SERP to terminate this practice after 25 years of service had been credited. After reaching 25 years of credited service, Mr. Smith received one year of credited service for each year of actual service. Mr. Smith, having reached his maximum number of 30 years of credited service, elected in accordance with the plan provisions to have his benefit frozen, effective in July 2014, with future increases for interest earned based on the 24-month average yield on 10-Year Treasury Bonds. Mr. Smith earned no additional service credit after that time. </w:t>
      </w:r>
    </w:p>
    <w:p>
      <w:pPr>
        <w:pStyle w:val="TextBody"/>
        <w:spacing w:before="240" w:after="0"/>
        <w:jc w:val="left"/>
        <w:rPr>
          <w:rFonts w:ascii="ARIAL" w:hAnsi="ARIAL"/>
          <w:sz w:val="20"/>
        </w:rPr>
      </w:pPr>
      <w:r>
        <w:rPr>
          <w:rFonts w:ascii="ARIAL" w:hAnsi="ARIAL"/>
          <w:sz w:val="20"/>
        </w:rPr>
        <w:t xml:space="preserve">In the event of a change in control of the Company, all participants who have been credited with five or more years of service will be credited with an additional three years of service (not to exceed the maximum of 30 years of service) for purposes of determining the benefit. In addition, the benefit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57 </w:t>
      </w:r>
      <w:r>
        <w:br w:type="page"/>
      </w:r>
    </w:p>
    <w:p>
      <w:pPr>
        <w:pStyle w:val="HorizontalLine"/>
        <w:rPr/>
      </w:pPr>
      <w:r>
        <w:rPr/>
      </w:r>
    </w:p>
    <w:p>
      <w:pPr>
        <w:pStyle w:val="TextBody"/>
        <w:spacing w:before="0" w:after="0"/>
        <w:jc w:val="left"/>
        <w:rPr>
          <w:rFonts w:ascii="ARIAL" w:hAnsi="ARIAL"/>
          <w:sz w:val="20"/>
        </w:rPr>
      </w:pPr>
      <w:r>
        <w:rPr>
          <w:rFonts w:ascii="ARIAL" w:hAnsi="ARIAL"/>
          <w:sz w:val="20"/>
        </w:rPr>
        <w:t xml:space="preserve">accrued by any such participant will become fully vested and be paid out as soon as administratively feasible in a single lump sum payment following such change in control. Upon such payment to all participants, the SERPs will terminate. </w:t>
      </w:r>
    </w:p>
    <w:p>
      <w:pPr>
        <w:pStyle w:val="TextBody"/>
        <w:spacing w:before="240" w:after="0"/>
        <w:jc w:val="left"/>
        <w:rPr>
          <w:rFonts w:ascii="ARIAL" w:hAnsi="ARIAL"/>
          <w:sz w:val="20"/>
        </w:rPr>
      </w:pPr>
      <w:r>
        <w:rPr>
          <w:rFonts w:ascii="ARIAL" w:hAnsi="ARIAL"/>
          <w:sz w:val="20"/>
        </w:rPr>
        <w:t xml:space="preserve">The Company’s named executive officers are also eligible to participate in and contribute to the Company’s non-qualified Deferred Compensation Plan. Employees’ voluntary contributions to this plan are tax deferred, but are subject to the claims of the general creditors of the Company. A separate supplemental 401(k) plan also exists, but employees are no longer eligible to contribute additional amounts to the non-qualified Supplemental 401(k) Plan. The individual asset balances remaining in this plan are eligible for investment earnings to the named executive officers and employees. These plans do not play a significant role in the Company’s executive compensation program. Since 2009, no Company contributions have been made to the Deferred Compensation Plan and the named executive officers are limited to the matching provisions of the tax-qualified 401(k) plan. </w:t>
      </w:r>
    </w:p>
    <w:p>
      <w:pPr>
        <w:pStyle w:val="TextBody"/>
        <w:spacing w:before="240" w:after="0"/>
        <w:jc w:val="left"/>
        <w:rPr>
          <w:rFonts w:ascii="ARIAL" w:hAnsi="ARIAL"/>
          <w:b/>
          <w:i/>
          <w:sz w:val="20"/>
        </w:rPr>
      </w:pPr>
      <w:r>
        <w:rPr>
          <w:rFonts w:ascii="ARIAL" w:hAnsi="ARIAL"/>
          <w:b/>
          <w:i/>
          <w:sz w:val="20"/>
        </w:rPr>
        <w:t xml:space="preserve">Perquisites </w:t>
      </w:r>
    </w:p>
    <w:p>
      <w:pPr>
        <w:pStyle w:val="TextBody"/>
        <w:spacing w:before="240" w:after="0"/>
        <w:jc w:val="left"/>
        <w:rPr>
          <w:rFonts w:ascii="ARIAL" w:hAnsi="ARIAL"/>
          <w:sz w:val="20"/>
        </w:rPr>
      </w:pPr>
      <w:r>
        <w:rPr>
          <w:rFonts w:ascii="ARIAL" w:hAnsi="ARIAL"/>
          <w:sz w:val="20"/>
        </w:rPr>
        <w:t xml:space="preserve">The Company provides limited perquisites to its named executive officers and operates under the belief that benefits of a personal nature or those which are not available to the other employees of the Company should generally be funded from the executives’ personal funds. The Company believes that the supplemental benefits that it does provide to the named executive officers are reasonable when compared to the peer group and other similarly-sized companies and are appropriate additional items of compensation for these individuals. </w:t>
      </w:r>
    </w:p>
    <w:p>
      <w:pPr>
        <w:pStyle w:val="TextBody"/>
        <w:spacing w:before="240" w:after="0"/>
        <w:jc w:val="left"/>
        <w:rPr>
          <w:rFonts w:ascii="ARIAL" w:hAnsi="ARIAL"/>
          <w:sz w:val="20"/>
        </w:rPr>
      </w:pPr>
      <w:r>
        <w:rPr>
          <w:rFonts w:ascii="ARIAL" w:hAnsi="ARIAL"/>
          <w:sz w:val="20"/>
        </w:rPr>
        <w:t xml:space="preserve">Group-term life insurance is provided for each of the named executive officers and other executives of the Company in an amount equal to the lesser of up to four times the individual’s base salary or $2,000,000. </w:t>
      </w:r>
    </w:p>
    <w:p>
      <w:pPr>
        <w:pStyle w:val="TextBody"/>
        <w:spacing w:before="240" w:after="0"/>
        <w:jc w:val="left"/>
        <w:rPr>
          <w:rFonts w:ascii="ARIAL" w:hAnsi="ARIAL"/>
          <w:sz w:val="20"/>
        </w:rPr>
      </w:pPr>
      <w:r>
        <w:rPr>
          <w:rFonts w:ascii="ARIAL" w:hAnsi="ARIAL"/>
          <w:sz w:val="20"/>
        </w:rPr>
        <w:t xml:space="preserve">The Company operates aircraft to facilitate the operation and management of its business. The Board has adopted a policy that requires the Chief Executive Officer to use the Company’s aircraft for both his business and personal travel. From time to time, the other named executive officers are also permitted to use the Company’s aircraft for their personal use. The incremental cost of personal air travel attributable to each named executive officer’s personal aircraft usage, to the extent applicable (if any) is included in the Summary Compensation table below. In addition, named executive officers are taxed on the income attributable to their personal use of company aircraft based on Internal Revenue Service guidelines and are not grossed up by the Company. </w:t>
      </w:r>
    </w:p>
    <w:p>
      <w:pPr>
        <w:pStyle w:val="TextBody"/>
        <w:spacing w:before="240" w:after="0"/>
        <w:jc w:val="left"/>
        <w:rPr>
          <w:rFonts w:ascii="ARIAL" w:hAnsi="ARIAL"/>
          <w:b/>
          <w:i/>
          <w:sz w:val="20"/>
        </w:rPr>
      </w:pPr>
      <w:r>
        <w:rPr>
          <w:rFonts w:ascii="ARIAL" w:hAnsi="ARIAL"/>
          <w:b/>
          <w:i/>
          <w:sz w:val="20"/>
        </w:rPr>
        <w:t xml:space="preserve">Change in Control Severance Agreements </w:t>
      </w:r>
    </w:p>
    <w:p>
      <w:pPr>
        <w:pStyle w:val="TextBody"/>
        <w:spacing w:before="240" w:after="0"/>
        <w:jc w:val="left"/>
        <w:rPr>
          <w:rFonts w:ascii="ARIAL" w:hAnsi="ARIAL"/>
          <w:sz w:val="20"/>
        </w:rPr>
      </w:pPr>
      <w:r>
        <w:rPr>
          <w:rFonts w:ascii="ARIAL" w:hAnsi="ARIAL"/>
          <w:sz w:val="20"/>
        </w:rPr>
        <w:t xml:space="preserve">None of the Company’s executive officers have a written employment agreement with the Company or any of its subsidiaries. Since 2007, each officer of the Company, including each of the named executive officers (collectively, the “Covered Executives”), has been a party to a change in control severance agreement (a “CIC Agreement”) with the Company. The CIC Agreements are considered “double trigger” agreements and require both the occurrence of a change in control of the Company </w:t>
      </w:r>
      <w:r>
        <w:rPr>
          <w:rFonts w:ascii="ARIAL" w:hAnsi="ARIAL"/>
          <w:i/>
          <w:sz w:val="20"/>
          <w:u w:val="single"/>
        </w:rPr>
        <w:t>and</w:t>
      </w:r>
      <w:r>
        <w:rPr>
          <w:rFonts w:ascii="ARIAL" w:hAnsi="ARIAL"/>
          <w:sz w:val="20"/>
        </w:rPr>
        <w:t xml:space="preserve"> a qualifying termination of employment for any cash severance benefits to become payable. The CIC Agreements provide for certain compensation and benefits in the event of termination of a Covered Executive’s employment during the period following a change in control of the Company (as defined in the CIC Agreements), (A) by the Company without “cause” (as defined in the CIC Agreement), other than as a result of the Covered Executive’s death or disability, within thirty-six (36) months of such change in control or (B) by the Covered Executive, upon the happening of certain “good reason” events within twenty-four (24) months of such change in control, including (i) certain adverse changes in the Covered Executive’s title, position, responsibilities or duties, (ii) a reduction in the Covered Executive’s base salary, (iii) certain changes in the Covered Executive’s principal location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58 </w:t>
      </w:r>
      <w:r>
        <w:br w:type="page"/>
      </w:r>
    </w:p>
    <w:p>
      <w:pPr>
        <w:pStyle w:val="HorizontalLine"/>
        <w:rPr/>
      </w:pPr>
      <w:r>
        <w:rPr/>
      </w:r>
    </w:p>
    <w:p>
      <w:pPr>
        <w:pStyle w:val="TextBody"/>
        <w:spacing w:before="0" w:after="0"/>
        <w:jc w:val="left"/>
        <w:rPr>
          <w:rFonts w:ascii="ARIAL" w:hAnsi="ARIAL"/>
          <w:sz w:val="20"/>
        </w:rPr>
      </w:pPr>
      <w:r>
        <w:rPr>
          <w:rFonts w:ascii="ARIAL" w:hAnsi="ARIAL"/>
          <w:sz w:val="20"/>
        </w:rPr>
        <w:t xml:space="preserve">of work, (iv) the failure of the Company to perform its obligations under or to continue in effect any material compensation or benefit plan, or (v) certain other employer actions that would cause the Covered Executive to lose the benefits of the CIC Agreement. The thirty-six (36) and twenty-four (24) month time periods described in the preceding sentence apply to the CIC Agreements for the Company’s Chief Executive Officer, Chief Financial Officer, Chief Operating Officer, the Presidents, the Executive Vice Presidents, the Regional Presidents and the Senior Vice Presidents. For the CIC Agreements with each Vice President of the Company, the applicable time periods are twenty-four (24) and twelve (12) months, respectively. None of the CIC Agreements entered into with any of our current executive officers include any tax “gross up” provisions. </w:t>
      </w:r>
    </w:p>
    <w:p>
      <w:pPr>
        <w:pStyle w:val="TextBody"/>
        <w:spacing w:before="240" w:after="0"/>
        <w:jc w:val="left"/>
        <w:rPr>
          <w:rFonts w:ascii="ARIAL" w:hAnsi="ARIAL"/>
          <w:sz w:val="20"/>
        </w:rPr>
      </w:pPr>
      <w:r>
        <w:rPr>
          <w:rFonts w:ascii="ARIAL" w:hAnsi="ARIAL"/>
          <w:sz w:val="20"/>
        </w:rPr>
        <w:t xml:space="preserve">Compensation and benefits payable under the CIC Agreements include, in the event of a qualifying termination of employment, a lump sum payment equal to the sum of (a) unpaid base pay, (b) accrued but unused paid vacation or sick pay and unreimbursed business expenses, (c) any other compensation or benefits in accordance with the terms of the Company’s existing plans and programs, (d) a pro rata portion of the incentive bonus that would have been earned by the Covered Executive for the year of termination based on actual performance, and (e) a lump sum equal to the sum of three (3) times (two (2) times, in the case of each Vice President of the Company) the sum of base salary and the greater of (A) the highest incentive bonus earned during any of the three (3) fiscal years prior to the fiscal year in which the Covered Executive’s termination of employment occurs or, if greater, the three fiscal years prior to the fiscal year in which a change in control occurs and (B) the target incentive bonus for the fiscal year in which the Covered Executive’s termination of employment occurs assuming the performance objectives were met in full. The Covered Executives will also be entitled to continuation of certain health and welfare benefits for thirty-six (36) months following termination (twenty-four (24) months in the case of each Vice President) and reimbursement of up to $25,000 for outplacement counseling and related benefits. </w:t>
      </w:r>
    </w:p>
    <w:p>
      <w:pPr>
        <w:pStyle w:val="TextBody"/>
        <w:spacing w:before="240" w:after="0"/>
        <w:jc w:val="left"/>
        <w:rPr>
          <w:rFonts w:ascii="ARIAL" w:hAnsi="ARIAL"/>
          <w:sz w:val="20"/>
        </w:rPr>
      </w:pPr>
      <w:r>
        <w:rPr>
          <w:rFonts w:ascii="ARIAL" w:hAnsi="ARIAL"/>
          <w:sz w:val="20"/>
        </w:rPr>
        <w:t xml:space="preserve">The Company’s executive officers are employees of the Company’s indirect, wholly-owned subsidiary, CHSPSC, LLC, and hold the same elected officer titles with this entity as they do with the Company. </w:t>
      </w:r>
    </w:p>
    <w:p>
      <w:pPr>
        <w:pStyle w:val="TextBody"/>
        <w:spacing w:before="240" w:after="0"/>
        <w:jc w:val="left"/>
        <w:rPr>
          <w:rFonts w:ascii="ARIAL" w:hAnsi="ARIAL"/>
          <w:b/>
          <w:i/>
          <w:sz w:val="20"/>
        </w:rPr>
      </w:pPr>
      <w:r>
        <w:rPr>
          <w:rFonts w:ascii="ARIAL" w:hAnsi="ARIAL"/>
          <w:b/>
          <w:i/>
          <w:sz w:val="20"/>
        </w:rPr>
        <w:t xml:space="preserve">Termination of Service and Severance Arrangements </w:t>
      </w:r>
    </w:p>
    <w:p>
      <w:pPr>
        <w:pStyle w:val="TextBody"/>
        <w:spacing w:before="240" w:after="0"/>
        <w:jc w:val="left"/>
        <w:rPr>
          <w:rFonts w:ascii="ARIAL" w:hAnsi="ARIAL"/>
          <w:sz w:val="20"/>
        </w:rPr>
      </w:pPr>
      <w:r>
        <w:rPr>
          <w:rFonts w:ascii="ARIAL" w:hAnsi="ARIAL"/>
          <w:sz w:val="20"/>
        </w:rPr>
        <w:t xml:space="preserve">The Company’s severance policy provides that the named executive officers are entitled to receive twenty-four (24) months of their base salary upon a qualifying termination (which does not include any “voluntary termination” of a named executive officer, as described in greater detail below under “Potential Payments upon Termination or Change in Control”) under the severance policy. In addition, upon a termination without cause, each of the named executive officers would be entitled to receive a pro-rated portion of their cash incentive compensation for the year of termination (based on actual results, when determined). Upon a qualifying termination, the named executive officers are entitled to continuation health insurance coverage under the Consolidated Omnibus Budget Reconciliation Act by so electing and paying the then active employee premium amount. The period of this benefit is equal to the number of months of severance payment, i.e., twenty-four (24) months for the named executive officers. </w:t>
      </w:r>
    </w:p>
    <w:p>
      <w:pPr>
        <w:pStyle w:val="TextBody"/>
        <w:spacing w:before="240" w:after="0"/>
        <w:jc w:val="left"/>
        <w:rPr>
          <w:rFonts w:ascii="ARIAL" w:hAnsi="ARIAL"/>
          <w:sz w:val="20"/>
        </w:rPr>
      </w:pPr>
      <w:r>
        <w:rPr>
          <w:rFonts w:ascii="ARIAL" w:hAnsi="ARIAL"/>
          <w:sz w:val="20"/>
        </w:rPr>
        <w:t xml:space="preserve">As described in the preceding section, each of the named executive officers is party to a CIC Agreement, which provides for cash severance benefits only upon </w:t>
      </w:r>
      <w:r>
        <w:rPr>
          <w:rFonts w:ascii="ARIAL" w:hAnsi="ARIAL"/>
          <w:sz w:val="20"/>
          <w:u w:val="single"/>
        </w:rPr>
        <w:t>both</w:t>
      </w:r>
      <w:r>
        <w:rPr>
          <w:rFonts w:ascii="ARIAL" w:hAnsi="ARIAL"/>
          <w:sz w:val="20"/>
        </w:rPr>
        <w:t xml:space="preserve"> a change in control of the Company and qualifying termination of employment. In the event that a named executive officer is entitled to receive payment pursuant to his or her CIC Agreement, that named executive officer will not be eligible to participate in the Company’s severance policy. </w:t>
      </w:r>
    </w:p>
    <w:p>
      <w:pPr>
        <w:pStyle w:val="TextBody"/>
        <w:spacing w:before="240" w:after="0"/>
        <w:jc w:val="left"/>
        <w:rPr>
          <w:rFonts w:ascii="ARIAL" w:hAnsi="ARIAL"/>
          <w:sz w:val="20"/>
        </w:rPr>
      </w:pPr>
      <w:r>
        <w:rPr>
          <w:rFonts w:ascii="ARIAL" w:hAnsi="ARIAL"/>
          <w:sz w:val="20"/>
        </w:rPr>
        <w:t xml:space="preserve">In addition to the benefits payable under the life insurance policy or the long-term disability policy described above, in the event a named executive officer dies or is permanently disabled while an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59 </w:t>
      </w:r>
      <w:r>
        <w:br w:type="page"/>
      </w:r>
    </w:p>
    <w:p>
      <w:pPr>
        <w:pStyle w:val="HorizontalLine"/>
        <w:rPr/>
      </w:pPr>
      <w:r>
        <w:rPr/>
      </w:r>
    </w:p>
    <w:p>
      <w:pPr>
        <w:pStyle w:val="TextBody"/>
        <w:spacing w:before="0" w:after="0"/>
        <w:jc w:val="left"/>
        <w:rPr>
          <w:rFonts w:ascii="ARIAL" w:hAnsi="ARIAL"/>
          <w:sz w:val="20"/>
        </w:rPr>
      </w:pPr>
      <w:r>
        <w:rPr>
          <w:rFonts w:ascii="ARIAL" w:hAnsi="ARIAL"/>
          <w:sz w:val="20"/>
        </w:rPr>
        <w:t xml:space="preserve">employee of the Company, vesting is fully accelerated for all grants under the Company’s 2009 Plan, and with respect to performance-based restricted stock awards, any performance restrictions lapse at the target amount. </w:t>
      </w:r>
    </w:p>
    <w:p>
      <w:pPr>
        <w:pStyle w:val="TextBody"/>
        <w:spacing w:before="240" w:after="0"/>
        <w:jc w:val="left"/>
        <w:rPr>
          <w:rFonts w:ascii="ARIAL" w:hAnsi="ARIAL"/>
          <w:b/>
          <w:sz w:val="20"/>
        </w:rPr>
      </w:pPr>
      <w:r>
        <w:rPr>
          <w:rFonts w:ascii="ARIAL" w:hAnsi="ARIAL"/>
          <w:b/>
          <w:sz w:val="20"/>
        </w:rPr>
        <w:t xml:space="preserve">Executive Compensation Policies </w:t>
      </w:r>
    </w:p>
    <w:p>
      <w:pPr>
        <w:pStyle w:val="TextBody"/>
        <w:spacing w:before="240" w:after="0"/>
        <w:jc w:val="left"/>
        <w:rPr>
          <w:rFonts w:ascii="ARIAL" w:hAnsi="ARIAL"/>
          <w:b/>
          <w:i/>
          <w:sz w:val="20"/>
        </w:rPr>
      </w:pPr>
      <w:r>
        <w:rPr>
          <w:rFonts w:ascii="ARIAL" w:hAnsi="ARIAL"/>
          <w:b/>
          <w:i/>
          <w:sz w:val="20"/>
        </w:rPr>
        <w:t xml:space="preserve">Equity Ownership Guidelines </w:t>
      </w:r>
    </w:p>
    <w:p>
      <w:pPr>
        <w:pStyle w:val="TextBody"/>
        <w:spacing w:before="240" w:after="0"/>
        <w:jc w:val="left"/>
        <w:rPr>
          <w:rFonts w:ascii="ARIAL" w:hAnsi="ARIAL"/>
          <w:sz w:val="20"/>
        </w:rPr>
      </w:pPr>
      <w:r>
        <w:rPr>
          <w:rFonts w:ascii="ARIAL" w:hAnsi="ARIAL"/>
          <w:sz w:val="20"/>
        </w:rPr>
        <w:t xml:space="preserve">The Community Health Systems Equity Ownership Guidelines align the interests of its directors and elected officers with the interests of stockholders and promote the Company’s commitment to sound corporate governance. The guidelines apply to the Company’s non-management directors and the following officers, in the indicated multiples of either an officer’s base salary or a non-management director’s annual cash stipend (exclusive of the additional annual stipends paid to the Board Chair, the Lead Director and the chairs of the Board’s standing committees), as applicable, at the time the participant becomes subject to the guidelines: </w:t>
      </w:r>
    </w:p>
    <w:p>
      <w:pPr>
        <w:pStyle w:val="TextBody"/>
        <w:spacing w:before="0" w:after="0"/>
        <w:jc w:val="left"/>
        <w:rPr/>
      </w:pPr>
      <w:r>
        <w:rPr/>
        <w:t> </w:t>
      </w:r>
    </w:p>
    <w:tbl>
      <w:tblPr>
        <w:tblW w:w="7330" w:type="dxa"/>
        <w:jc w:val="left"/>
        <w:tblInd w:w="0" w:type="dxa"/>
        <w:tblCellMar>
          <w:top w:w="0" w:type="dxa"/>
          <w:left w:w="0" w:type="dxa"/>
          <w:bottom w:w="0" w:type="dxa"/>
          <w:right w:w="0" w:type="dxa"/>
        </w:tblCellMar>
      </w:tblPr>
      <w:tblGrid>
        <w:gridCol w:w="6215"/>
        <w:gridCol w:w="120"/>
        <w:gridCol w:w="995"/>
      </w:tblGrid>
      <w:tr>
        <w:trPr/>
        <w:tc>
          <w:tcPr>
            <w:tcW w:w="621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95" w:type="dxa"/>
            <w:tcBorders/>
            <w:shd w:fill="auto" w:val="clear"/>
            <w:vAlign w:val="center"/>
          </w:tcPr>
          <w:p>
            <w:pPr>
              <w:pStyle w:val="TableContents"/>
              <w:spacing w:before="0" w:after="283"/>
              <w:rPr>
                <w:sz w:val="4"/>
                <w:szCs w:val="4"/>
              </w:rPr>
            </w:pPr>
            <w:r>
              <w:rPr>
                <w:sz w:val="4"/>
                <w:szCs w:val="4"/>
              </w:rPr>
            </w:r>
          </w:p>
        </w:tc>
      </w:tr>
      <w:tr>
        <w:trPr/>
        <w:tc>
          <w:tcPr>
            <w:tcW w:w="6215" w:type="dxa"/>
            <w:tcBorders>
              <w:bottom w:val="single" w:sz="2" w:space="0" w:color="000000"/>
            </w:tcBorders>
            <w:shd w:fill="auto" w:val="clear"/>
            <w:tcMar>
              <w:bottom w:w="28" w:type="dxa"/>
            </w:tcMar>
            <w:vAlign w:val="center"/>
          </w:tcPr>
          <w:p>
            <w:pPr>
              <w:pStyle w:val="TableContents"/>
              <w:spacing w:before="0" w:after="20"/>
              <w:rPr>
                <w:rFonts w:ascii="ARIAL" w:hAnsi="ARIAL"/>
                <w:b/>
                <w:sz w:val="20"/>
              </w:rPr>
            </w:pPr>
            <w:r>
              <w:rPr>
                <w:rFonts w:ascii="ARIAL" w:hAnsi="ARIAL"/>
                <w:b/>
                <w:sz w:val="20"/>
              </w:rPr>
              <w:t>Position with the Company</w:t>
            </w:r>
          </w:p>
        </w:tc>
        <w:tc>
          <w:tcPr>
            <w:tcW w:w="120" w:type="dxa"/>
            <w:tcBorders/>
            <w:shd w:fill="auto" w:val="clear"/>
            <w:vAlign w:val="center"/>
          </w:tcPr>
          <w:p>
            <w:pPr>
              <w:pStyle w:val="TableContents"/>
              <w:spacing w:before="0" w:after="283"/>
              <w:rPr/>
            </w:pPr>
            <w:r>
              <w:rPr/>
              <w:t>  </w:t>
            </w:r>
          </w:p>
        </w:tc>
        <w:tc>
          <w:tcPr>
            <w:tcW w:w="995" w:type="dxa"/>
            <w:tcBorders>
              <w:bottom w:val="single" w:sz="2" w:space="0" w:color="000000"/>
            </w:tcBorders>
            <w:shd w:fill="auto" w:val="clear"/>
            <w:tcMar>
              <w:bottom w:w="28" w:type="dxa"/>
            </w:tcMar>
            <w:vAlign w:val="center"/>
          </w:tcPr>
          <w:p>
            <w:pPr>
              <w:pStyle w:val="TableContents"/>
              <w:spacing w:before="0" w:after="283"/>
              <w:jc w:val="center"/>
              <w:rPr>
                <w:b/>
              </w:rPr>
            </w:pPr>
            <w:r>
              <w:rPr>
                <w:b/>
              </w:rPr>
              <w:t>Value of</w:t>
              <w:br/>
              <w:t>Equity</w:t>
              <w:br/>
              <w:t>Required</w:t>
            </w:r>
          </w:p>
        </w:tc>
      </w:tr>
      <w:tr>
        <w:trPr/>
        <w:tc>
          <w:tcPr>
            <w:tcW w:w="6215" w:type="dxa"/>
            <w:tcBorders/>
            <w:shd w:fill="auto" w:val="clear"/>
            <w:vAlign w:val="center"/>
          </w:tcPr>
          <w:p>
            <w:pPr>
              <w:pStyle w:val="TableContents"/>
              <w:spacing w:before="0" w:after="0"/>
              <w:rPr>
                <w:rFonts w:ascii="ARIAL" w:hAnsi="ARIAL"/>
                <w:sz w:val="20"/>
              </w:rPr>
            </w:pPr>
            <w:r>
              <w:rPr>
                <w:rFonts w:ascii="ARIAL" w:hAnsi="ARIAL"/>
                <w:sz w:val="20"/>
              </w:rPr>
              <w:t>Chief Executive Officer</w:t>
            </w:r>
          </w:p>
          <w:p>
            <w:pPr>
              <w:pStyle w:val="TableContents"/>
              <w:spacing w:before="0" w:after="20"/>
              <w:rPr/>
            </w:pPr>
            <w:r>
              <w:rPr/>
              <w:t> </w:t>
            </w:r>
          </w:p>
        </w:tc>
        <w:tc>
          <w:tcPr>
            <w:tcW w:w="120" w:type="dxa"/>
            <w:tcBorders/>
            <w:shd w:fill="auto" w:val="clear"/>
            <w:vAlign w:val="center"/>
          </w:tcPr>
          <w:p>
            <w:pPr>
              <w:pStyle w:val="TableContents"/>
              <w:spacing w:before="0" w:after="283"/>
              <w:rPr/>
            </w:pPr>
            <w:r>
              <w:rPr/>
              <w:t>  </w:t>
            </w:r>
          </w:p>
        </w:tc>
        <w:tc>
          <w:tcPr>
            <w:tcW w:w="995" w:type="dxa"/>
            <w:tcBorders/>
            <w:shd w:fill="auto" w:val="clear"/>
            <w:vAlign w:val="center"/>
          </w:tcPr>
          <w:p>
            <w:pPr>
              <w:pStyle w:val="TableContents"/>
              <w:jc w:val="center"/>
              <w:rPr/>
            </w:pPr>
            <w:r>
              <w:rPr/>
              <w:t>5.0x</w:t>
            </w:r>
          </w:p>
          <w:p>
            <w:pPr>
              <w:pStyle w:val="TableContents"/>
              <w:spacing w:before="0" w:after="20"/>
              <w:jc w:val="left"/>
              <w:rPr/>
            </w:pPr>
            <w:r>
              <w:rPr/>
              <w:t> </w:t>
            </w:r>
          </w:p>
        </w:tc>
      </w:tr>
      <w:tr>
        <w:trPr/>
        <w:tc>
          <w:tcPr>
            <w:tcW w:w="6215" w:type="dxa"/>
            <w:tcBorders/>
            <w:shd w:fill="auto" w:val="clear"/>
            <w:vAlign w:val="center"/>
          </w:tcPr>
          <w:p>
            <w:pPr>
              <w:pStyle w:val="TableContents"/>
              <w:spacing w:before="0" w:after="0"/>
              <w:rPr>
                <w:rFonts w:ascii="ARIAL" w:hAnsi="ARIAL"/>
                <w:sz w:val="20"/>
              </w:rPr>
            </w:pPr>
            <w:r>
              <w:rPr>
                <w:rFonts w:ascii="ARIAL" w:hAnsi="ARIAL"/>
                <w:sz w:val="20"/>
              </w:rPr>
              <w:t>Members of the Board of Directors (including executives)</w:t>
            </w:r>
          </w:p>
          <w:p>
            <w:pPr>
              <w:pStyle w:val="TableContents"/>
              <w:spacing w:before="0" w:after="20"/>
              <w:rPr/>
            </w:pPr>
            <w:r>
              <w:rPr/>
              <w:t> </w:t>
            </w:r>
          </w:p>
        </w:tc>
        <w:tc>
          <w:tcPr>
            <w:tcW w:w="120" w:type="dxa"/>
            <w:tcBorders/>
            <w:shd w:fill="auto" w:val="clear"/>
            <w:vAlign w:val="center"/>
          </w:tcPr>
          <w:p>
            <w:pPr>
              <w:pStyle w:val="TableContents"/>
              <w:spacing w:before="0" w:after="283"/>
              <w:rPr/>
            </w:pPr>
            <w:r>
              <w:rPr/>
              <w:t>  </w:t>
            </w:r>
          </w:p>
        </w:tc>
        <w:tc>
          <w:tcPr>
            <w:tcW w:w="995" w:type="dxa"/>
            <w:tcBorders/>
            <w:shd w:fill="auto" w:val="clear"/>
            <w:vAlign w:val="center"/>
          </w:tcPr>
          <w:p>
            <w:pPr>
              <w:pStyle w:val="TableContents"/>
              <w:jc w:val="center"/>
              <w:rPr/>
            </w:pPr>
            <w:r>
              <w:rPr/>
              <w:t>5.0x</w:t>
            </w:r>
          </w:p>
          <w:p>
            <w:pPr>
              <w:pStyle w:val="TableContents"/>
              <w:spacing w:before="0" w:after="20"/>
              <w:jc w:val="left"/>
              <w:rPr/>
            </w:pPr>
            <w:r>
              <w:rPr/>
              <w:t> </w:t>
            </w:r>
          </w:p>
        </w:tc>
      </w:tr>
      <w:tr>
        <w:trPr/>
        <w:tc>
          <w:tcPr>
            <w:tcW w:w="6215" w:type="dxa"/>
            <w:tcBorders/>
            <w:shd w:fill="auto" w:val="clear"/>
            <w:vAlign w:val="center"/>
          </w:tcPr>
          <w:p>
            <w:pPr>
              <w:pStyle w:val="TableContents"/>
              <w:spacing w:before="0" w:after="0"/>
              <w:rPr>
                <w:rFonts w:ascii="ARIAL" w:hAnsi="ARIAL"/>
                <w:sz w:val="20"/>
              </w:rPr>
            </w:pPr>
            <w:r>
              <w:rPr>
                <w:rFonts w:ascii="ARIAL" w:hAnsi="ARIAL"/>
                <w:sz w:val="20"/>
              </w:rPr>
              <w:t>Officers Named in the Proxy Statement and Executive Vice Presidents</w:t>
            </w:r>
          </w:p>
          <w:p>
            <w:pPr>
              <w:pStyle w:val="TableContents"/>
              <w:spacing w:before="0" w:after="20"/>
              <w:rPr/>
            </w:pPr>
            <w:r>
              <w:rPr/>
              <w:t> </w:t>
            </w:r>
          </w:p>
        </w:tc>
        <w:tc>
          <w:tcPr>
            <w:tcW w:w="120" w:type="dxa"/>
            <w:tcBorders/>
            <w:shd w:fill="auto" w:val="clear"/>
            <w:vAlign w:val="center"/>
          </w:tcPr>
          <w:p>
            <w:pPr>
              <w:pStyle w:val="TableContents"/>
              <w:spacing w:before="0" w:after="283"/>
              <w:rPr/>
            </w:pPr>
            <w:r>
              <w:rPr/>
              <w:t>  </w:t>
            </w:r>
          </w:p>
        </w:tc>
        <w:tc>
          <w:tcPr>
            <w:tcW w:w="995" w:type="dxa"/>
            <w:tcBorders/>
            <w:shd w:fill="auto" w:val="clear"/>
            <w:vAlign w:val="center"/>
          </w:tcPr>
          <w:p>
            <w:pPr>
              <w:pStyle w:val="TableContents"/>
              <w:jc w:val="center"/>
              <w:rPr/>
            </w:pPr>
            <w:r>
              <w:rPr/>
              <w:t>3.0x</w:t>
            </w:r>
          </w:p>
          <w:p>
            <w:pPr>
              <w:pStyle w:val="TableContents"/>
              <w:spacing w:before="0" w:after="20"/>
              <w:jc w:val="left"/>
              <w:rPr/>
            </w:pPr>
            <w:r>
              <w:rPr/>
              <w:t> </w:t>
            </w:r>
          </w:p>
        </w:tc>
      </w:tr>
      <w:tr>
        <w:trPr/>
        <w:tc>
          <w:tcPr>
            <w:tcW w:w="6215" w:type="dxa"/>
            <w:tcBorders/>
            <w:shd w:fill="auto" w:val="clear"/>
            <w:vAlign w:val="center"/>
          </w:tcPr>
          <w:p>
            <w:pPr>
              <w:pStyle w:val="TableContents"/>
              <w:spacing w:before="0" w:after="0"/>
              <w:rPr>
                <w:rFonts w:ascii="ARIAL" w:hAnsi="ARIAL"/>
                <w:sz w:val="20"/>
              </w:rPr>
            </w:pPr>
            <w:r>
              <w:rPr>
                <w:rFonts w:ascii="ARIAL" w:hAnsi="ARIAL"/>
                <w:sz w:val="20"/>
              </w:rPr>
              <w:t>Other Officers above Vice President</w:t>
            </w:r>
          </w:p>
          <w:p>
            <w:pPr>
              <w:pStyle w:val="TableContents"/>
              <w:spacing w:before="0" w:after="20"/>
              <w:rPr/>
            </w:pPr>
            <w:r>
              <w:rPr/>
              <w:t> </w:t>
            </w:r>
          </w:p>
        </w:tc>
        <w:tc>
          <w:tcPr>
            <w:tcW w:w="120" w:type="dxa"/>
            <w:tcBorders/>
            <w:shd w:fill="auto" w:val="clear"/>
            <w:vAlign w:val="center"/>
          </w:tcPr>
          <w:p>
            <w:pPr>
              <w:pStyle w:val="TableContents"/>
              <w:spacing w:before="0" w:after="283"/>
              <w:rPr/>
            </w:pPr>
            <w:r>
              <w:rPr/>
              <w:t>  </w:t>
            </w:r>
          </w:p>
        </w:tc>
        <w:tc>
          <w:tcPr>
            <w:tcW w:w="995" w:type="dxa"/>
            <w:tcBorders/>
            <w:shd w:fill="auto" w:val="clear"/>
            <w:vAlign w:val="center"/>
          </w:tcPr>
          <w:p>
            <w:pPr>
              <w:pStyle w:val="TableContents"/>
              <w:jc w:val="center"/>
              <w:rPr/>
            </w:pPr>
            <w:r>
              <w:rPr/>
              <w:t>1.5x</w:t>
            </w:r>
          </w:p>
          <w:p>
            <w:pPr>
              <w:pStyle w:val="TableContents"/>
              <w:spacing w:before="0" w:after="20"/>
              <w:jc w:val="left"/>
              <w:rPr/>
            </w:pPr>
            <w:r>
              <w:rPr/>
              <w:t> </w:t>
            </w:r>
          </w:p>
        </w:tc>
      </w:tr>
      <w:tr>
        <w:trPr/>
        <w:tc>
          <w:tcPr>
            <w:tcW w:w="6215" w:type="dxa"/>
            <w:tcBorders/>
            <w:shd w:fill="auto" w:val="clear"/>
            <w:vAlign w:val="center"/>
          </w:tcPr>
          <w:p>
            <w:pPr>
              <w:pStyle w:val="TableContents"/>
              <w:spacing w:before="0" w:after="0"/>
              <w:rPr>
                <w:rFonts w:ascii="ARIAL" w:hAnsi="ARIAL"/>
                <w:sz w:val="20"/>
              </w:rPr>
            </w:pPr>
            <w:r>
              <w:rPr>
                <w:rFonts w:ascii="ARIAL" w:hAnsi="ARIAL"/>
                <w:sz w:val="20"/>
              </w:rPr>
              <w:t>Vice Presidents</w:t>
            </w:r>
          </w:p>
        </w:tc>
        <w:tc>
          <w:tcPr>
            <w:tcW w:w="120" w:type="dxa"/>
            <w:tcBorders/>
            <w:shd w:fill="auto" w:val="clear"/>
            <w:vAlign w:val="center"/>
          </w:tcPr>
          <w:p>
            <w:pPr>
              <w:pStyle w:val="TableContents"/>
              <w:spacing w:before="0" w:after="283"/>
              <w:rPr/>
            </w:pPr>
            <w:r>
              <w:rPr/>
              <w:t>  </w:t>
            </w:r>
          </w:p>
        </w:tc>
        <w:tc>
          <w:tcPr>
            <w:tcW w:w="995" w:type="dxa"/>
            <w:tcBorders/>
            <w:shd w:fill="auto" w:val="clear"/>
            <w:vAlign w:val="center"/>
          </w:tcPr>
          <w:p>
            <w:pPr>
              <w:pStyle w:val="TableContents"/>
              <w:spacing w:before="0" w:after="283"/>
              <w:jc w:val="center"/>
              <w:rPr/>
            </w:pPr>
            <w:r>
              <w:rPr/>
              <w:t>1.0x</w:t>
            </w:r>
          </w:p>
        </w:tc>
      </w:tr>
    </w:tbl>
    <w:p>
      <w:pPr>
        <w:pStyle w:val="TextBody"/>
        <w:spacing w:before="240" w:after="0"/>
        <w:jc w:val="left"/>
        <w:rPr>
          <w:rFonts w:ascii="ARIAL" w:hAnsi="ARIAL"/>
          <w:sz w:val="20"/>
        </w:rPr>
      </w:pPr>
      <w:r>
        <w:rPr>
          <w:rFonts w:ascii="ARIAL" w:hAnsi="ARIAL"/>
          <w:sz w:val="20"/>
        </w:rPr>
        <w:t xml:space="preserve">Company officers and directors subject to these guidelines are expected to achieve their respective ownership levels within five (5) years of becoming subject to the guidelines (and an additional five (5) years in the event of a promotion to a higher guideline). Once achieved, ownership of the guideline amount must be maintained for as long as the individual is subject to these Equity Ownership Guidelines. Until such time as a Company officer or director satisfies the Equity Ownership Guidelines, that individual will also be required to hold, for at least one year, 100% of the shares of the Company’s Common Stock received upon the exercise of stock options and upon the vesting of full value stock awards, including but not limited to restricted stock awards and restricted stock units, in each case net of those shares required to pay the exercise price and any taxes due upon exercise or vesting. </w:t>
      </w:r>
    </w:p>
    <w:p>
      <w:pPr>
        <w:pStyle w:val="TextBody"/>
        <w:spacing w:before="240" w:after="0"/>
        <w:jc w:val="left"/>
        <w:rPr>
          <w:rFonts w:ascii="ARIAL" w:hAnsi="ARIAL"/>
          <w:sz w:val="20"/>
        </w:rPr>
      </w:pPr>
      <w:r>
        <w:rPr>
          <w:rFonts w:ascii="ARIAL" w:hAnsi="ARIAL"/>
          <w:sz w:val="20"/>
        </w:rPr>
        <w:t xml:space="preserve">Equity that counts towards satisfaction of the Company’s Equity Ownership Guidelines includes: (i) shares of Common Stock and stock units held outright by the participant or his or her immediate family members living in the same household; (ii) restricted stock and restricted stock units issued and held as part of an executive officer’s or director’s long-term compensation, whether or not vested; (iii) shares of Common Stock underlying vested stock options (but only to the extent the current market value of the Common Stock exceeds the exercise price of the stock option); and (iv) shares of Common Stock acquired on stock option exercises that the participant continues to hold. The Governance and Nominating Committee of the Board of Directors reviews each participant’s progress and compliance with the applicable guidelines and may grant any hardship waivers or exceptions (e.g., in the event of a divorce) as it deems necessary and appropriate. </w:t>
      </w:r>
    </w:p>
    <w:p>
      <w:pPr>
        <w:pStyle w:val="TextBody"/>
        <w:spacing w:before="240" w:after="0"/>
        <w:jc w:val="left"/>
        <w:rPr>
          <w:rFonts w:ascii="ARIAL" w:hAnsi="ARIAL"/>
          <w:b/>
          <w:i/>
          <w:sz w:val="20"/>
        </w:rPr>
      </w:pPr>
      <w:r>
        <w:rPr>
          <w:rFonts w:ascii="ARIAL" w:hAnsi="ARIAL"/>
          <w:b/>
          <w:i/>
          <w:sz w:val="20"/>
        </w:rPr>
        <w:t xml:space="preserve">Compensation “Clawback” Policy </w:t>
      </w:r>
    </w:p>
    <w:p>
      <w:pPr>
        <w:pStyle w:val="TextBody"/>
        <w:spacing w:before="240" w:after="0"/>
        <w:jc w:val="left"/>
        <w:rPr>
          <w:rFonts w:ascii="ARIAL" w:hAnsi="ARIAL"/>
          <w:sz w:val="20"/>
        </w:rPr>
      </w:pPr>
      <w:r>
        <w:rPr>
          <w:rFonts w:ascii="ARIAL" w:hAnsi="ARIAL"/>
          <w:sz w:val="20"/>
        </w:rPr>
        <w:t xml:space="preserve">In February 2009, the Board adopted a policy (the “Clawback Policy”) requiring that, in certain circumstances, the elected officers of the Company reimburse the Company for the amount and/or value of performance-based cash, stock or equity-based awards received by such elected officers,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60 </w:t>
      </w:r>
      <w:r>
        <w:br w:type="page"/>
      </w:r>
    </w:p>
    <w:p>
      <w:pPr>
        <w:pStyle w:val="HorizontalLine"/>
        <w:rPr/>
      </w:pPr>
      <w:r>
        <w:rPr/>
      </w:r>
    </w:p>
    <w:p>
      <w:pPr>
        <w:pStyle w:val="TextBody"/>
        <w:spacing w:before="0" w:after="0"/>
        <w:jc w:val="left"/>
        <w:rPr>
          <w:rFonts w:ascii="ARIAL" w:hAnsi="ARIAL"/>
          <w:sz w:val="20"/>
        </w:rPr>
      </w:pPr>
      <w:r>
        <w:rPr>
          <w:rFonts w:ascii="ARIAL" w:hAnsi="ARIAL"/>
          <w:sz w:val="20"/>
        </w:rPr>
        <w:t xml:space="preserve">and/or gains realized by such elected officers in connection with these awards. The circumstances triggering this recoupment require a determination by the Board, or an appropriate committee of the Board, that fraud by an elected officer materially contributed to the Company having to restate all or a portion of its financial statements. The Board or the appropriate committee is granted the right to determine, in its discretion, the action necessary to remedy the misconduct. In determining what remedies to pursue, the Board or committee would take into account all relevant factors, including consideration of fairness and equity, and may require reimbursement to the extent the value transferred to the elected officer can be reasonably attributed to the reduction in the restated financial statements and the amount of the award would have been lower than the amount actually paid, granted or realized. </w:t>
      </w:r>
    </w:p>
    <w:p>
      <w:pPr>
        <w:pStyle w:val="TextBody"/>
        <w:spacing w:before="240" w:after="0"/>
        <w:jc w:val="left"/>
        <w:rPr>
          <w:rFonts w:ascii="ARIAL" w:hAnsi="ARIAL"/>
          <w:sz w:val="20"/>
        </w:rPr>
      </w:pPr>
      <w:r>
        <w:rPr>
          <w:rFonts w:ascii="ARIAL" w:hAnsi="ARIAL"/>
          <w:sz w:val="20"/>
        </w:rPr>
        <w:t xml:space="preserve">In February 2017, the Board revised the Clawback Policy to require that, in the event of a restatement of the Company’s financial statements required under the applicable statutes, rules and regulations of the SEC, the Company will, to the extent permitted by applicable law, require the Company’s Chief Executive Officer and Chief Financial Officer to reimburse the Company for any performance-based cash, stock or equity-based award paid or granted to, or gains realized (such as through the exercise of stock options or sale of equity securities) by the Chief Executive Officer and Chief Financial Officer, to the extent that the amount of such cash, stock or equity-based award or realized gain during the two (2) year period preceding the date of the restatement exceeded the amounts that would have been paid, granted or realized under the Company’s financial statement(s), as restated. </w:t>
      </w:r>
    </w:p>
    <w:p>
      <w:pPr>
        <w:pStyle w:val="TextBody"/>
        <w:spacing w:before="240" w:after="0"/>
        <w:jc w:val="left"/>
        <w:rPr>
          <w:rFonts w:ascii="ARIAL" w:hAnsi="ARIAL"/>
          <w:sz w:val="20"/>
        </w:rPr>
      </w:pPr>
      <w:r>
        <w:rPr>
          <w:rFonts w:ascii="ARIAL" w:hAnsi="ARIAL"/>
          <w:sz w:val="20"/>
        </w:rPr>
        <w:t xml:space="preserve">The Company intends to amend its Clawback Policy, and/or adopt a new clawback policy, to satisfy all applicable requirements under the final clawback rules adopted by the SEC on October 26, 2022 and the final NYSE listing standards to be adopted in connection therewith, within the timeframe that is specified in such final SEC rules and final NYSE listing standards. </w:t>
      </w:r>
    </w:p>
    <w:p>
      <w:pPr>
        <w:pStyle w:val="TextBody"/>
        <w:spacing w:before="240" w:after="0"/>
        <w:jc w:val="left"/>
        <w:rPr>
          <w:rFonts w:ascii="ARIAL" w:hAnsi="ARIAL"/>
          <w:b/>
          <w:i/>
          <w:sz w:val="20"/>
        </w:rPr>
      </w:pPr>
      <w:r>
        <w:rPr>
          <w:rFonts w:ascii="ARIAL" w:hAnsi="ARIAL"/>
          <w:b/>
          <w:i/>
          <w:sz w:val="20"/>
        </w:rPr>
        <w:t xml:space="preserve">Prohibition on Pledging and Hedging </w:t>
      </w:r>
    </w:p>
    <w:p>
      <w:pPr>
        <w:pStyle w:val="TextBody"/>
        <w:spacing w:before="240" w:after="0"/>
        <w:jc w:val="left"/>
        <w:rPr>
          <w:rFonts w:ascii="ARIAL" w:hAnsi="ARIAL"/>
          <w:sz w:val="20"/>
        </w:rPr>
      </w:pPr>
      <w:r>
        <w:rPr>
          <w:rFonts w:ascii="ARIAL" w:hAnsi="ARIAL"/>
          <w:sz w:val="20"/>
        </w:rPr>
        <w:t xml:space="preserve">The Company considers it inappropriate for any director or officer, as well as certain other employees designated under the Company’s insider trading policy, to engage in speculative transactions involving the Company’s securities. Therefore, the Company’s insider trading policy prohibits directors, officers, and such other designated employees from engaging in transactions in puts, calls or other derivative securities or engaging in any short sale or hedging transaction with respect to the Company’s securities, including through use of financial instruments such as prepaid variable forwards, equity swaps, collars and exchange funds. </w:t>
      </w:r>
    </w:p>
    <w:p>
      <w:pPr>
        <w:pStyle w:val="TextBody"/>
        <w:spacing w:before="240" w:after="0"/>
        <w:jc w:val="left"/>
        <w:rPr>
          <w:rFonts w:ascii="ARIAL" w:hAnsi="ARIAL"/>
          <w:sz w:val="20"/>
        </w:rPr>
      </w:pPr>
      <w:r>
        <w:rPr>
          <w:rFonts w:ascii="ARIAL" w:hAnsi="ARIAL"/>
          <w:sz w:val="20"/>
        </w:rPr>
        <w:t xml:space="preserve">The Company’s insider trading policy also prohibits directors, officers, and other designated employees from holding the Company’s securities in a margin account or pledging the Company’s securities as collateral for a loan. On a case-by-case basis, the Trading Compliance Committee, consisting of the Chief Financial Officer and the General Counsel, may approve an exception to the prohibition on pledging the Company’s securities as collateral for a loan (not including margin debt) where such individual clearly demonstrates the financial capacity to repay the loan without resorting to the pledged securities. At the current time, the Trading Compliance Committee has not approved any exceptions to this prohibition on pledging the Company’s securities by the Company’s current directors and executive officers, and to our knowledge, no directors or executive officers currently pledge any securities of the Company. </w:t>
      </w:r>
    </w:p>
    <w:p>
      <w:pPr>
        <w:pStyle w:val="TextBody"/>
        <w:spacing w:before="240" w:after="0"/>
        <w:jc w:val="left"/>
        <w:rPr>
          <w:rFonts w:ascii="ARIAL" w:hAnsi="ARIAL"/>
          <w:b/>
          <w:i/>
          <w:sz w:val="20"/>
        </w:rPr>
      </w:pPr>
      <w:r>
        <w:rPr>
          <w:rFonts w:ascii="ARIAL" w:hAnsi="ARIAL"/>
          <w:b/>
          <w:i/>
          <w:sz w:val="20"/>
        </w:rPr>
        <w:t xml:space="preserve">Oversight of the Executive Compensation Program </w:t>
      </w:r>
    </w:p>
    <w:p>
      <w:pPr>
        <w:pStyle w:val="TextBody"/>
        <w:spacing w:before="240" w:after="0"/>
        <w:jc w:val="left"/>
        <w:rPr>
          <w:rFonts w:ascii="ARIAL" w:hAnsi="ARIAL"/>
          <w:sz w:val="20"/>
        </w:rPr>
      </w:pPr>
      <w:r>
        <w:rPr>
          <w:rFonts w:ascii="ARIAL" w:hAnsi="ARIAL"/>
          <w:sz w:val="20"/>
        </w:rPr>
        <w:t xml:space="preserve">The Compensation Committee of the Board of Directors oversees the Company’s executive compensation program. Each of the Compensation Committee members is fully independent of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61 </w:t>
      </w:r>
      <w:r>
        <w:br w:type="page"/>
      </w:r>
    </w:p>
    <w:p>
      <w:pPr>
        <w:pStyle w:val="HorizontalLine"/>
        <w:rPr/>
      </w:pPr>
      <w:r>
        <w:rPr/>
      </w:r>
    </w:p>
    <w:p>
      <w:pPr>
        <w:pStyle w:val="TextBody"/>
        <w:spacing w:before="0" w:after="0"/>
        <w:jc w:val="left"/>
        <w:rPr>
          <w:rFonts w:ascii="ARIAL" w:hAnsi="ARIAL"/>
          <w:sz w:val="20"/>
        </w:rPr>
      </w:pPr>
      <w:r>
        <w:rPr>
          <w:rFonts w:ascii="ARIAL" w:hAnsi="ARIAL"/>
          <w:sz w:val="20"/>
        </w:rPr>
        <w:t xml:space="preserve">management and has never served as an employee or officer of the Company or its subsidiaries. In addition to meeting the independence requirements of the NYSE, each member of the Compensation Committee is a “non-employee director” for purposes of Section 16(b) of the Exchange Act. </w:t>
      </w:r>
    </w:p>
    <w:p>
      <w:pPr>
        <w:pStyle w:val="TextBody"/>
        <w:spacing w:before="240" w:after="0"/>
        <w:jc w:val="left"/>
        <w:rPr>
          <w:rFonts w:ascii="ARIAL" w:hAnsi="ARIAL"/>
          <w:b/>
          <w:sz w:val="20"/>
        </w:rPr>
      </w:pPr>
      <w:r>
        <w:rPr>
          <w:rFonts w:ascii="ARIAL" w:hAnsi="ARIAL"/>
          <w:b/>
          <w:sz w:val="20"/>
        </w:rPr>
        <w:t xml:space="preserve">Risk Assessment of Executive Compensation </w:t>
      </w:r>
    </w:p>
    <w:p>
      <w:pPr>
        <w:pStyle w:val="TextBody"/>
        <w:spacing w:before="240" w:after="0"/>
        <w:jc w:val="left"/>
        <w:rPr>
          <w:rFonts w:ascii="ARIAL" w:hAnsi="ARIAL"/>
          <w:sz w:val="20"/>
        </w:rPr>
      </w:pPr>
      <w:r>
        <w:rPr>
          <w:rFonts w:ascii="ARIAL" w:hAnsi="ARIAL"/>
          <w:sz w:val="20"/>
        </w:rPr>
        <w:t xml:space="preserve">The Compensation Committee, with management and the Compensation Committee’s independent executive compensation consultant, Mercer, regularly assesses the risk levels of the Company’s executive compensation program. As part of this assessment, the Compensation Committee reviews the Company’s compensation programs for certain design features identified by the Compensation Committee and its advisors as having the potential to encourage excessive risk-taking, and considers the Company’s compensation programs in light of the Company’s key enterprise and business strategy risks. The Compensation Committee believes that the Company’s compensation programs are designed so that they do not include a compensation mix which is overly weighted toward incentive programs that encourage excessive risk-taking, uncapped or “all or nothing” incentive programs or unreasonable performance goals. The Compensation Committee also noted several design features of the Company’s cash and equity incentive programs that the Compensation Committee believes reduce the likelihood of excessive risk-taking, including the use of multiple balanced performance metrics, maximum payouts at levels deemed appropriate, a carefully considered peer group to assure the Company’s compensation practices are measured and appropriately competitive, multi-year vesting schedules for equity awards, and significant long-term incentives that promote longer-term goals and reward sustainable stock, financial and operating performance, especially when combined with the Company’s executive equity ownership guidelines. Additionally, the Company’s executive compensation Clawback Policy, as currently in effect, allows the Company to recover bonus payments and certain equity awards under certain circumstances, and compliance and ethical behaviors of the Company’s executive officers are factors considered in all performance and bonus assessments. Based on its assessment, the Compensation Committee believes that the Company’s compensation programs do not motivate risk-taking that could reasonably be expected to have a materially adverse effect on the Company. These principles are reviewed annually as a part of the Company’s overall enterprise risk assessment. </w:t>
      </w:r>
    </w:p>
    <w:p>
      <w:pPr>
        <w:pStyle w:val="TextBody"/>
        <w:spacing w:before="240" w:after="0"/>
        <w:jc w:val="left"/>
        <w:rPr>
          <w:rFonts w:ascii="ARIAL" w:hAnsi="ARIAL"/>
          <w:b/>
          <w:sz w:val="20"/>
        </w:rPr>
      </w:pPr>
      <w:r>
        <w:rPr>
          <w:rFonts w:ascii="ARIAL" w:hAnsi="ARIAL"/>
          <w:b/>
          <w:sz w:val="20"/>
        </w:rPr>
        <w:t xml:space="preserve">Tax Considerations </w:t>
      </w:r>
    </w:p>
    <w:p>
      <w:pPr>
        <w:pStyle w:val="TextBody"/>
        <w:spacing w:before="240" w:after="0"/>
        <w:jc w:val="left"/>
        <w:rPr>
          <w:rFonts w:ascii="ARIAL" w:hAnsi="ARIAL"/>
          <w:sz w:val="20"/>
        </w:rPr>
      </w:pPr>
      <w:r>
        <w:rPr>
          <w:rFonts w:ascii="ARIAL" w:hAnsi="ARIAL"/>
          <w:sz w:val="20"/>
        </w:rPr>
        <w:t xml:space="preserve">Section 162(m) of the IRC generally places a limit of $1 million on the amount of compensation a publicly-held company can deduct in any tax year on compensation paid to certain of the company’s most highly-compensated officers, including its chief executive officer and chief financial officer. In designing our executive compensation program and determining the compensation of our executive officers, including our named executive officers, the Compensation Committee considers a variety of factors, including the potential impact of the Section 162(m) deduction limit. While the Compensation Committee considers the tax treatment of compensation paid to our named executive officers, the Compensation Committee also believes stockholder interests are best served if we retain discretion and flexibility in awarding compensation to our named executive officers, including where the compensation paid to our named executive officers may not be fully deductible. In this regard, the Compensation Committee has approved, and may in the future approve, the payment of compensation that is not deductible under Section 162(m) of the IRC. </w:t>
      </w:r>
    </w:p>
    <w:p>
      <w:pPr>
        <w:pStyle w:val="TextBody"/>
        <w:spacing w:before="240" w:after="0"/>
        <w:jc w:val="left"/>
        <w:rPr>
          <w:rFonts w:ascii="ARIAL" w:hAnsi="ARIAL"/>
          <w:b/>
          <w:sz w:val="20"/>
        </w:rPr>
      </w:pPr>
      <w:r>
        <w:rPr>
          <w:rFonts w:ascii="ARIAL" w:hAnsi="ARIAL"/>
          <w:b/>
          <w:sz w:val="20"/>
        </w:rPr>
        <w:t xml:space="preserve">Financial Accounting Standards Board Accounting Standards Codification Topic 718 (“ASC 718”) </w:t>
      </w:r>
    </w:p>
    <w:p>
      <w:pPr>
        <w:pStyle w:val="TextBody"/>
        <w:spacing w:before="240" w:after="0"/>
        <w:jc w:val="left"/>
        <w:rPr>
          <w:rFonts w:ascii="ARIAL" w:hAnsi="ARIAL"/>
          <w:sz w:val="20"/>
        </w:rPr>
      </w:pPr>
      <w:r>
        <w:rPr>
          <w:rFonts w:ascii="ARIAL" w:hAnsi="ARIAL"/>
          <w:sz w:val="20"/>
        </w:rPr>
        <w:t xml:space="preserve">ASC 718 requires a public company to measure the cost of employee services received in exchange for an award of equity instruments based on the grant date fair value of the award. The Company’s equity awards to the named executive officers are structured to comply with the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62 </w:t>
      </w:r>
      <w:r>
        <w:br w:type="page"/>
      </w:r>
    </w:p>
    <w:p>
      <w:pPr>
        <w:pStyle w:val="HorizontalLine"/>
        <w:rPr/>
      </w:pPr>
      <w:r>
        <w:rPr/>
      </w:r>
    </w:p>
    <w:p>
      <w:pPr>
        <w:pStyle w:val="TextBody"/>
        <w:spacing w:before="0" w:after="0"/>
        <w:jc w:val="left"/>
        <w:rPr>
          <w:rFonts w:ascii="ARIAL" w:hAnsi="ARIAL"/>
          <w:sz w:val="20"/>
        </w:rPr>
      </w:pPr>
      <w:r>
        <w:rPr>
          <w:rFonts w:ascii="ARIAL" w:hAnsi="ARIAL"/>
          <w:sz w:val="20"/>
        </w:rPr>
        <w:t xml:space="preserve">requirements of ASC 718. To maintain the appropriate equity accounting treatment, the Company takes such accounting treatment into consideration when designing and implementing its compensation programs. </w:t>
      </w:r>
    </w:p>
    <w:p>
      <w:pPr>
        <w:pStyle w:val="TextBody"/>
        <w:spacing w:before="240" w:after="0"/>
        <w:jc w:val="center"/>
        <w:rPr>
          <w:rFonts w:ascii="ARIAL" w:hAnsi="ARIAL"/>
          <w:b/>
          <w:sz w:val="20"/>
        </w:rPr>
      </w:pPr>
      <w:bookmarkStart w:id="17" w:name="toc360141_15"/>
      <w:bookmarkEnd w:id="17"/>
      <w:r>
        <w:rPr>
          <w:rFonts w:ascii="ARIAL" w:hAnsi="ARIAL"/>
          <w:b/>
          <w:sz w:val="20"/>
        </w:rPr>
        <w:t xml:space="preserve">COMPENSATION COMMITTEE REPORT </w:t>
      </w:r>
    </w:p>
    <w:p>
      <w:pPr>
        <w:pStyle w:val="TextBody"/>
        <w:spacing w:before="240" w:after="0"/>
        <w:jc w:val="left"/>
        <w:rPr>
          <w:rFonts w:ascii="ARIAL" w:hAnsi="ARIAL"/>
          <w:sz w:val="20"/>
        </w:rPr>
      </w:pPr>
      <w:r>
        <w:rPr>
          <w:rFonts w:ascii="ARIAL" w:hAnsi="ARIAL"/>
          <w:sz w:val="20"/>
        </w:rPr>
        <w:t xml:space="preserve">The information contained in this Compensation Committee Report shall not be deemed “filed” for purposes of Section 18 of the Exchange Act or incorporated by reference in any filing under the Securities Act of 1933, as amended, or the Exchange Act, except as shall be expressly set forth by specific reference in any such filing. </w:t>
      </w:r>
    </w:p>
    <w:p>
      <w:pPr>
        <w:pStyle w:val="TextBody"/>
        <w:spacing w:before="240" w:after="0"/>
        <w:jc w:val="left"/>
        <w:rPr>
          <w:rFonts w:ascii="ARIAL" w:hAnsi="ARIAL"/>
          <w:sz w:val="20"/>
        </w:rPr>
      </w:pPr>
      <w:r>
        <w:rPr>
          <w:rFonts w:ascii="ARIAL" w:hAnsi="ARIAL"/>
          <w:sz w:val="20"/>
        </w:rPr>
        <w:t xml:space="preserve">The Compensation Committee of the Company has reviewed and discussed the Compensation Discussion and Analysis required by Item 402(b) of SEC Regulation S-K with management and, based on such reviews and discussions, the Compensation Committee recommended to the Board that the Compensation Discussion and Analysis be included in this Proxy Statement. </w:t>
      </w:r>
    </w:p>
    <w:p>
      <w:pPr>
        <w:pStyle w:val="TextBody"/>
        <w:spacing w:before="0" w:after="0"/>
        <w:jc w:val="left"/>
        <w:rPr/>
      </w:pPr>
      <w:r>
        <w:rPr/>
        <w:t> </w:t>
      </w:r>
    </w:p>
    <w:tbl>
      <w:tblPr>
        <w:tblW w:w="4010" w:type="dxa"/>
        <w:jc w:val="left"/>
        <w:tblInd w:w="0" w:type="dxa"/>
        <w:tblCellMar>
          <w:top w:w="0" w:type="dxa"/>
          <w:left w:w="0" w:type="dxa"/>
          <w:bottom w:w="0" w:type="dxa"/>
          <w:right w:w="0" w:type="dxa"/>
        </w:tblCellMar>
      </w:tblPr>
      <w:tblGrid>
        <w:gridCol w:w="4010"/>
      </w:tblGrid>
      <w:tr>
        <w:trPr/>
        <w:tc>
          <w:tcPr>
            <w:tcW w:w="4010" w:type="dxa"/>
            <w:tcBorders/>
            <w:shd w:fill="auto" w:val="clear"/>
            <w:vAlign w:val="center"/>
          </w:tcPr>
          <w:p>
            <w:pPr>
              <w:pStyle w:val="TableContents"/>
              <w:spacing w:before="0" w:after="283"/>
              <w:rPr>
                <w:sz w:val="4"/>
                <w:szCs w:val="4"/>
              </w:rPr>
            </w:pPr>
            <w:r>
              <w:rPr>
                <w:sz w:val="4"/>
                <w:szCs w:val="4"/>
              </w:rPr>
            </w:r>
          </w:p>
        </w:tc>
      </w:tr>
      <w:tr>
        <w:trPr/>
        <w:tc>
          <w:tcPr>
            <w:tcW w:w="4010" w:type="dxa"/>
            <w:tcBorders/>
            <w:shd w:fill="auto" w:val="clear"/>
            <w:vAlign w:val="center"/>
          </w:tcPr>
          <w:p>
            <w:pPr>
              <w:pStyle w:val="TableContents"/>
              <w:spacing w:before="0" w:after="283"/>
              <w:rPr/>
            </w:pPr>
            <w:r>
              <w:rPr/>
              <w:t>THE COMPENSATION COMMITTEE</w:t>
            </w:r>
          </w:p>
        </w:tc>
      </w:tr>
      <w:tr>
        <w:trPr/>
        <w:tc>
          <w:tcPr>
            <w:tcW w:w="4010" w:type="dxa"/>
            <w:tcBorders/>
            <w:shd w:fill="auto" w:val="clear"/>
            <w:vAlign w:val="center"/>
          </w:tcPr>
          <w:p>
            <w:pPr>
              <w:pStyle w:val="TableContents"/>
              <w:spacing w:before="0" w:after="283"/>
              <w:rPr>
                <w:sz w:val="4"/>
                <w:szCs w:val="4"/>
              </w:rPr>
            </w:pPr>
            <w:r>
              <w:rPr>
                <w:sz w:val="4"/>
                <w:szCs w:val="4"/>
              </w:rPr>
            </w:r>
          </w:p>
        </w:tc>
      </w:tr>
      <w:tr>
        <w:trPr/>
        <w:tc>
          <w:tcPr>
            <w:tcW w:w="4010" w:type="dxa"/>
            <w:tcBorders/>
            <w:shd w:fill="auto" w:val="clear"/>
            <w:vAlign w:val="center"/>
          </w:tcPr>
          <w:p>
            <w:pPr>
              <w:pStyle w:val="TableContents"/>
              <w:spacing w:before="0" w:after="283"/>
              <w:rPr/>
            </w:pPr>
            <w:r>
              <w:rPr/>
              <w:t>John A. Clerico</w:t>
            </w:r>
          </w:p>
        </w:tc>
      </w:tr>
      <w:tr>
        <w:trPr/>
        <w:tc>
          <w:tcPr>
            <w:tcW w:w="4010" w:type="dxa"/>
            <w:tcBorders/>
            <w:shd w:fill="auto" w:val="clear"/>
            <w:vAlign w:val="center"/>
          </w:tcPr>
          <w:p>
            <w:pPr>
              <w:pStyle w:val="TableContents"/>
              <w:spacing w:before="0" w:after="283"/>
              <w:rPr/>
            </w:pPr>
            <w:r>
              <w:rPr/>
              <w:t>James S. Ely III, Chair</w:t>
            </w:r>
          </w:p>
        </w:tc>
      </w:tr>
      <w:tr>
        <w:trPr/>
        <w:tc>
          <w:tcPr>
            <w:tcW w:w="4010" w:type="dxa"/>
            <w:tcBorders/>
            <w:shd w:fill="auto" w:val="clear"/>
            <w:vAlign w:val="center"/>
          </w:tcPr>
          <w:p>
            <w:pPr>
              <w:pStyle w:val="TableContents"/>
              <w:spacing w:before="0" w:after="283"/>
              <w:rPr/>
            </w:pPr>
            <w:r>
              <w:rPr/>
              <w:t>John A. Fry</w:t>
            </w:r>
          </w:p>
        </w:tc>
      </w:tr>
      <w:tr>
        <w:trPr/>
        <w:tc>
          <w:tcPr>
            <w:tcW w:w="4010" w:type="dxa"/>
            <w:tcBorders/>
            <w:shd w:fill="auto" w:val="clear"/>
            <w:vAlign w:val="center"/>
          </w:tcPr>
          <w:p>
            <w:pPr>
              <w:pStyle w:val="TableContents"/>
              <w:spacing w:before="0" w:after="283"/>
              <w:rPr/>
            </w:pPr>
            <w:r>
              <w:rPr/>
              <w:t>Elizabeth T. Hirsch</w:t>
            </w:r>
          </w:p>
        </w:tc>
      </w:tr>
    </w:tbl>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63 </w:t>
      </w:r>
      <w:r>
        <w:br w:type="page"/>
      </w:r>
    </w:p>
    <w:p>
      <w:pPr>
        <w:pStyle w:val="HorizontalLine"/>
        <w:rPr/>
      </w:pPr>
      <w:r>
        <w:rPr/>
      </w:r>
    </w:p>
    <w:p>
      <w:pPr>
        <w:pStyle w:val="TextBody"/>
        <w:spacing w:before="0" w:after="0"/>
        <w:jc w:val="center"/>
        <w:rPr>
          <w:rFonts w:ascii="ARIAL" w:hAnsi="ARIAL"/>
          <w:b/>
          <w:sz w:val="20"/>
        </w:rPr>
      </w:pPr>
      <w:r>
        <w:rPr>
          <w:rFonts w:ascii="ARIAL" w:hAnsi="ARIAL"/>
          <w:b/>
          <w:sz w:val="20"/>
        </w:rPr>
        <w:t xml:space="preserve">Executive Compensation Tables </w:t>
      </w:r>
    </w:p>
    <w:p>
      <w:pPr>
        <w:pStyle w:val="TextBody"/>
        <w:spacing w:before="240" w:after="0"/>
        <w:jc w:val="left"/>
        <w:rPr>
          <w:rFonts w:ascii="ARIAL" w:hAnsi="ARIAL"/>
          <w:b/>
          <w:sz w:val="20"/>
        </w:rPr>
      </w:pPr>
      <w:bookmarkStart w:id="18" w:name="toc360141_16"/>
      <w:bookmarkEnd w:id="18"/>
      <w:r>
        <w:rPr>
          <w:rFonts w:ascii="ARIAL" w:hAnsi="ARIAL"/>
          <w:b/>
          <w:sz w:val="20"/>
        </w:rPr>
        <w:t xml:space="preserve">Summary Compensation Table </w:t>
      </w:r>
    </w:p>
    <w:p>
      <w:pPr>
        <w:pStyle w:val="TextBody"/>
        <w:spacing w:before="240" w:after="0"/>
        <w:jc w:val="left"/>
        <w:rPr>
          <w:rFonts w:ascii="ARIAL" w:hAnsi="ARIAL"/>
          <w:sz w:val="20"/>
        </w:rPr>
      </w:pPr>
      <w:r>
        <w:rPr>
          <w:rFonts w:ascii="ARIAL" w:hAnsi="ARIAL"/>
          <w:sz w:val="20"/>
        </w:rPr>
        <w:t xml:space="preserve">The following table includes information regarding our named executive officers’ total compensation earned during the years ended December 31, 2022, 2021 and 2020. This table is prepared in accordance with SEC rules which require that equity awards be valued based on the grant date fair value of such awards, and there can be no assurance regarding the extent to which the value of such equity-based compensation reflected in the table below (including performance-based restricted stock) will be realized by any executive.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115"/>
        <w:gridCol w:w="60"/>
        <w:gridCol w:w="60"/>
        <w:gridCol w:w="500"/>
        <w:gridCol w:w="60"/>
        <w:gridCol w:w="60"/>
        <w:gridCol w:w="60"/>
        <w:gridCol w:w="980"/>
        <w:gridCol w:w="60"/>
        <w:gridCol w:w="60"/>
        <w:gridCol w:w="60"/>
        <w:gridCol w:w="515"/>
        <w:gridCol w:w="60"/>
        <w:gridCol w:w="60"/>
        <w:gridCol w:w="60"/>
        <w:gridCol w:w="980"/>
        <w:gridCol w:w="60"/>
        <w:gridCol w:w="60"/>
        <w:gridCol w:w="60"/>
        <w:gridCol w:w="800"/>
        <w:gridCol w:w="60"/>
        <w:gridCol w:w="60"/>
        <w:gridCol w:w="64"/>
        <w:gridCol w:w="856"/>
        <w:gridCol w:w="60"/>
        <w:gridCol w:w="60"/>
        <w:gridCol w:w="60"/>
        <w:gridCol w:w="980"/>
        <w:gridCol w:w="60"/>
        <w:gridCol w:w="60"/>
        <w:gridCol w:w="64"/>
        <w:gridCol w:w="856"/>
        <w:gridCol w:w="60"/>
        <w:gridCol w:w="60"/>
        <w:gridCol w:w="60"/>
        <w:gridCol w:w="980"/>
        <w:gridCol w:w="75"/>
      </w:tblGrid>
      <w:tr>
        <w:trPr/>
        <w:tc>
          <w:tcPr>
            <w:tcW w:w="11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115" w:type="dxa"/>
            <w:tcBorders/>
            <w:shd w:fill="auto" w:val="clear"/>
            <w:vAlign w:val="center"/>
          </w:tcPr>
          <w:p>
            <w:pPr>
              <w:pStyle w:val="TableContents"/>
              <w:spacing w:before="0" w:after="283"/>
              <w:rPr>
                <w:sz w:val="4"/>
                <w:szCs w:val="4"/>
              </w:rPr>
            </w:pPr>
            <w:r>
              <w:rPr>
                <w:sz w:val="4"/>
                <w:szCs w:val="4"/>
              </w:rPr>
            </w:r>
          </w:p>
        </w:tc>
        <w:tc>
          <w:tcPr>
            <w:tcW w:w="680" w:type="dxa"/>
            <w:gridSpan w:val="4"/>
            <w:tcBorders/>
            <w:shd w:fill="auto" w:val="clear"/>
            <w:vAlign w:val="center"/>
          </w:tcPr>
          <w:p>
            <w:pPr>
              <w:pStyle w:val="TableContents"/>
              <w:spacing w:before="0" w:after="283"/>
              <w:rPr>
                <w:sz w:val="4"/>
                <w:szCs w:val="4"/>
              </w:rPr>
            </w:pPr>
            <w:r>
              <w:rPr>
                <w:sz w:val="4"/>
                <w:szCs w:val="4"/>
              </w:rPr>
            </w:r>
          </w:p>
        </w:tc>
        <w:tc>
          <w:tcPr>
            <w:tcW w:w="1160" w:type="dxa"/>
            <w:gridSpan w:val="4"/>
            <w:tcBorders/>
            <w:shd w:fill="auto" w:val="clear"/>
            <w:vAlign w:val="center"/>
          </w:tcPr>
          <w:p>
            <w:pPr>
              <w:pStyle w:val="TableContents"/>
              <w:spacing w:before="0" w:after="283"/>
              <w:rPr>
                <w:sz w:val="4"/>
                <w:szCs w:val="4"/>
              </w:rPr>
            </w:pPr>
            <w:r>
              <w:rPr>
                <w:sz w:val="4"/>
                <w:szCs w:val="4"/>
              </w:rPr>
            </w:r>
          </w:p>
        </w:tc>
        <w:tc>
          <w:tcPr>
            <w:tcW w:w="695" w:type="dxa"/>
            <w:gridSpan w:val="4"/>
            <w:tcBorders/>
            <w:shd w:fill="auto" w:val="clear"/>
            <w:vAlign w:val="center"/>
          </w:tcPr>
          <w:p>
            <w:pPr>
              <w:pStyle w:val="TableContents"/>
              <w:spacing w:before="0" w:after="283"/>
              <w:rPr>
                <w:sz w:val="4"/>
                <w:szCs w:val="4"/>
              </w:rPr>
            </w:pPr>
            <w:r>
              <w:rPr>
                <w:sz w:val="4"/>
                <w:szCs w:val="4"/>
              </w:rPr>
            </w:r>
          </w:p>
        </w:tc>
        <w:tc>
          <w:tcPr>
            <w:tcW w:w="2140" w:type="dxa"/>
            <w:gridSpan w:val="8"/>
            <w:tcBorders/>
            <w:shd w:fill="auto" w:val="clear"/>
            <w:vAlign w:val="center"/>
          </w:tcPr>
          <w:p>
            <w:pPr>
              <w:pStyle w:val="TableContents"/>
              <w:spacing w:before="0" w:after="283"/>
              <w:rPr>
                <w:sz w:val="4"/>
                <w:szCs w:val="4"/>
              </w:rPr>
            </w:pPr>
            <w:r>
              <w:rPr>
                <w:sz w:val="4"/>
                <w:szCs w:val="4"/>
              </w:rPr>
            </w:r>
          </w:p>
        </w:tc>
        <w:tc>
          <w:tcPr>
            <w:tcW w:w="1040" w:type="dxa"/>
            <w:gridSpan w:val="4"/>
            <w:tcBorders/>
            <w:shd w:fill="auto" w:val="clear"/>
            <w:vAlign w:val="center"/>
          </w:tcPr>
          <w:p>
            <w:pPr>
              <w:pStyle w:val="TableContents"/>
              <w:spacing w:before="0" w:after="283"/>
              <w:rPr>
                <w:sz w:val="4"/>
                <w:szCs w:val="4"/>
              </w:rPr>
            </w:pPr>
            <w:r>
              <w:rPr>
                <w:sz w:val="4"/>
                <w:szCs w:val="4"/>
              </w:rPr>
            </w:r>
          </w:p>
        </w:tc>
        <w:tc>
          <w:tcPr>
            <w:tcW w:w="1160" w:type="dxa"/>
            <w:gridSpan w:val="4"/>
            <w:tcBorders/>
            <w:shd w:fill="auto" w:val="clear"/>
            <w:vAlign w:val="center"/>
          </w:tcPr>
          <w:p>
            <w:pPr>
              <w:pStyle w:val="TableContents"/>
              <w:spacing w:before="0" w:after="283"/>
              <w:rPr>
                <w:sz w:val="4"/>
                <w:szCs w:val="4"/>
              </w:rPr>
            </w:pPr>
            <w:r>
              <w:rPr>
                <w:sz w:val="4"/>
                <w:szCs w:val="4"/>
              </w:rPr>
            </w:r>
          </w:p>
        </w:tc>
        <w:tc>
          <w:tcPr>
            <w:tcW w:w="1040" w:type="dxa"/>
            <w:gridSpan w:val="4"/>
            <w:tcBorders/>
            <w:shd w:fill="auto" w:val="clear"/>
            <w:vAlign w:val="center"/>
          </w:tcPr>
          <w:p>
            <w:pPr>
              <w:pStyle w:val="TableContents"/>
              <w:spacing w:before="0" w:after="283"/>
              <w:rPr>
                <w:sz w:val="4"/>
                <w:szCs w:val="4"/>
              </w:rPr>
            </w:pPr>
            <w:r>
              <w:rPr>
                <w:sz w:val="4"/>
                <w:szCs w:val="4"/>
              </w:rPr>
            </w:r>
          </w:p>
        </w:tc>
        <w:tc>
          <w:tcPr>
            <w:tcW w:w="1175" w:type="dxa"/>
            <w:gridSpan w:val="4"/>
            <w:tcBorders/>
            <w:shd w:fill="auto" w:val="clear"/>
            <w:vAlign w:val="center"/>
          </w:tcPr>
          <w:p>
            <w:pPr>
              <w:pStyle w:val="TableContents"/>
              <w:spacing w:before="0" w:after="283"/>
              <w:rPr>
                <w:sz w:val="4"/>
                <w:szCs w:val="4"/>
              </w:rPr>
            </w:pPr>
            <w:r>
              <w:rPr>
                <w:sz w:val="4"/>
                <w:szCs w:val="4"/>
              </w:rPr>
            </w:r>
          </w:p>
        </w:tc>
      </w:tr>
      <w:tr>
        <w:trPr/>
        <w:tc>
          <w:tcPr>
            <w:tcW w:w="1115" w:type="dxa"/>
            <w:vMerge w:val="restart"/>
            <w:tcBorders/>
            <w:shd w:fill="auto" w:val="clear"/>
            <w:vAlign w:val="center"/>
          </w:tcPr>
          <w:p>
            <w:pPr>
              <w:pStyle w:val="TableContents"/>
              <w:spacing w:before="0" w:after="20"/>
              <w:rPr>
                <w:rFonts w:ascii="ARIAL" w:hAnsi="ARIAL"/>
                <w:b/>
                <w:sz w:val="16"/>
              </w:rPr>
            </w:pPr>
            <w:r>
              <w:rPr>
                <w:rFonts w:ascii="ARIAL" w:hAnsi="ARIAL"/>
                <w:b/>
                <w:sz w:val="16"/>
              </w:rPr>
              <w:t>Name and Position*</w:t>
            </w:r>
          </w:p>
        </w:tc>
        <w:tc>
          <w:tcPr>
            <w:tcW w:w="60" w:type="dxa"/>
            <w:vMerge w:val="restart"/>
            <w:tcBorders/>
            <w:shd w:fill="auto" w:val="clear"/>
            <w:vAlign w:val="center"/>
          </w:tcPr>
          <w:p>
            <w:pPr>
              <w:pStyle w:val="TableContents"/>
              <w:spacing w:before="0" w:after="283"/>
              <w:rPr/>
            </w:pPr>
            <w:r>
              <w:rPr/>
              <w:t> </w:t>
            </w:r>
          </w:p>
        </w:tc>
        <w:tc>
          <w:tcPr>
            <w:tcW w:w="560" w:type="dxa"/>
            <w:gridSpan w:val="2"/>
            <w:vMerge w:val="restart"/>
            <w:tcBorders/>
            <w:shd w:fill="auto" w:val="clear"/>
            <w:vAlign w:val="center"/>
          </w:tcPr>
          <w:p>
            <w:pPr>
              <w:pStyle w:val="TableContents"/>
              <w:spacing w:before="0" w:after="20"/>
              <w:jc w:val="center"/>
              <w:rPr>
                <w:rFonts w:ascii="ARIAL" w:hAnsi="ARIAL"/>
                <w:b/>
                <w:sz w:val="14"/>
              </w:rPr>
            </w:pPr>
            <w:r>
              <w:rPr>
                <w:rFonts w:ascii="ARIAL" w:hAnsi="ARIAL"/>
                <w:b/>
                <w:sz w:val="14"/>
              </w:rPr>
              <w:t>Year</w:t>
            </w:r>
          </w:p>
        </w:tc>
        <w:tc>
          <w:tcPr>
            <w:tcW w:w="60" w:type="dxa"/>
            <w:vMerge w:val="restart"/>
            <w:tcBorders/>
            <w:shd w:fill="auto" w:val="clear"/>
            <w:vAlign w:val="center"/>
          </w:tcPr>
          <w:p>
            <w:pPr>
              <w:pStyle w:val="TableContents"/>
              <w:spacing w:before="0" w:after="283"/>
              <w:rPr/>
            </w:pPr>
            <w:r>
              <w:rPr/>
              <w:t> </w:t>
            </w:r>
          </w:p>
        </w:tc>
        <w:tc>
          <w:tcPr>
            <w:tcW w:w="60" w:type="dxa"/>
            <w:vMerge w:val="restart"/>
            <w:tcBorders/>
            <w:shd w:fill="auto" w:val="clear"/>
            <w:vAlign w:val="center"/>
          </w:tcPr>
          <w:p>
            <w:pPr>
              <w:pStyle w:val="TableContents"/>
              <w:spacing w:before="0" w:after="283"/>
              <w:rPr/>
            </w:pPr>
            <w:r>
              <w:rPr/>
              <w:t> </w:t>
            </w:r>
          </w:p>
        </w:tc>
        <w:tc>
          <w:tcPr>
            <w:tcW w:w="1040" w:type="dxa"/>
            <w:gridSpan w:val="2"/>
            <w:vMerge w:val="restart"/>
            <w:tcBorders/>
            <w:shd w:fill="auto" w:val="clear"/>
            <w:vAlign w:val="center"/>
          </w:tcPr>
          <w:p>
            <w:pPr>
              <w:pStyle w:val="TableContents"/>
              <w:spacing w:before="0" w:after="0"/>
              <w:jc w:val="center"/>
              <w:rPr>
                <w:rFonts w:ascii="ARIAL" w:hAnsi="ARIAL"/>
                <w:b/>
                <w:sz w:val="14"/>
              </w:rPr>
            </w:pPr>
            <w:r>
              <w:rPr>
                <w:rFonts w:ascii="ARIAL" w:hAnsi="ARIAL"/>
                <w:b/>
                <w:sz w:val="14"/>
              </w:rPr>
              <w:t>Salary</w:t>
            </w:r>
          </w:p>
          <w:p>
            <w:pPr>
              <w:pStyle w:val="TableContents"/>
              <w:spacing w:before="0" w:after="0"/>
              <w:jc w:val="center"/>
              <w:rPr>
                <w:rFonts w:ascii="ARIAL" w:hAnsi="ARIAL"/>
                <w:b/>
                <w:sz w:val="14"/>
              </w:rPr>
            </w:pPr>
            <w:r>
              <w:rPr>
                <w:rFonts w:ascii="ARIAL" w:hAnsi="ARIAL"/>
                <w:b/>
                <w:sz w:val="14"/>
              </w:rPr>
              <w:t>($)</w:t>
            </w:r>
          </w:p>
          <w:p>
            <w:pPr>
              <w:pStyle w:val="TableContents"/>
              <w:spacing w:before="0" w:after="20"/>
              <w:jc w:val="center"/>
              <w:rPr>
                <w:rFonts w:ascii="ARIAL" w:hAnsi="ARIAL"/>
                <w:b/>
                <w:sz w:val="14"/>
              </w:rPr>
            </w:pPr>
            <w:r>
              <w:rPr>
                <w:rFonts w:ascii="ARIAL" w:hAnsi="ARIAL"/>
                <w:b/>
                <w:sz w:val="14"/>
              </w:rPr>
              <w:t>(1)</w:t>
            </w:r>
          </w:p>
        </w:tc>
        <w:tc>
          <w:tcPr>
            <w:tcW w:w="60" w:type="dxa"/>
            <w:vMerge w:val="restart"/>
            <w:tcBorders/>
            <w:shd w:fill="auto" w:val="clear"/>
            <w:vAlign w:val="center"/>
          </w:tcPr>
          <w:p>
            <w:pPr>
              <w:pStyle w:val="TableContents"/>
              <w:spacing w:before="0" w:after="283"/>
              <w:rPr/>
            </w:pPr>
            <w:r>
              <w:rPr/>
              <w:t> </w:t>
            </w:r>
          </w:p>
        </w:tc>
        <w:tc>
          <w:tcPr>
            <w:tcW w:w="60" w:type="dxa"/>
            <w:vMerge w:val="restart"/>
            <w:tcBorders/>
            <w:shd w:fill="auto" w:val="clear"/>
            <w:vAlign w:val="center"/>
          </w:tcPr>
          <w:p>
            <w:pPr>
              <w:pStyle w:val="TableContents"/>
              <w:spacing w:before="0" w:after="283"/>
              <w:rPr/>
            </w:pPr>
            <w:r>
              <w:rPr/>
              <w:t> </w:t>
            </w:r>
          </w:p>
        </w:tc>
        <w:tc>
          <w:tcPr>
            <w:tcW w:w="575" w:type="dxa"/>
            <w:gridSpan w:val="2"/>
            <w:vMerge w:val="restart"/>
            <w:tcBorders/>
            <w:shd w:fill="auto" w:val="clear"/>
            <w:vAlign w:val="center"/>
          </w:tcPr>
          <w:p>
            <w:pPr>
              <w:pStyle w:val="TableContents"/>
              <w:spacing w:before="0" w:after="0"/>
              <w:jc w:val="center"/>
              <w:rPr>
                <w:rFonts w:ascii="ARIAL" w:hAnsi="ARIAL"/>
                <w:b/>
                <w:sz w:val="14"/>
              </w:rPr>
            </w:pPr>
            <w:r>
              <w:rPr>
                <w:rFonts w:ascii="ARIAL" w:hAnsi="ARIAL"/>
                <w:b/>
                <w:sz w:val="14"/>
              </w:rPr>
              <w:t>Bonus</w:t>
            </w:r>
          </w:p>
          <w:p>
            <w:pPr>
              <w:pStyle w:val="TableContents"/>
              <w:spacing w:before="0" w:after="0"/>
              <w:jc w:val="center"/>
              <w:rPr>
                <w:rFonts w:ascii="ARIAL" w:hAnsi="ARIAL"/>
                <w:b/>
                <w:sz w:val="14"/>
              </w:rPr>
            </w:pPr>
            <w:r>
              <w:rPr>
                <w:rFonts w:ascii="ARIAL" w:hAnsi="ARIAL"/>
                <w:b/>
                <w:sz w:val="14"/>
              </w:rPr>
              <w:t>($)</w:t>
            </w:r>
          </w:p>
          <w:p>
            <w:pPr>
              <w:pStyle w:val="TableContents"/>
              <w:spacing w:before="0" w:after="20"/>
              <w:jc w:val="center"/>
              <w:rPr>
                <w:rFonts w:ascii="ARIAL" w:hAnsi="ARIAL"/>
                <w:b/>
                <w:sz w:val="14"/>
              </w:rPr>
            </w:pPr>
            <w:r>
              <w:rPr>
                <w:rFonts w:ascii="ARIAL" w:hAnsi="ARIAL"/>
                <w:b/>
                <w:sz w:val="14"/>
              </w:rPr>
              <w:t>(1)</w:t>
            </w:r>
          </w:p>
        </w:tc>
        <w:tc>
          <w:tcPr>
            <w:tcW w:w="60" w:type="dxa"/>
            <w:vMerge w:val="restart"/>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020" w:type="dxa"/>
            <w:gridSpan w:val="6"/>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vMerge w:val="restart"/>
            <w:tcBorders/>
            <w:shd w:fill="auto" w:val="clear"/>
            <w:vAlign w:val="center"/>
          </w:tcPr>
          <w:p>
            <w:pPr>
              <w:pStyle w:val="TableContents"/>
              <w:spacing w:before="0" w:after="283"/>
              <w:rPr/>
            </w:pPr>
            <w:r>
              <w:rPr/>
              <w:t> </w:t>
            </w:r>
          </w:p>
        </w:tc>
        <w:tc>
          <w:tcPr>
            <w:tcW w:w="920" w:type="dxa"/>
            <w:gridSpan w:val="2"/>
            <w:vMerge w:val="restart"/>
            <w:tcBorders/>
            <w:shd w:fill="auto" w:val="clear"/>
            <w:vAlign w:val="center"/>
          </w:tcPr>
          <w:p>
            <w:pPr>
              <w:pStyle w:val="TableContents"/>
              <w:spacing w:before="0" w:after="0"/>
              <w:jc w:val="center"/>
              <w:rPr>
                <w:rFonts w:ascii="ARIAL" w:hAnsi="ARIAL"/>
                <w:b/>
                <w:sz w:val="14"/>
              </w:rPr>
            </w:pPr>
            <w:r>
              <w:rPr>
                <w:rFonts w:ascii="ARIAL" w:hAnsi="ARIAL"/>
                <w:b/>
                <w:sz w:val="14"/>
              </w:rPr>
              <w:t>Non-equity</w:t>
            </w:r>
          </w:p>
          <w:p>
            <w:pPr>
              <w:pStyle w:val="TableContents"/>
              <w:spacing w:before="0" w:after="0"/>
              <w:jc w:val="center"/>
              <w:rPr>
                <w:rFonts w:ascii="ARIAL" w:hAnsi="ARIAL"/>
                <w:b/>
                <w:sz w:val="14"/>
              </w:rPr>
            </w:pPr>
            <w:r>
              <w:rPr>
                <w:rFonts w:ascii="ARIAL" w:hAnsi="ARIAL"/>
                <w:b/>
                <w:sz w:val="14"/>
              </w:rPr>
              <w:t>Incentive</w:t>
            </w:r>
          </w:p>
          <w:p>
            <w:pPr>
              <w:pStyle w:val="TableContents"/>
              <w:spacing w:before="0" w:after="0"/>
              <w:jc w:val="center"/>
              <w:rPr>
                <w:rFonts w:ascii="ARIAL" w:hAnsi="ARIAL"/>
                <w:b/>
                <w:sz w:val="14"/>
              </w:rPr>
            </w:pPr>
            <w:r>
              <w:rPr>
                <w:rFonts w:ascii="ARIAL" w:hAnsi="ARIAL"/>
                <w:b/>
                <w:sz w:val="14"/>
              </w:rPr>
              <w:t>Plan</w:t>
              <w:br/>
              <w:t>Compensation</w:t>
              <w:br/>
              <w:t>($)</w:t>
            </w:r>
          </w:p>
          <w:p>
            <w:pPr>
              <w:pStyle w:val="TableContents"/>
              <w:spacing w:before="0" w:after="20"/>
              <w:jc w:val="center"/>
              <w:rPr>
                <w:rFonts w:ascii="ARIAL" w:hAnsi="ARIAL"/>
                <w:b/>
                <w:sz w:val="14"/>
              </w:rPr>
            </w:pPr>
            <w:r>
              <w:rPr>
                <w:rFonts w:ascii="ARIAL" w:hAnsi="ARIAL"/>
                <w:b/>
                <w:sz w:val="14"/>
              </w:rPr>
              <w:t>(1)</w:t>
            </w:r>
          </w:p>
        </w:tc>
        <w:tc>
          <w:tcPr>
            <w:tcW w:w="60" w:type="dxa"/>
            <w:vMerge w:val="restart"/>
            <w:tcBorders/>
            <w:shd w:fill="auto" w:val="clear"/>
            <w:vAlign w:val="center"/>
          </w:tcPr>
          <w:p>
            <w:pPr>
              <w:pStyle w:val="TableContents"/>
              <w:spacing w:before="0" w:after="283"/>
              <w:rPr/>
            </w:pPr>
            <w:r>
              <w:rPr/>
              <w:t> </w:t>
            </w:r>
          </w:p>
        </w:tc>
        <w:tc>
          <w:tcPr>
            <w:tcW w:w="60" w:type="dxa"/>
            <w:vMerge w:val="restart"/>
            <w:tcBorders/>
            <w:shd w:fill="auto" w:val="clear"/>
            <w:vAlign w:val="center"/>
          </w:tcPr>
          <w:p>
            <w:pPr>
              <w:pStyle w:val="TableContents"/>
              <w:spacing w:before="0" w:after="283"/>
              <w:rPr/>
            </w:pPr>
            <w:r>
              <w:rPr/>
              <w:t> </w:t>
            </w:r>
          </w:p>
        </w:tc>
        <w:tc>
          <w:tcPr>
            <w:tcW w:w="1040" w:type="dxa"/>
            <w:gridSpan w:val="2"/>
            <w:vMerge w:val="restart"/>
            <w:tcBorders/>
            <w:shd w:fill="auto" w:val="clear"/>
            <w:vAlign w:val="center"/>
          </w:tcPr>
          <w:p>
            <w:pPr>
              <w:pStyle w:val="TableContents"/>
              <w:spacing w:before="0" w:after="0"/>
              <w:jc w:val="center"/>
              <w:rPr>
                <w:rFonts w:ascii="ARIAL" w:hAnsi="ARIAL"/>
                <w:b/>
                <w:sz w:val="14"/>
              </w:rPr>
            </w:pPr>
            <w:r>
              <w:rPr>
                <w:rFonts w:ascii="ARIAL" w:hAnsi="ARIAL"/>
                <w:b/>
                <w:sz w:val="14"/>
              </w:rPr>
              <w:t>Change in</w:t>
              <w:br/>
              <w:t>Pension</w:t>
            </w:r>
          </w:p>
          <w:p>
            <w:pPr>
              <w:pStyle w:val="TableContents"/>
              <w:spacing w:before="0" w:after="0"/>
              <w:jc w:val="center"/>
              <w:rPr>
                <w:rFonts w:ascii="ARIAL" w:hAnsi="ARIAL"/>
                <w:b/>
                <w:sz w:val="14"/>
              </w:rPr>
            </w:pPr>
            <w:r>
              <w:rPr>
                <w:rFonts w:ascii="ARIAL" w:hAnsi="ARIAL"/>
                <w:b/>
                <w:sz w:val="14"/>
              </w:rPr>
              <w:t>Value and</w:t>
              <w:br/>
              <w:t>Nonqualified</w:t>
            </w:r>
          </w:p>
          <w:p>
            <w:pPr>
              <w:pStyle w:val="TableContents"/>
              <w:spacing w:before="0" w:after="0"/>
              <w:jc w:val="center"/>
              <w:rPr>
                <w:rFonts w:ascii="ARIAL" w:hAnsi="ARIAL"/>
                <w:b/>
                <w:sz w:val="14"/>
              </w:rPr>
            </w:pPr>
            <w:r>
              <w:rPr>
                <w:rFonts w:ascii="ARIAL" w:hAnsi="ARIAL"/>
                <w:b/>
                <w:sz w:val="14"/>
              </w:rPr>
              <w:t>Deferred</w:t>
              <w:br/>
              <w:t>Compensation</w:t>
              <w:br/>
              <w:t>Earnings</w:t>
            </w:r>
          </w:p>
          <w:p>
            <w:pPr>
              <w:pStyle w:val="TableContents"/>
              <w:spacing w:before="0" w:after="0"/>
              <w:jc w:val="center"/>
              <w:rPr>
                <w:rFonts w:ascii="ARIAL" w:hAnsi="ARIAL"/>
                <w:b/>
                <w:sz w:val="14"/>
              </w:rPr>
            </w:pPr>
            <w:r>
              <w:rPr>
                <w:rFonts w:ascii="ARIAL" w:hAnsi="ARIAL"/>
                <w:b/>
                <w:sz w:val="14"/>
              </w:rPr>
              <w:t>($)</w:t>
            </w:r>
          </w:p>
          <w:p>
            <w:pPr>
              <w:pStyle w:val="TableContents"/>
              <w:spacing w:before="0" w:after="20"/>
              <w:jc w:val="center"/>
              <w:rPr>
                <w:rFonts w:ascii="ARIAL" w:hAnsi="ARIAL"/>
                <w:b/>
                <w:sz w:val="14"/>
              </w:rPr>
            </w:pPr>
            <w:r>
              <w:rPr>
                <w:rFonts w:ascii="ARIAL" w:hAnsi="ARIAL"/>
                <w:b/>
                <w:sz w:val="14"/>
              </w:rPr>
              <w:t>(4)</w:t>
            </w:r>
          </w:p>
        </w:tc>
        <w:tc>
          <w:tcPr>
            <w:tcW w:w="60" w:type="dxa"/>
            <w:vMerge w:val="restart"/>
            <w:tcBorders/>
            <w:shd w:fill="auto" w:val="clear"/>
            <w:vAlign w:val="center"/>
          </w:tcPr>
          <w:p>
            <w:pPr>
              <w:pStyle w:val="TableContents"/>
              <w:spacing w:before="0" w:after="283"/>
              <w:rPr/>
            </w:pPr>
            <w:r>
              <w:rPr/>
              <w:t> </w:t>
            </w:r>
          </w:p>
        </w:tc>
        <w:tc>
          <w:tcPr>
            <w:tcW w:w="60" w:type="dxa"/>
            <w:vMerge w:val="restart"/>
            <w:tcBorders/>
            <w:shd w:fill="auto" w:val="clear"/>
            <w:vAlign w:val="center"/>
          </w:tcPr>
          <w:p>
            <w:pPr>
              <w:pStyle w:val="TableContents"/>
              <w:spacing w:before="0" w:after="283"/>
              <w:rPr/>
            </w:pPr>
            <w:r>
              <w:rPr/>
              <w:t> </w:t>
            </w:r>
          </w:p>
        </w:tc>
        <w:tc>
          <w:tcPr>
            <w:tcW w:w="920" w:type="dxa"/>
            <w:gridSpan w:val="2"/>
            <w:vMerge w:val="restart"/>
            <w:tcBorders/>
            <w:shd w:fill="auto" w:val="clear"/>
            <w:vAlign w:val="center"/>
          </w:tcPr>
          <w:p>
            <w:pPr>
              <w:pStyle w:val="TableContents"/>
              <w:spacing w:before="0" w:after="0"/>
              <w:jc w:val="center"/>
              <w:rPr>
                <w:rFonts w:ascii="ARIAL" w:hAnsi="ARIAL"/>
                <w:b/>
                <w:sz w:val="14"/>
              </w:rPr>
            </w:pPr>
            <w:r>
              <w:rPr>
                <w:rFonts w:ascii="ARIAL" w:hAnsi="ARIAL"/>
                <w:b/>
                <w:sz w:val="14"/>
              </w:rPr>
              <w:t>All</w:t>
            </w:r>
          </w:p>
          <w:p>
            <w:pPr>
              <w:pStyle w:val="TableContents"/>
              <w:spacing w:before="0" w:after="0"/>
              <w:jc w:val="center"/>
              <w:rPr>
                <w:rFonts w:ascii="ARIAL" w:hAnsi="ARIAL"/>
                <w:b/>
                <w:sz w:val="14"/>
              </w:rPr>
            </w:pPr>
            <w:r>
              <w:rPr>
                <w:rFonts w:ascii="ARIAL" w:hAnsi="ARIAL"/>
                <w:b/>
                <w:sz w:val="14"/>
              </w:rPr>
              <w:t>Other</w:t>
              <w:br/>
              <w:t>Compensation</w:t>
            </w:r>
          </w:p>
          <w:p>
            <w:pPr>
              <w:pStyle w:val="TableContents"/>
              <w:spacing w:before="0" w:after="0"/>
              <w:jc w:val="center"/>
              <w:rPr>
                <w:rFonts w:ascii="ARIAL" w:hAnsi="ARIAL"/>
                <w:b/>
                <w:sz w:val="14"/>
              </w:rPr>
            </w:pPr>
            <w:r>
              <w:rPr>
                <w:rFonts w:ascii="ARIAL" w:hAnsi="ARIAL"/>
                <w:b/>
                <w:sz w:val="14"/>
              </w:rPr>
              <w:t>($)</w:t>
            </w:r>
          </w:p>
          <w:p>
            <w:pPr>
              <w:pStyle w:val="TableContents"/>
              <w:spacing w:before="0" w:after="20"/>
              <w:jc w:val="center"/>
              <w:rPr>
                <w:rFonts w:ascii="ARIAL" w:hAnsi="ARIAL"/>
                <w:b/>
                <w:sz w:val="14"/>
              </w:rPr>
            </w:pPr>
            <w:r>
              <w:rPr>
                <w:rFonts w:ascii="ARIAL" w:hAnsi="ARIAL"/>
                <w:b/>
                <w:sz w:val="14"/>
              </w:rPr>
              <w:t>(5)</w:t>
            </w:r>
          </w:p>
        </w:tc>
        <w:tc>
          <w:tcPr>
            <w:tcW w:w="60" w:type="dxa"/>
            <w:vMerge w:val="restart"/>
            <w:tcBorders/>
            <w:shd w:fill="auto" w:val="clear"/>
            <w:vAlign w:val="center"/>
          </w:tcPr>
          <w:p>
            <w:pPr>
              <w:pStyle w:val="TableContents"/>
              <w:spacing w:before="0" w:after="283"/>
              <w:rPr/>
            </w:pPr>
            <w:r>
              <w:rPr/>
              <w:t> </w:t>
            </w:r>
          </w:p>
        </w:tc>
        <w:tc>
          <w:tcPr>
            <w:tcW w:w="60" w:type="dxa"/>
            <w:vMerge w:val="restart"/>
            <w:tcBorders/>
            <w:shd w:fill="auto" w:val="clear"/>
            <w:vAlign w:val="center"/>
          </w:tcPr>
          <w:p>
            <w:pPr>
              <w:pStyle w:val="TableContents"/>
              <w:spacing w:before="0" w:after="283"/>
              <w:rPr/>
            </w:pPr>
            <w:r>
              <w:rPr/>
              <w:t> </w:t>
            </w:r>
          </w:p>
        </w:tc>
        <w:tc>
          <w:tcPr>
            <w:tcW w:w="1040" w:type="dxa"/>
            <w:gridSpan w:val="2"/>
            <w:vMerge w:val="restart"/>
            <w:tcBorders/>
            <w:shd w:fill="auto" w:val="clear"/>
            <w:vAlign w:val="center"/>
          </w:tcPr>
          <w:p>
            <w:pPr>
              <w:pStyle w:val="TableContents"/>
              <w:spacing w:before="0" w:after="20"/>
              <w:jc w:val="center"/>
              <w:rPr>
                <w:rFonts w:ascii="ARIAL" w:hAnsi="ARIAL"/>
                <w:b/>
                <w:sz w:val="14"/>
              </w:rPr>
            </w:pPr>
            <w:r>
              <w:rPr>
                <w:rFonts w:ascii="ARIAL" w:hAnsi="ARIAL"/>
                <w:b/>
                <w:sz w:val="14"/>
              </w:rPr>
              <w:t>Total</w:t>
              <w:br/>
              <w:t>Compensation</w:t>
              <w:br/>
              <w:t>($)</w:t>
            </w:r>
          </w:p>
        </w:tc>
        <w:tc>
          <w:tcPr>
            <w:tcW w:w="75" w:type="dxa"/>
            <w:vMerge w:val="restart"/>
            <w:tcBorders/>
            <w:shd w:fill="auto" w:val="clear"/>
            <w:vAlign w:val="center"/>
          </w:tcPr>
          <w:p>
            <w:pPr>
              <w:pStyle w:val="TableContents"/>
              <w:spacing w:before="0" w:after="283"/>
              <w:rPr/>
            </w:pPr>
            <w:r>
              <w:rPr/>
              <w:t> </w:t>
            </w:r>
          </w:p>
        </w:tc>
      </w:tr>
      <w:tr>
        <w:trPr/>
        <w:tc>
          <w:tcPr>
            <w:tcW w:w="1115" w:type="dxa"/>
            <w:vMerge w:val="continue"/>
            <w:tcBorders/>
            <w:shd w:fill="auto" w:val="clear"/>
            <w:vAlign w:val="center"/>
          </w:tcPr>
          <w:p>
            <w:pPr>
              <w:pStyle w:val="Normal"/>
              <w:rPr/>
            </w:pPr>
            <w:r>
              <w:rPr/>
            </w:r>
          </w:p>
        </w:tc>
        <w:tc>
          <w:tcPr>
            <w:tcW w:w="60" w:type="dxa"/>
            <w:vMerge w:val="continue"/>
            <w:tcBorders/>
            <w:shd w:fill="auto" w:val="clear"/>
            <w:vAlign w:val="center"/>
          </w:tcPr>
          <w:p>
            <w:pPr>
              <w:pStyle w:val="Normal"/>
              <w:rPr/>
            </w:pPr>
            <w:r>
              <w:rPr/>
            </w:r>
          </w:p>
        </w:tc>
        <w:tc>
          <w:tcPr>
            <w:tcW w:w="560" w:type="dxa"/>
            <w:gridSpan w:val="2"/>
            <w:vMerge w:val="continue"/>
            <w:tcBorders/>
            <w:shd w:fill="auto" w:val="clear"/>
            <w:vAlign w:val="center"/>
          </w:tcPr>
          <w:p>
            <w:pPr>
              <w:pStyle w:val="Normal"/>
              <w:rPr/>
            </w:pPr>
            <w:r>
              <w:rPr/>
            </w:r>
          </w:p>
        </w:tc>
        <w:tc>
          <w:tcPr>
            <w:tcW w:w="60" w:type="dxa"/>
            <w:vMerge w:val="continue"/>
            <w:tcBorders/>
            <w:shd w:fill="auto" w:val="clear"/>
            <w:vAlign w:val="center"/>
          </w:tcPr>
          <w:p>
            <w:pPr>
              <w:pStyle w:val="Normal"/>
              <w:rPr/>
            </w:pPr>
            <w:r>
              <w:rPr/>
            </w:r>
          </w:p>
        </w:tc>
        <w:tc>
          <w:tcPr>
            <w:tcW w:w="60" w:type="dxa"/>
            <w:vMerge w:val="continue"/>
            <w:tcBorders/>
            <w:shd w:fill="auto" w:val="clear"/>
            <w:vAlign w:val="center"/>
          </w:tcPr>
          <w:p>
            <w:pPr>
              <w:pStyle w:val="Normal"/>
              <w:rPr/>
            </w:pPr>
            <w:r>
              <w:rPr/>
            </w:r>
          </w:p>
        </w:tc>
        <w:tc>
          <w:tcPr>
            <w:tcW w:w="1040" w:type="dxa"/>
            <w:gridSpan w:val="2"/>
            <w:vMerge w:val="continue"/>
            <w:tcBorders/>
            <w:shd w:fill="auto" w:val="clear"/>
            <w:vAlign w:val="center"/>
          </w:tcPr>
          <w:p>
            <w:pPr>
              <w:pStyle w:val="Normal"/>
              <w:rPr/>
            </w:pPr>
            <w:r>
              <w:rPr/>
            </w:r>
          </w:p>
        </w:tc>
        <w:tc>
          <w:tcPr>
            <w:tcW w:w="60" w:type="dxa"/>
            <w:vMerge w:val="continue"/>
            <w:tcBorders/>
            <w:shd w:fill="auto" w:val="clear"/>
            <w:vAlign w:val="center"/>
          </w:tcPr>
          <w:p>
            <w:pPr>
              <w:pStyle w:val="Normal"/>
              <w:rPr/>
            </w:pPr>
            <w:r>
              <w:rPr/>
            </w:r>
          </w:p>
        </w:tc>
        <w:tc>
          <w:tcPr>
            <w:tcW w:w="60" w:type="dxa"/>
            <w:vMerge w:val="continue"/>
            <w:tcBorders/>
            <w:shd w:fill="auto" w:val="clear"/>
            <w:vAlign w:val="center"/>
          </w:tcPr>
          <w:p>
            <w:pPr>
              <w:pStyle w:val="Normal"/>
              <w:rPr/>
            </w:pPr>
            <w:r>
              <w:rPr/>
            </w:r>
          </w:p>
        </w:tc>
        <w:tc>
          <w:tcPr>
            <w:tcW w:w="575" w:type="dxa"/>
            <w:gridSpan w:val="2"/>
            <w:vMerge w:val="continue"/>
            <w:tcBorders/>
            <w:shd w:fill="auto" w:val="clear"/>
            <w:vAlign w:val="center"/>
          </w:tcPr>
          <w:p>
            <w:pPr>
              <w:pStyle w:val="Normal"/>
              <w:rPr/>
            </w:pPr>
            <w:r>
              <w:rPr/>
            </w:r>
          </w:p>
        </w:tc>
        <w:tc>
          <w:tcPr>
            <w:tcW w:w="60" w:type="dxa"/>
            <w:vMerge w:val="continue"/>
            <w:tcBorders/>
            <w:shd w:fill="auto" w:val="clear"/>
            <w:vAlign w:val="center"/>
          </w:tcPr>
          <w:p>
            <w:pPr>
              <w:pStyle w:val="Normal"/>
              <w:rPr/>
            </w:pPr>
            <w:r>
              <w:rPr/>
            </w:r>
          </w:p>
        </w:tc>
        <w:tc>
          <w:tcPr>
            <w:tcW w:w="60" w:type="dxa"/>
            <w:tcBorders/>
            <w:shd w:fill="auto" w:val="clear"/>
            <w:vAlign w:val="center"/>
          </w:tcPr>
          <w:p>
            <w:pPr>
              <w:pStyle w:val="TableContents"/>
              <w:spacing w:before="0" w:after="283"/>
              <w:rPr/>
            </w:pPr>
            <w:r>
              <w:rPr/>
              <w:t> </w:t>
            </w:r>
          </w:p>
        </w:tc>
        <w:tc>
          <w:tcPr>
            <w:tcW w:w="1040" w:type="dxa"/>
            <w:gridSpan w:val="2"/>
            <w:tcBorders/>
            <w:shd w:fill="auto" w:val="clear"/>
            <w:vAlign w:val="center"/>
          </w:tcPr>
          <w:p>
            <w:pPr>
              <w:pStyle w:val="TableContents"/>
              <w:spacing w:before="0" w:after="0"/>
              <w:jc w:val="center"/>
              <w:rPr>
                <w:rFonts w:ascii="ARIAL" w:hAnsi="ARIAL"/>
                <w:b/>
                <w:sz w:val="14"/>
              </w:rPr>
            </w:pPr>
            <w:r>
              <w:rPr>
                <w:rFonts w:ascii="ARIAL" w:hAnsi="ARIAL"/>
                <w:b/>
                <w:sz w:val="14"/>
              </w:rPr>
              <w:t>Stock</w:t>
            </w:r>
          </w:p>
          <w:p>
            <w:pPr>
              <w:pStyle w:val="TableContents"/>
              <w:spacing w:before="0" w:after="0"/>
              <w:jc w:val="center"/>
              <w:rPr>
                <w:rFonts w:ascii="ARIAL" w:hAnsi="ARIAL"/>
                <w:b/>
                <w:sz w:val="14"/>
              </w:rPr>
            </w:pPr>
            <w:r>
              <w:rPr>
                <w:rFonts w:ascii="ARIAL" w:hAnsi="ARIAL"/>
                <w:b/>
                <w:sz w:val="14"/>
              </w:rPr>
              <w:t>Awards</w:t>
            </w:r>
          </w:p>
          <w:p>
            <w:pPr>
              <w:pStyle w:val="TableContents"/>
              <w:spacing w:before="0" w:after="0"/>
              <w:jc w:val="center"/>
              <w:rPr>
                <w:rFonts w:ascii="ARIAL" w:hAnsi="ARIAL"/>
                <w:b/>
                <w:sz w:val="14"/>
              </w:rPr>
            </w:pPr>
            <w:r>
              <w:rPr>
                <w:rFonts w:ascii="ARIAL" w:hAnsi="ARIAL"/>
                <w:b/>
                <w:sz w:val="14"/>
              </w:rPr>
              <w:t>($)</w:t>
            </w:r>
          </w:p>
          <w:p>
            <w:pPr>
              <w:pStyle w:val="TableContents"/>
              <w:spacing w:before="0" w:after="20"/>
              <w:jc w:val="center"/>
              <w:rPr>
                <w:rFonts w:ascii="ARIAL" w:hAnsi="ARIAL"/>
                <w:b/>
                <w:sz w:val="14"/>
              </w:rPr>
            </w:pPr>
            <w:r>
              <w:rPr>
                <w:rFonts w:ascii="ARIAL" w:hAnsi="ARIAL"/>
                <w:b/>
                <w:sz w:val="14"/>
              </w:rPr>
              <w:t>(2)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60" w:type="dxa"/>
            <w:gridSpan w:val="2"/>
            <w:tcBorders/>
            <w:shd w:fill="auto" w:val="clear"/>
            <w:vAlign w:val="center"/>
          </w:tcPr>
          <w:p>
            <w:pPr>
              <w:pStyle w:val="TableContents"/>
              <w:spacing w:before="0" w:after="0"/>
              <w:jc w:val="center"/>
              <w:rPr>
                <w:rFonts w:ascii="ARIAL" w:hAnsi="ARIAL"/>
                <w:b/>
                <w:sz w:val="14"/>
              </w:rPr>
            </w:pPr>
            <w:r>
              <w:rPr>
                <w:rFonts w:ascii="ARIAL" w:hAnsi="ARIAL"/>
                <w:b/>
                <w:sz w:val="14"/>
              </w:rPr>
              <w:t>Option</w:t>
            </w:r>
          </w:p>
          <w:p>
            <w:pPr>
              <w:pStyle w:val="TableContents"/>
              <w:spacing w:before="0" w:after="0"/>
              <w:jc w:val="center"/>
              <w:rPr>
                <w:rFonts w:ascii="ARIAL" w:hAnsi="ARIAL"/>
                <w:b/>
                <w:sz w:val="14"/>
              </w:rPr>
            </w:pPr>
            <w:r>
              <w:rPr>
                <w:rFonts w:ascii="ARIAL" w:hAnsi="ARIAL"/>
                <w:b/>
                <w:sz w:val="14"/>
              </w:rPr>
              <w:t>Awards</w:t>
            </w:r>
          </w:p>
          <w:p>
            <w:pPr>
              <w:pStyle w:val="TableContents"/>
              <w:spacing w:before="0" w:after="0"/>
              <w:jc w:val="center"/>
              <w:rPr>
                <w:rFonts w:ascii="ARIAL" w:hAnsi="ARIAL"/>
                <w:b/>
                <w:sz w:val="14"/>
              </w:rPr>
            </w:pPr>
            <w:r>
              <w:rPr>
                <w:rFonts w:ascii="ARIAL" w:hAnsi="ARIAL"/>
                <w:b/>
                <w:sz w:val="14"/>
              </w:rPr>
              <w:t>($)</w:t>
            </w:r>
          </w:p>
          <w:p>
            <w:pPr>
              <w:pStyle w:val="TableContents"/>
              <w:spacing w:before="0" w:after="20"/>
              <w:jc w:val="center"/>
              <w:rPr>
                <w:rFonts w:ascii="ARIAL" w:hAnsi="ARIAL"/>
                <w:b/>
                <w:sz w:val="14"/>
              </w:rPr>
            </w:pPr>
            <w:r>
              <w:rPr>
                <w:rFonts w:ascii="ARIAL" w:hAnsi="ARIAL"/>
                <w:b/>
                <w:sz w:val="14"/>
              </w:rPr>
              <w:t>(3)</w:t>
            </w:r>
          </w:p>
        </w:tc>
        <w:tc>
          <w:tcPr>
            <w:tcW w:w="60" w:type="dxa"/>
            <w:tcBorders/>
            <w:shd w:fill="auto" w:val="clear"/>
            <w:vAlign w:val="center"/>
          </w:tcPr>
          <w:p>
            <w:pPr>
              <w:pStyle w:val="TableContents"/>
              <w:spacing w:before="0" w:after="283"/>
              <w:rPr/>
            </w:pPr>
            <w:r>
              <w:rPr/>
              <w:t> </w:t>
            </w:r>
          </w:p>
        </w:tc>
        <w:tc>
          <w:tcPr>
            <w:tcW w:w="60" w:type="dxa"/>
            <w:vMerge w:val="continue"/>
            <w:tcBorders/>
            <w:shd w:fill="auto" w:val="clear"/>
            <w:vAlign w:val="center"/>
          </w:tcPr>
          <w:p>
            <w:pPr>
              <w:pStyle w:val="Normal"/>
              <w:rPr/>
            </w:pPr>
            <w:r>
              <w:rPr/>
            </w:r>
          </w:p>
        </w:tc>
        <w:tc>
          <w:tcPr>
            <w:tcW w:w="920" w:type="dxa"/>
            <w:gridSpan w:val="2"/>
            <w:vMerge w:val="continue"/>
            <w:tcBorders/>
            <w:shd w:fill="auto" w:val="clear"/>
            <w:vAlign w:val="center"/>
          </w:tcPr>
          <w:p>
            <w:pPr>
              <w:pStyle w:val="Normal"/>
              <w:rPr/>
            </w:pPr>
            <w:r>
              <w:rPr/>
            </w:r>
          </w:p>
        </w:tc>
        <w:tc>
          <w:tcPr>
            <w:tcW w:w="60" w:type="dxa"/>
            <w:vMerge w:val="continue"/>
            <w:tcBorders/>
            <w:shd w:fill="auto" w:val="clear"/>
            <w:vAlign w:val="center"/>
          </w:tcPr>
          <w:p>
            <w:pPr>
              <w:pStyle w:val="Normal"/>
              <w:rPr/>
            </w:pPr>
            <w:r>
              <w:rPr/>
            </w:r>
          </w:p>
        </w:tc>
        <w:tc>
          <w:tcPr>
            <w:tcW w:w="60" w:type="dxa"/>
            <w:vMerge w:val="continue"/>
            <w:tcBorders/>
            <w:shd w:fill="auto" w:val="clear"/>
            <w:vAlign w:val="center"/>
          </w:tcPr>
          <w:p>
            <w:pPr>
              <w:pStyle w:val="Normal"/>
              <w:rPr/>
            </w:pPr>
            <w:r>
              <w:rPr/>
            </w:r>
          </w:p>
        </w:tc>
        <w:tc>
          <w:tcPr>
            <w:tcW w:w="1040" w:type="dxa"/>
            <w:gridSpan w:val="2"/>
            <w:vMerge w:val="continue"/>
            <w:tcBorders/>
            <w:shd w:fill="auto" w:val="clear"/>
            <w:vAlign w:val="center"/>
          </w:tcPr>
          <w:p>
            <w:pPr>
              <w:pStyle w:val="Normal"/>
              <w:rPr/>
            </w:pPr>
            <w:r>
              <w:rPr/>
            </w:r>
          </w:p>
        </w:tc>
        <w:tc>
          <w:tcPr>
            <w:tcW w:w="60" w:type="dxa"/>
            <w:vMerge w:val="continue"/>
            <w:tcBorders/>
            <w:shd w:fill="auto" w:val="clear"/>
            <w:vAlign w:val="center"/>
          </w:tcPr>
          <w:p>
            <w:pPr>
              <w:pStyle w:val="Normal"/>
              <w:rPr/>
            </w:pPr>
            <w:r>
              <w:rPr/>
            </w:r>
          </w:p>
        </w:tc>
        <w:tc>
          <w:tcPr>
            <w:tcW w:w="60" w:type="dxa"/>
            <w:vMerge w:val="continue"/>
            <w:tcBorders/>
            <w:shd w:fill="auto" w:val="clear"/>
            <w:vAlign w:val="center"/>
          </w:tcPr>
          <w:p>
            <w:pPr>
              <w:pStyle w:val="Normal"/>
              <w:rPr/>
            </w:pPr>
            <w:r>
              <w:rPr/>
            </w:r>
          </w:p>
        </w:tc>
        <w:tc>
          <w:tcPr>
            <w:tcW w:w="920" w:type="dxa"/>
            <w:gridSpan w:val="2"/>
            <w:vMerge w:val="continue"/>
            <w:tcBorders/>
            <w:shd w:fill="auto" w:val="clear"/>
            <w:vAlign w:val="center"/>
          </w:tcPr>
          <w:p>
            <w:pPr>
              <w:pStyle w:val="Normal"/>
              <w:rPr/>
            </w:pPr>
            <w:r>
              <w:rPr/>
            </w:r>
          </w:p>
        </w:tc>
        <w:tc>
          <w:tcPr>
            <w:tcW w:w="60" w:type="dxa"/>
            <w:vMerge w:val="continue"/>
            <w:tcBorders/>
            <w:shd w:fill="auto" w:val="clear"/>
            <w:vAlign w:val="center"/>
          </w:tcPr>
          <w:p>
            <w:pPr>
              <w:pStyle w:val="Normal"/>
              <w:rPr/>
            </w:pPr>
            <w:r>
              <w:rPr/>
            </w:r>
          </w:p>
        </w:tc>
        <w:tc>
          <w:tcPr>
            <w:tcW w:w="60" w:type="dxa"/>
            <w:vMerge w:val="continue"/>
            <w:tcBorders/>
            <w:shd w:fill="auto" w:val="clear"/>
            <w:vAlign w:val="center"/>
          </w:tcPr>
          <w:p>
            <w:pPr>
              <w:pStyle w:val="Normal"/>
              <w:rPr/>
            </w:pPr>
            <w:r>
              <w:rPr/>
            </w:r>
          </w:p>
        </w:tc>
        <w:tc>
          <w:tcPr>
            <w:tcW w:w="1040" w:type="dxa"/>
            <w:gridSpan w:val="2"/>
            <w:vMerge w:val="continue"/>
            <w:tcBorders/>
            <w:shd w:fill="auto" w:val="clear"/>
            <w:vAlign w:val="center"/>
          </w:tcPr>
          <w:p>
            <w:pPr>
              <w:pStyle w:val="Normal"/>
              <w:rPr/>
            </w:pPr>
            <w:r>
              <w:rPr/>
            </w:r>
          </w:p>
        </w:tc>
        <w:tc>
          <w:tcPr>
            <w:tcW w:w="75" w:type="dxa"/>
            <w:vMerge w:val="continue"/>
            <w:tcBorders/>
            <w:shd w:fill="auto" w:val="clear"/>
            <w:vAlign w:val="center"/>
          </w:tcPr>
          <w:p>
            <w:pPr>
              <w:pStyle w:val="Normal"/>
              <w:rPr/>
            </w:pPr>
            <w:r>
              <w:rPr/>
            </w:r>
          </w:p>
        </w:tc>
      </w:tr>
      <w:tr>
        <w:trPr/>
        <w:tc>
          <w:tcPr>
            <w:tcW w:w="1115" w:type="dxa"/>
            <w:tcBorders>
              <w:top w:val="single" w:sz="6" w:space="0" w:color="000000"/>
            </w:tcBorders>
            <w:shd w:fill="CEE8F6" w:val="clear"/>
            <w:tcMar>
              <w:top w:w="28" w:type="dxa"/>
            </w:tcMar>
            <w:vAlign w:val="center"/>
          </w:tcPr>
          <w:p>
            <w:pPr>
              <w:pStyle w:val="TableContents"/>
              <w:spacing w:before="0" w:after="283"/>
              <w:rPr/>
            </w:pPr>
            <w:r>
              <w:rPr/>
              <w:t> </w:t>
            </w:r>
          </w:p>
        </w:tc>
        <w:tc>
          <w:tcPr>
            <w:tcW w:w="680" w:type="dxa"/>
            <w:gridSpan w:val="4"/>
            <w:tcBorders>
              <w:top w:val="single" w:sz="6" w:space="0" w:color="000000"/>
            </w:tcBorders>
            <w:shd w:fill="CEE8F6" w:val="clear"/>
            <w:tcMar>
              <w:top w:w="28" w:type="dxa"/>
            </w:tcMar>
            <w:vAlign w:val="center"/>
          </w:tcPr>
          <w:p>
            <w:pPr>
              <w:pStyle w:val="TableContents"/>
              <w:spacing w:before="0" w:after="283"/>
              <w:rPr/>
            </w:pPr>
            <w:r>
              <w:rPr/>
              <w:t> </w:t>
            </w:r>
          </w:p>
        </w:tc>
        <w:tc>
          <w:tcPr>
            <w:tcW w:w="1160" w:type="dxa"/>
            <w:gridSpan w:val="4"/>
            <w:tcBorders>
              <w:top w:val="single" w:sz="6" w:space="0" w:color="000000"/>
            </w:tcBorders>
            <w:shd w:fill="CEE8F6" w:val="clear"/>
            <w:tcMar>
              <w:top w:w="28" w:type="dxa"/>
            </w:tcMar>
            <w:vAlign w:val="center"/>
          </w:tcPr>
          <w:p>
            <w:pPr>
              <w:pStyle w:val="TableContents"/>
              <w:spacing w:before="0" w:after="283"/>
              <w:rPr/>
            </w:pPr>
            <w:r>
              <w:rPr/>
              <w:t> </w:t>
            </w:r>
          </w:p>
        </w:tc>
        <w:tc>
          <w:tcPr>
            <w:tcW w:w="695" w:type="dxa"/>
            <w:gridSpan w:val="4"/>
            <w:tcBorders>
              <w:top w:val="single" w:sz="6" w:space="0" w:color="000000"/>
            </w:tcBorders>
            <w:shd w:fill="CEE8F6" w:val="clear"/>
            <w:tcMar>
              <w:top w:w="28" w:type="dxa"/>
            </w:tcMar>
            <w:vAlign w:val="center"/>
          </w:tcPr>
          <w:p>
            <w:pPr>
              <w:pStyle w:val="TableContents"/>
              <w:spacing w:before="0" w:after="283"/>
              <w:rPr/>
            </w:pPr>
            <w:r>
              <w:rPr/>
              <w:t> </w:t>
            </w:r>
          </w:p>
        </w:tc>
        <w:tc>
          <w:tcPr>
            <w:tcW w:w="1160" w:type="dxa"/>
            <w:gridSpan w:val="4"/>
            <w:tcBorders>
              <w:top w:val="single" w:sz="6" w:space="0" w:color="000000"/>
            </w:tcBorders>
            <w:shd w:fill="CEE8F6" w:val="clear"/>
            <w:tcMar>
              <w:top w:w="28" w:type="dxa"/>
            </w:tcMar>
            <w:vAlign w:val="center"/>
          </w:tcPr>
          <w:p>
            <w:pPr>
              <w:pStyle w:val="TableContents"/>
              <w:spacing w:before="0" w:after="283"/>
              <w:rPr/>
            </w:pPr>
            <w:r>
              <w:rPr/>
              <w:t> </w:t>
            </w:r>
          </w:p>
        </w:tc>
        <w:tc>
          <w:tcPr>
            <w:tcW w:w="980" w:type="dxa"/>
            <w:gridSpan w:val="4"/>
            <w:tcBorders>
              <w:top w:val="single" w:sz="6" w:space="0" w:color="000000"/>
            </w:tcBorders>
            <w:shd w:fill="CEE8F6" w:val="clear"/>
            <w:tcMar>
              <w:top w:w="28" w:type="dxa"/>
            </w:tcMar>
            <w:vAlign w:val="center"/>
          </w:tcPr>
          <w:p>
            <w:pPr>
              <w:pStyle w:val="TableContents"/>
              <w:spacing w:before="0" w:after="283"/>
              <w:rPr/>
            </w:pPr>
            <w:r>
              <w:rPr/>
              <w:t> </w:t>
            </w:r>
          </w:p>
        </w:tc>
        <w:tc>
          <w:tcPr>
            <w:tcW w:w="1040" w:type="dxa"/>
            <w:gridSpan w:val="4"/>
            <w:tcBorders>
              <w:top w:val="single" w:sz="6" w:space="0" w:color="000000"/>
            </w:tcBorders>
            <w:shd w:fill="CEE8F6" w:val="clear"/>
            <w:tcMar>
              <w:top w:w="28" w:type="dxa"/>
            </w:tcMar>
            <w:vAlign w:val="center"/>
          </w:tcPr>
          <w:p>
            <w:pPr>
              <w:pStyle w:val="TableContents"/>
              <w:spacing w:before="0" w:after="283"/>
              <w:rPr/>
            </w:pPr>
            <w:r>
              <w:rPr/>
              <w:t> </w:t>
            </w:r>
          </w:p>
        </w:tc>
        <w:tc>
          <w:tcPr>
            <w:tcW w:w="1160" w:type="dxa"/>
            <w:gridSpan w:val="4"/>
            <w:tcBorders>
              <w:top w:val="single" w:sz="6" w:space="0" w:color="000000"/>
            </w:tcBorders>
            <w:shd w:fill="CEE8F6" w:val="clear"/>
            <w:tcMar>
              <w:top w:w="28" w:type="dxa"/>
            </w:tcMar>
            <w:vAlign w:val="center"/>
          </w:tcPr>
          <w:p>
            <w:pPr>
              <w:pStyle w:val="TableContents"/>
              <w:spacing w:before="0" w:after="283"/>
              <w:rPr/>
            </w:pPr>
            <w:r>
              <w:rPr/>
              <w:t> </w:t>
            </w:r>
          </w:p>
        </w:tc>
        <w:tc>
          <w:tcPr>
            <w:tcW w:w="1040" w:type="dxa"/>
            <w:gridSpan w:val="4"/>
            <w:tcBorders>
              <w:top w:val="single" w:sz="6" w:space="0" w:color="000000"/>
            </w:tcBorders>
            <w:shd w:fill="CEE8F6" w:val="clear"/>
            <w:tcMar>
              <w:top w:w="28" w:type="dxa"/>
            </w:tcMar>
            <w:vAlign w:val="center"/>
          </w:tcPr>
          <w:p>
            <w:pPr>
              <w:pStyle w:val="TableContents"/>
              <w:spacing w:before="0" w:after="283"/>
              <w:rPr/>
            </w:pPr>
            <w:r>
              <w:rPr/>
              <w:t> </w:t>
            </w:r>
          </w:p>
        </w:tc>
        <w:tc>
          <w:tcPr>
            <w:tcW w:w="1175" w:type="dxa"/>
            <w:gridSpan w:val="4"/>
            <w:tcBorders>
              <w:top w:val="single" w:sz="6" w:space="0" w:color="000000"/>
            </w:tcBorders>
            <w:shd w:fill="CEE8F6" w:val="clear"/>
            <w:tcMar>
              <w:top w:w="28" w:type="dxa"/>
            </w:tcMar>
            <w:vAlign w:val="center"/>
          </w:tcPr>
          <w:p>
            <w:pPr>
              <w:pStyle w:val="TableContents"/>
              <w:spacing w:before="0" w:after="283"/>
              <w:rPr/>
            </w:pPr>
            <w:r>
              <w:rPr/>
              <w:t> </w:t>
            </w:r>
          </w:p>
        </w:tc>
      </w:tr>
      <w:tr>
        <w:trPr/>
        <w:tc>
          <w:tcPr>
            <w:tcW w:w="1115"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before="0" w:after="283"/>
              <w:rPr>
                <w:sz w:val="4"/>
                <w:szCs w:val="4"/>
              </w:rPr>
            </w:pPr>
            <w:r>
              <w:rPr>
                <w:sz w:val="4"/>
                <w:szCs w:val="4"/>
              </w:rPr>
            </w:r>
          </w:p>
        </w:tc>
        <w:tc>
          <w:tcPr>
            <w:tcW w:w="50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before="0" w:after="283"/>
              <w:rPr>
                <w:sz w:val="4"/>
                <w:szCs w:val="4"/>
              </w:rPr>
            </w:pPr>
            <w:r>
              <w:rPr>
                <w:sz w:val="4"/>
                <w:szCs w:val="4"/>
              </w:rPr>
            </w:r>
          </w:p>
        </w:tc>
        <w:tc>
          <w:tcPr>
            <w:tcW w:w="98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before="0" w:after="283"/>
              <w:rPr>
                <w:sz w:val="4"/>
                <w:szCs w:val="4"/>
              </w:rPr>
            </w:pPr>
            <w:r>
              <w:rPr>
                <w:sz w:val="4"/>
                <w:szCs w:val="4"/>
              </w:rPr>
            </w:r>
          </w:p>
        </w:tc>
        <w:tc>
          <w:tcPr>
            <w:tcW w:w="515"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before="0" w:after="283"/>
              <w:rPr>
                <w:sz w:val="4"/>
                <w:szCs w:val="4"/>
              </w:rPr>
            </w:pPr>
            <w:r>
              <w:rPr>
                <w:sz w:val="4"/>
                <w:szCs w:val="4"/>
              </w:rPr>
            </w:r>
          </w:p>
        </w:tc>
        <w:tc>
          <w:tcPr>
            <w:tcW w:w="98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before="0" w:after="283"/>
              <w:rPr>
                <w:sz w:val="4"/>
                <w:szCs w:val="4"/>
              </w:rPr>
            </w:pPr>
            <w:r>
              <w:rPr>
                <w:sz w:val="4"/>
                <w:szCs w:val="4"/>
              </w:rPr>
            </w:r>
          </w:p>
        </w:tc>
        <w:tc>
          <w:tcPr>
            <w:tcW w:w="80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pPr>
            <w:r>
              <w:rPr/>
              <w:t> </w:t>
            </w:r>
          </w:p>
        </w:tc>
        <w:tc>
          <w:tcPr>
            <w:tcW w:w="64" w:type="dxa"/>
            <w:tcBorders/>
            <w:shd w:fill="CEE8F6" w:val="clear"/>
            <w:vAlign w:val="center"/>
          </w:tcPr>
          <w:p>
            <w:pPr>
              <w:pStyle w:val="TableContents"/>
              <w:spacing w:before="0" w:after="283"/>
              <w:rPr>
                <w:sz w:val="4"/>
                <w:szCs w:val="4"/>
              </w:rPr>
            </w:pPr>
            <w:r>
              <w:rPr>
                <w:sz w:val="4"/>
                <w:szCs w:val="4"/>
              </w:rPr>
            </w:r>
          </w:p>
        </w:tc>
        <w:tc>
          <w:tcPr>
            <w:tcW w:w="856"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before="0" w:after="283"/>
              <w:rPr>
                <w:sz w:val="4"/>
                <w:szCs w:val="4"/>
              </w:rPr>
            </w:pPr>
            <w:r>
              <w:rPr>
                <w:sz w:val="4"/>
                <w:szCs w:val="4"/>
              </w:rPr>
            </w:r>
          </w:p>
        </w:tc>
        <w:tc>
          <w:tcPr>
            <w:tcW w:w="98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pPr>
            <w:r>
              <w:rPr/>
              <w:t> </w:t>
            </w:r>
          </w:p>
        </w:tc>
        <w:tc>
          <w:tcPr>
            <w:tcW w:w="64" w:type="dxa"/>
            <w:tcBorders/>
            <w:shd w:fill="CEE8F6" w:val="clear"/>
            <w:vAlign w:val="center"/>
          </w:tcPr>
          <w:p>
            <w:pPr>
              <w:pStyle w:val="TableContents"/>
              <w:spacing w:before="0" w:after="283"/>
              <w:rPr>
                <w:sz w:val="4"/>
                <w:szCs w:val="4"/>
              </w:rPr>
            </w:pPr>
            <w:r>
              <w:rPr>
                <w:sz w:val="4"/>
                <w:szCs w:val="4"/>
              </w:rPr>
            </w:r>
          </w:p>
        </w:tc>
        <w:tc>
          <w:tcPr>
            <w:tcW w:w="856"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before="0" w:after="283"/>
              <w:rPr>
                <w:sz w:val="4"/>
                <w:szCs w:val="4"/>
              </w:rPr>
            </w:pPr>
            <w:r>
              <w:rPr>
                <w:sz w:val="4"/>
                <w:szCs w:val="4"/>
              </w:rPr>
            </w:r>
          </w:p>
        </w:tc>
        <w:tc>
          <w:tcPr>
            <w:tcW w:w="980" w:type="dxa"/>
            <w:tcBorders/>
            <w:shd w:fill="CEE8F6" w:val="clear"/>
            <w:vAlign w:val="center"/>
          </w:tcPr>
          <w:p>
            <w:pPr>
              <w:pStyle w:val="TableContents"/>
              <w:spacing w:before="0" w:after="283"/>
              <w:rPr>
                <w:sz w:val="4"/>
                <w:szCs w:val="4"/>
              </w:rPr>
            </w:pPr>
            <w:r>
              <w:rPr>
                <w:sz w:val="4"/>
                <w:szCs w:val="4"/>
              </w:rPr>
            </w:r>
          </w:p>
        </w:tc>
        <w:tc>
          <w:tcPr>
            <w:tcW w:w="75" w:type="dxa"/>
            <w:tcBorders/>
            <w:shd w:fill="CEE8F6" w:val="clear"/>
            <w:vAlign w:val="center"/>
          </w:tcPr>
          <w:p>
            <w:pPr>
              <w:pStyle w:val="TableContents"/>
              <w:spacing w:before="0" w:after="283"/>
              <w:rPr>
                <w:sz w:val="4"/>
                <w:szCs w:val="4"/>
              </w:rPr>
            </w:pPr>
            <w:r>
              <w:rPr>
                <w:sz w:val="4"/>
                <w:szCs w:val="4"/>
              </w:rPr>
            </w:r>
          </w:p>
        </w:tc>
      </w:tr>
      <w:tr>
        <w:trPr/>
        <w:tc>
          <w:tcPr>
            <w:tcW w:w="1115" w:type="dxa"/>
            <w:tcBorders/>
            <w:shd w:fill="CEE8F6" w:val="clear"/>
            <w:vAlign w:val="center"/>
          </w:tcPr>
          <w:p>
            <w:pPr>
              <w:pStyle w:val="TableContents"/>
              <w:spacing w:lineRule="atLeast" w:line="220" w:before="0" w:after="0"/>
              <w:rPr>
                <w:rFonts w:ascii="ARIAL" w:hAnsi="ARIAL"/>
                <w:sz w:val="14"/>
              </w:rPr>
            </w:pPr>
            <w:r>
              <w:rPr>
                <w:rFonts w:ascii="ARIAL" w:hAnsi="ARIAL"/>
                <w:sz w:val="14"/>
              </w:rPr>
              <w:t>Tim L. Hingtgen</w:t>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lineRule="atLeast" w:line="220" w:before="0" w:after="0"/>
              <w:rPr/>
            </w:pPr>
            <w:r>
              <w:rPr/>
              <w:t> </w:t>
            </w:r>
          </w:p>
        </w:tc>
        <w:tc>
          <w:tcPr>
            <w:tcW w:w="500" w:type="dxa"/>
            <w:tcBorders/>
            <w:shd w:fill="CEE8F6" w:val="clear"/>
            <w:vAlign w:val="center"/>
          </w:tcPr>
          <w:p>
            <w:pPr>
              <w:pStyle w:val="TableContents"/>
              <w:spacing w:lineRule="atLeast" w:line="220" w:before="0" w:after="0"/>
              <w:jc w:val="right"/>
              <w:rPr>
                <w:rFonts w:ascii="ARIAL" w:hAnsi="ARIAL"/>
                <w:sz w:val="14"/>
              </w:rPr>
            </w:pPr>
            <w:r>
              <w:rPr>
                <w:rFonts w:ascii="ARIAL" w:hAnsi="ARIAL"/>
                <w:sz w:val="14"/>
              </w:rPr>
              <w:t>2022</w:t>
            </w:r>
          </w:p>
        </w:tc>
        <w:tc>
          <w:tcPr>
            <w:tcW w:w="60" w:type="dxa"/>
            <w:tcBorders/>
            <w:shd w:fill="CEE8F6" w:val="clear"/>
            <w:vAlign w:val="center"/>
          </w:tcPr>
          <w:p>
            <w:pPr>
              <w:pStyle w:val="TableContents"/>
              <w:spacing w:lineRule="atLeast" w:line="220" w:before="0" w:after="0"/>
              <w:rPr/>
            </w:pPr>
            <w:r>
              <w:rPr/>
              <w:t> </w:t>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lineRule="atLeast" w:line="220" w:before="0" w:after="0"/>
              <w:rPr/>
            </w:pPr>
            <w:r>
              <w:rPr/>
              <w:t> </w:t>
            </w:r>
          </w:p>
        </w:tc>
        <w:tc>
          <w:tcPr>
            <w:tcW w:w="980" w:type="dxa"/>
            <w:tcBorders/>
            <w:shd w:fill="CEE8F6" w:val="clear"/>
            <w:vAlign w:val="center"/>
          </w:tcPr>
          <w:p>
            <w:pPr>
              <w:pStyle w:val="TableContents"/>
              <w:spacing w:lineRule="atLeast" w:line="220" w:before="0" w:after="0"/>
              <w:jc w:val="right"/>
              <w:rPr>
                <w:rFonts w:ascii="ARIAL" w:hAnsi="ARIAL"/>
                <w:sz w:val="14"/>
              </w:rPr>
            </w:pPr>
            <w:r>
              <w:rPr>
                <w:rFonts w:ascii="ARIAL" w:hAnsi="ARIAL"/>
                <w:sz w:val="14"/>
              </w:rPr>
              <w:t>1,250,000</w:t>
            </w:r>
          </w:p>
        </w:tc>
        <w:tc>
          <w:tcPr>
            <w:tcW w:w="60" w:type="dxa"/>
            <w:tcBorders/>
            <w:shd w:fill="CEE8F6" w:val="clear"/>
            <w:vAlign w:val="center"/>
          </w:tcPr>
          <w:p>
            <w:pPr>
              <w:pStyle w:val="TableContents"/>
              <w:spacing w:lineRule="atLeast" w:line="220" w:before="0" w:after="0"/>
              <w:rPr/>
            </w:pPr>
            <w:r>
              <w:rPr/>
              <w:t> </w:t>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lineRule="atLeast" w:line="220" w:before="0" w:after="0"/>
              <w:rPr/>
            </w:pPr>
            <w:r>
              <w:rPr/>
              <w:t> </w:t>
            </w:r>
          </w:p>
        </w:tc>
        <w:tc>
          <w:tcPr>
            <w:tcW w:w="515" w:type="dxa"/>
            <w:tcBorders/>
            <w:shd w:fill="CEE8F6" w:val="clear"/>
            <w:vAlign w:val="center"/>
          </w:tcPr>
          <w:p>
            <w:pPr>
              <w:pStyle w:val="TableContents"/>
              <w:spacing w:lineRule="atLeast" w:line="220" w:before="0" w:after="0"/>
              <w:jc w:val="right"/>
              <w:rPr>
                <w:rFonts w:ascii="ARIAL" w:hAnsi="ARIAL"/>
                <w:sz w:val="14"/>
              </w:rPr>
            </w:pPr>
            <w:r>
              <w:rPr>
                <w:rFonts w:ascii="ARIAL" w:hAnsi="ARIAL"/>
                <w:sz w:val="14"/>
              </w:rPr>
              <w:t>-</w:t>
            </w:r>
          </w:p>
        </w:tc>
        <w:tc>
          <w:tcPr>
            <w:tcW w:w="60" w:type="dxa"/>
            <w:tcBorders/>
            <w:shd w:fill="CEE8F6" w:val="clear"/>
            <w:vAlign w:val="center"/>
          </w:tcPr>
          <w:p>
            <w:pPr>
              <w:pStyle w:val="TableContents"/>
              <w:spacing w:lineRule="atLeast" w:line="220" w:before="0" w:after="0"/>
              <w:rPr/>
            </w:pPr>
            <w:r>
              <w:rPr/>
              <w:t> </w:t>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lineRule="atLeast" w:line="220" w:before="0" w:after="0"/>
              <w:rPr/>
            </w:pPr>
            <w:r>
              <w:rPr/>
              <w:t> </w:t>
            </w:r>
          </w:p>
        </w:tc>
        <w:tc>
          <w:tcPr>
            <w:tcW w:w="980" w:type="dxa"/>
            <w:tcBorders/>
            <w:shd w:fill="CEE8F6" w:val="clear"/>
            <w:vAlign w:val="center"/>
          </w:tcPr>
          <w:p>
            <w:pPr>
              <w:pStyle w:val="TableContents"/>
              <w:spacing w:lineRule="atLeast" w:line="220" w:before="0" w:after="0"/>
              <w:jc w:val="right"/>
              <w:rPr>
                <w:rFonts w:ascii="ARIAL" w:hAnsi="ARIAL"/>
                <w:sz w:val="14"/>
              </w:rPr>
            </w:pPr>
            <w:r>
              <w:rPr>
                <w:rFonts w:ascii="ARIAL" w:hAnsi="ARIAL"/>
                <w:sz w:val="14"/>
              </w:rPr>
              <w:t>3,054,000</w:t>
            </w:r>
          </w:p>
        </w:tc>
        <w:tc>
          <w:tcPr>
            <w:tcW w:w="60" w:type="dxa"/>
            <w:tcBorders/>
            <w:shd w:fill="CEE8F6" w:val="clear"/>
            <w:vAlign w:val="center"/>
          </w:tcPr>
          <w:p>
            <w:pPr>
              <w:pStyle w:val="TableContents"/>
              <w:spacing w:lineRule="atLeast" w:line="220" w:before="0" w:after="0"/>
              <w:rPr/>
            </w:pPr>
            <w:r>
              <w:rPr/>
              <w:t> </w:t>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lineRule="atLeast" w:line="220" w:before="0" w:after="0"/>
              <w:rPr/>
            </w:pPr>
            <w:r>
              <w:rPr/>
              <w:t> </w:t>
            </w:r>
          </w:p>
        </w:tc>
        <w:tc>
          <w:tcPr>
            <w:tcW w:w="800" w:type="dxa"/>
            <w:tcBorders/>
            <w:shd w:fill="CEE8F6" w:val="clear"/>
            <w:vAlign w:val="center"/>
          </w:tcPr>
          <w:p>
            <w:pPr>
              <w:pStyle w:val="TableContents"/>
              <w:spacing w:lineRule="atLeast" w:line="220" w:before="0" w:after="0"/>
              <w:jc w:val="right"/>
              <w:rPr>
                <w:rFonts w:ascii="ARIAL" w:hAnsi="ARIAL"/>
                <w:sz w:val="14"/>
              </w:rPr>
            </w:pPr>
            <w:r>
              <w:rPr>
                <w:rFonts w:ascii="ARIAL" w:hAnsi="ARIAL"/>
                <w:sz w:val="14"/>
              </w:rPr>
              <w:t>725,000</w:t>
            </w:r>
          </w:p>
        </w:tc>
        <w:tc>
          <w:tcPr>
            <w:tcW w:w="60" w:type="dxa"/>
            <w:tcBorders/>
            <w:shd w:fill="CEE8F6" w:val="clear"/>
            <w:vAlign w:val="center"/>
          </w:tcPr>
          <w:p>
            <w:pPr>
              <w:pStyle w:val="TableContents"/>
              <w:spacing w:lineRule="atLeast" w:line="220" w:before="0" w:after="0"/>
              <w:rPr/>
            </w:pPr>
            <w:r>
              <w:rPr/>
              <w:t> </w:t>
            </w:r>
          </w:p>
        </w:tc>
        <w:tc>
          <w:tcPr>
            <w:tcW w:w="60" w:type="dxa"/>
            <w:tcBorders/>
            <w:shd w:fill="CEE8F6" w:val="clear"/>
            <w:vAlign w:val="center"/>
          </w:tcPr>
          <w:p>
            <w:pPr>
              <w:pStyle w:val="TableContents"/>
              <w:spacing w:before="0" w:after="283"/>
              <w:rPr/>
            </w:pPr>
            <w:r>
              <w:rPr/>
              <w:t> </w:t>
            </w:r>
          </w:p>
        </w:tc>
        <w:tc>
          <w:tcPr>
            <w:tcW w:w="64" w:type="dxa"/>
            <w:tcBorders/>
            <w:shd w:fill="CEE8F6" w:val="clear"/>
            <w:vAlign w:val="center"/>
          </w:tcPr>
          <w:p>
            <w:pPr>
              <w:pStyle w:val="TableContents"/>
              <w:spacing w:lineRule="atLeast" w:line="220" w:before="0" w:after="0"/>
              <w:rPr/>
            </w:pPr>
            <w:r>
              <w:rPr/>
              <w:t> </w:t>
            </w:r>
          </w:p>
        </w:tc>
        <w:tc>
          <w:tcPr>
            <w:tcW w:w="856" w:type="dxa"/>
            <w:tcBorders/>
            <w:shd w:fill="CEE8F6" w:val="clear"/>
            <w:vAlign w:val="center"/>
          </w:tcPr>
          <w:p>
            <w:pPr>
              <w:pStyle w:val="TableContents"/>
              <w:spacing w:lineRule="atLeast" w:line="220" w:before="0" w:after="0"/>
              <w:jc w:val="right"/>
              <w:rPr>
                <w:rFonts w:ascii="ARIAL" w:hAnsi="ARIAL"/>
                <w:sz w:val="14"/>
              </w:rPr>
            </w:pPr>
            <w:r>
              <w:rPr>
                <w:rFonts w:ascii="ARIAL" w:hAnsi="ARIAL"/>
                <w:sz w:val="14"/>
              </w:rPr>
              <w:t>734,375</w:t>
            </w:r>
          </w:p>
        </w:tc>
        <w:tc>
          <w:tcPr>
            <w:tcW w:w="60" w:type="dxa"/>
            <w:tcBorders/>
            <w:shd w:fill="CEE8F6" w:val="clear"/>
            <w:vAlign w:val="center"/>
          </w:tcPr>
          <w:p>
            <w:pPr>
              <w:pStyle w:val="TableContents"/>
              <w:spacing w:lineRule="atLeast" w:line="220" w:before="0" w:after="0"/>
              <w:rPr/>
            </w:pPr>
            <w:r>
              <w:rPr/>
              <w:t> </w:t>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lineRule="atLeast" w:line="220" w:before="0" w:after="0"/>
              <w:rPr/>
            </w:pPr>
            <w:r>
              <w:rPr/>
              <w:t> </w:t>
            </w:r>
          </w:p>
        </w:tc>
        <w:tc>
          <w:tcPr>
            <w:tcW w:w="980" w:type="dxa"/>
            <w:tcBorders/>
            <w:shd w:fill="CEE8F6" w:val="clear"/>
            <w:vAlign w:val="center"/>
          </w:tcPr>
          <w:p>
            <w:pPr>
              <w:pStyle w:val="TableContents"/>
              <w:spacing w:lineRule="atLeast" w:line="220" w:before="0" w:after="0"/>
              <w:jc w:val="right"/>
              <w:rPr>
                <w:rFonts w:ascii="ARIAL" w:hAnsi="ARIAL"/>
                <w:sz w:val="14"/>
              </w:rPr>
            </w:pPr>
            <w:r>
              <w:rPr>
                <w:rFonts w:ascii="ARIAL" w:hAnsi="ARIAL"/>
                <w:sz w:val="14"/>
              </w:rPr>
              <w:t>499,859</w:t>
            </w:r>
          </w:p>
        </w:tc>
        <w:tc>
          <w:tcPr>
            <w:tcW w:w="60" w:type="dxa"/>
            <w:tcBorders/>
            <w:shd w:fill="CEE8F6" w:val="clear"/>
            <w:vAlign w:val="center"/>
          </w:tcPr>
          <w:p>
            <w:pPr>
              <w:pStyle w:val="TableContents"/>
              <w:spacing w:lineRule="atLeast" w:line="220" w:before="0" w:after="0"/>
              <w:rPr/>
            </w:pPr>
            <w:r>
              <w:rPr/>
              <w:t> </w:t>
            </w:r>
          </w:p>
        </w:tc>
        <w:tc>
          <w:tcPr>
            <w:tcW w:w="60" w:type="dxa"/>
            <w:tcBorders/>
            <w:shd w:fill="CEE8F6" w:val="clear"/>
            <w:vAlign w:val="center"/>
          </w:tcPr>
          <w:p>
            <w:pPr>
              <w:pStyle w:val="TableContents"/>
              <w:spacing w:before="0" w:after="283"/>
              <w:rPr/>
            </w:pPr>
            <w:r>
              <w:rPr/>
              <w:t> </w:t>
            </w:r>
          </w:p>
        </w:tc>
        <w:tc>
          <w:tcPr>
            <w:tcW w:w="64" w:type="dxa"/>
            <w:tcBorders/>
            <w:shd w:fill="CEE8F6" w:val="clear"/>
            <w:vAlign w:val="center"/>
          </w:tcPr>
          <w:p>
            <w:pPr>
              <w:pStyle w:val="TableContents"/>
              <w:spacing w:lineRule="atLeast" w:line="220" w:before="0" w:after="0"/>
              <w:rPr/>
            </w:pPr>
            <w:r>
              <w:rPr/>
              <w:t> </w:t>
            </w:r>
          </w:p>
        </w:tc>
        <w:tc>
          <w:tcPr>
            <w:tcW w:w="856" w:type="dxa"/>
            <w:tcBorders/>
            <w:shd w:fill="CEE8F6" w:val="clear"/>
            <w:vAlign w:val="center"/>
          </w:tcPr>
          <w:p>
            <w:pPr>
              <w:pStyle w:val="TableContents"/>
              <w:spacing w:lineRule="atLeast" w:line="220" w:before="0" w:after="0"/>
              <w:jc w:val="right"/>
              <w:rPr>
                <w:rFonts w:ascii="ARIAL" w:hAnsi="ARIAL"/>
                <w:sz w:val="14"/>
              </w:rPr>
            </w:pPr>
            <w:r>
              <w:rPr>
                <w:rFonts w:ascii="ARIAL" w:hAnsi="ARIAL"/>
                <w:sz w:val="14"/>
              </w:rPr>
              <w:t>39,308</w:t>
            </w:r>
          </w:p>
        </w:tc>
        <w:tc>
          <w:tcPr>
            <w:tcW w:w="60" w:type="dxa"/>
            <w:tcBorders/>
            <w:shd w:fill="CEE8F6" w:val="clear"/>
            <w:vAlign w:val="center"/>
          </w:tcPr>
          <w:p>
            <w:pPr>
              <w:pStyle w:val="TableContents"/>
              <w:spacing w:lineRule="atLeast" w:line="220" w:before="0" w:after="0"/>
              <w:rPr/>
            </w:pPr>
            <w:r>
              <w:rPr/>
              <w:t> </w:t>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lineRule="atLeast" w:line="220" w:before="0" w:after="0"/>
              <w:rPr/>
            </w:pPr>
            <w:r>
              <w:rPr/>
              <w:t> </w:t>
            </w:r>
          </w:p>
        </w:tc>
        <w:tc>
          <w:tcPr>
            <w:tcW w:w="980" w:type="dxa"/>
            <w:tcBorders/>
            <w:shd w:fill="CEE8F6" w:val="clear"/>
            <w:vAlign w:val="center"/>
          </w:tcPr>
          <w:p>
            <w:pPr>
              <w:pStyle w:val="TableContents"/>
              <w:spacing w:lineRule="atLeast" w:line="220" w:before="0" w:after="0"/>
              <w:jc w:val="right"/>
              <w:rPr>
                <w:rFonts w:ascii="ARIAL" w:hAnsi="ARIAL"/>
                <w:sz w:val="14"/>
              </w:rPr>
            </w:pPr>
            <w:r>
              <w:rPr>
                <w:rFonts w:ascii="ARIAL" w:hAnsi="ARIAL"/>
                <w:sz w:val="14"/>
              </w:rPr>
              <w:t>6,302,542</w:t>
            </w:r>
          </w:p>
        </w:tc>
        <w:tc>
          <w:tcPr>
            <w:tcW w:w="75" w:type="dxa"/>
            <w:tcBorders/>
            <w:shd w:fill="CEE8F6" w:val="clear"/>
            <w:vAlign w:val="center"/>
          </w:tcPr>
          <w:p>
            <w:pPr>
              <w:pStyle w:val="TableContents"/>
              <w:spacing w:lineRule="atLeast" w:line="220" w:before="0" w:after="0"/>
              <w:rPr/>
            </w:pPr>
            <w:r>
              <w:rPr/>
              <w:t> </w:t>
            </w:r>
          </w:p>
        </w:tc>
      </w:tr>
      <w:tr>
        <w:trPr/>
        <w:tc>
          <w:tcPr>
            <w:tcW w:w="1115" w:type="dxa"/>
            <w:tcBorders/>
            <w:shd w:fill="CEE8F6" w:val="clear"/>
            <w:vAlign w:val="center"/>
          </w:tcPr>
          <w:p>
            <w:pPr>
              <w:pStyle w:val="TableContents"/>
              <w:spacing w:lineRule="atLeast" w:line="220" w:before="0" w:after="0"/>
              <w:rPr>
                <w:rFonts w:ascii="ARIAL" w:hAnsi="ARIAL"/>
                <w:sz w:val="14"/>
              </w:rPr>
            </w:pPr>
            <w:r>
              <w:rPr>
                <w:rFonts w:ascii="ARIAL" w:hAnsi="ARIAL"/>
                <w:sz w:val="14"/>
              </w:rPr>
              <w:t>Chief Executive Officer and</w:t>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lineRule="atLeast" w:line="220" w:before="0" w:after="0"/>
              <w:rPr/>
            </w:pPr>
            <w:r>
              <w:rPr/>
              <w:t> </w:t>
            </w:r>
          </w:p>
        </w:tc>
        <w:tc>
          <w:tcPr>
            <w:tcW w:w="500" w:type="dxa"/>
            <w:tcBorders/>
            <w:shd w:fill="CEE8F6" w:val="clear"/>
            <w:vAlign w:val="center"/>
          </w:tcPr>
          <w:p>
            <w:pPr>
              <w:pStyle w:val="TableContents"/>
              <w:spacing w:lineRule="atLeast" w:line="220" w:before="0" w:after="0"/>
              <w:jc w:val="right"/>
              <w:rPr>
                <w:rFonts w:ascii="ARIAL" w:hAnsi="ARIAL"/>
                <w:sz w:val="14"/>
              </w:rPr>
            </w:pPr>
            <w:r>
              <w:rPr>
                <w:rFonts w:ascii="ARIAL" w:hAnsi="ARIAL"/>
                <w:sz w:val="14"/>
              </w:rPr>
              <w:t>2021</w:t>
            </w:r>
          </w:p>
        </w:tc>
        <w:tc>
          <w:tcPr>
            <w:tcW w:w="60" w:type="dxa"/>
            <w:tcBorders/>
            <w:shd w:fill="CEE8F6" w:val="clear"/>
            <w:vAlign w:val="center"/>
          </w:tcPr>
          <w:p>
            <w:pPr>
              <w:pStyle w:val="TableContents"/>
              <w:spacing w:lineRule="atLeast" w:line="220" w:before="0" w:after="0"/>
              <w:rPr/>
            </w:pPr>
            <w:r>
              <w:rPr/>
              <w:t> </w:t>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lineRule="atLeast" w:line="220" w:before="0" w:after="0"/>
              <w:rPr/>
            </w:pPr>
            <w:r>
              <w:rPr/>
              <w:t> </w:t>
            </w:r>
          </w:p>
        </w:tc>
        <w:tc>
          <w:tcPr>
            <w:tcW w:w="980" w:type="dxa"/>
            <w:tcBorders/>
            <w:shd w:fill="CEE8F6" w:val="clear"/>
            <w:vAlign w:val="center"/>
          </w:tcPr>
          <w:p>
            <w:pPr>
              <w:pStyle w:val="TableContents"/>
              <w:spacing w:lineRule="atLeast" w:line="220" w:before="0" w:after="0"/>
              <w:jc w:val="right"/>
              <w:rPr>
                <w:rFonts w:ascii="ARIAL" w:hAnsi="ARIAL"/>
                <w:sz w:val="14"/>
              </w:rPr>
            </w:pPr>
            <w:r>
              <w:rPr>
                <w:rFonts w:ascii="ARIAL" w:hAnsi="ARIAL"/>
                <w:sz w:val="14"/>
              </w:rPr>
              <w:t>1,200,000</w:t>
            </w:r>
          </w:p>
        </w:tc>
        <w:tc>
          <w:tcPr>
            <w:tcW w:w="60" w:type="dxa"/>
            <w:tcBorders/>
            <w:shd w:fill="CEE8F6" w:val="clear"/>
            <w:vAlign w:val="center"/>
          </w:tcPr>
          <w:p>
            <w:pPr>
              <w:pStyle w:val="TableContents"/>
              <w:spacing w:lineRule="atLeast" w:line="220" w:before="0" w:after="0"/>
              <w:rPr/>
            </w:pPr>
            <w:r>
              <w:rPr/>
              <w:t> </w:t>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lineRule="atLeast" w:line="220" w:before="0" w:after="0"/>
              <w:rPr/>
            </w:pPr>
            <w:r>
              <w:rPr/>
              <w:t> </w:t>
            </w:r>
          </w:p>
        </w:tc>
        <w:tc>
          <w:tcPr>
            <w:tcW w:w="515" w:type="dxa"/>
            <w:tcBorders/>
            <w:shd w:fill="CEE8F6" w:val="clear"/>
            <w:vAlign w:val="center"/>
          </w:tcPr>
          <w:p>
            <w:pPr>
              <w:pStyle w:val="TableContents"/>
              <w:spacing w:lineRule="atLeast" w:line="220" w:before="0" w:after="0"/>
              <w:jc w:val="right"/>
              <w:rPr>
                <w:rFonts w:ascii="ARIAL" w:hAnsi="ARIAL"/>
                <w:sz w:val="14"/>
              </w:rPr>
            </w:pPr>
            <w:r>
              <w:rPr>
                <w:rFonts w:ascii="ARIAL" w:hAnsi="ARIAL"/>
                <w:sz w:val="14"/>
              </w:rPr>
              <w:t>-</w:t>
            </w:r>
          </w:p>
        </w:tc>
        <w:tc>
          <w:tcPr>
            <w:tcW w:w="60" w:type="dxa"/>
            <w:tcBorders/>
            <w:shd w:fill="CEE8F6" w:val="clear"/>
            <w:vAlign w:val="center"/>
          </w:tcPr>
          <w:p>
            <w:pPr>
              <w:pStyle w:val="TableContents"/>
              <w:spacing w:lineRule="atLeast" w:line="220" w:before="0" w:after="0"/>
              <w:rPr/>
            </w:pPr>
            <w:r>
              <w:rPr/>
              <w:t> </w:t>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lineRule="atLeast" w:line="220" w:before="0" w:after="0"/>
              <w:rPr/>
            </w:pPr>
            <w:r>
              <w:rPr/>
              <w:t> </w:t>
            </w:r>
          </w:p>
        </w:tc>
        <w:tc>
          <w:tcPr>
            <w:tcW w:w="980" w:type="dxa"/>
            <w:tcBorders/>
            <w:shd w:fill="CEE8F6" w:val="clear"/>
            <w:vAlign w:val="center"/>
          </w:tcPr>
          <w:p>
            <w:pPr>
              <w:pStyle w:val="TableContents"/>
              <w:spacing w:lineRule="atLeast" w:line="220" w:before="0" w:after="0"/>
              <w:jc w:val="right"/>
              <w:rPr>
                <w:rFonts w:ascii="ARIAL" w:hAnsi="ARIAL"/>
                <w:sz w:val="14"/>
              </w:rPr>
            </w:pPr>
            <w:r>
              <w:rPr>
                <w:rFonts w:ascii="ARIAL" w:hAnsi="ARIAL"/>
                <w:sz w:val="14"/>
              </w:rPr>
              <w:t>2,643,000</w:t>
            </w:r>
          </w:p>
        </w:tc>
        <w:tc>
          <w:tcPr>
            <w:tcW w:w="60" w:type="dxa"/>
            <w:tcBorders/>
            <w:shd w:fill="CEE8F6" w:val="clear"/>
            <w:vAlign w:val="center"/>
          </w:tcPr>
          <w:p>
            <w:pPr>
              <w:pStyle w:val="TableContents"/>
              <w:spacing w:lineRule="atLeast" w:line="220" w:before="0" w:after="0"/>
              <w:rPr/>
            </w:pPr>
            <w:r>
              <w:rPr/>
              <w:t> </w:t>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lineRule="atLeast" w:line="220" w:before="0" w:after="0"/>
              <w:rPr/>
            </w:pPr>
            <w:r>
              <w:rPr/>
              <w:t> </w:t>
            </w:r>
          </w:p>
        </w:tc>
        <w:tc>
          <w:tcPr>
            <w:tcW w:w="800" w:type="dxa"/>
            <w:tcBorders/>
            <w:shd w:fill="CEE8F6" w:val="clear"/>
            <w:vAlign w:val="center"/>
          </w:tcPr>
          <w:p>
            <w:pPr>
              <w:pStyle w:val="TableContents"/>
              <w:spacing w:lineRule="atLeast" w:line="220" w:before="0" w:after="0"/>
              <w:jc w:val="right"/>
              <w:rPr>
                <w:rFonts w:ascii="ARIAL" w:hAnsi="ARIAL"/>
                <w:sz w:val="14"/>
              </w:rPr>
            </w:pPr>
            <w:r>
              <w:rPr>
                <w:rFonts w:ascii="ARIAL" w:hAnsi="ARIAL"/>
                <w:sz w:val="14"/>
              </w:rPr>
              <w:t>622,000</w:t>
            </w:r>
          </w:p>
        </w:tc>
        <w:tc>
          <w:tcPr>
            <w:tcW w:w="60" w:type="dxa"/>
            <w:tcBorders/>
            <w:shd w:fill="CEE8F6" w:val="clear"/>
            <w:vAlign w:val="center"/>
          </w:tcPr>
          <w:p>
            <w:pPr>
              <w:pStyle w:val="TableContents"/>
              <w:spacing w:lineRule="atLeast" w:line="220" w:before="0" w:after="0"/>
              <w:rPr/>
            </w:pPr>
            <w:r>
              <w:rPr/>
              <w:t> </w:t>
            </w:r>
          </w:p>
        </w:tc>
        <w:tc>
          <w:tcPr>
            <w:tcW w:w="60" w:type="dxa"/>
            <w:tcBorders/>
            <w:shd w:fill="CEE8F6" w:val="clear"/>
            <w:vAlign w:val="center"/>
          </w:tcPr>
          <w:p>
            <w:pPr>
              <w:pStyle w:val="TableContents"/>
              <w:spacing w:before="0" w:after="283"/>
              <w:rPr/>
            </w:pPr>
            <w:r>
              <w:rPr/>
              <w:t> </w:t>
            </w:r>
          </w:p>
        </w:tc>
        <w:tc>
          <w:tcPr>
            <w:tcW w:w="64" w:type="dxa"/>
            <w:tcBorders/>
            <w:shd w:fill="CEE8F6" w:val="clear"/>
            <w:vAlign w:val="center"/>
          </w:tcPr>
          <w:p>
            <w:pPr>
              <w:pStyle w:val="TableContents"/>
              <w:spacing w:lineRule="atLeast" w:line="220" w:before="0" w:after="0"/>
              <w:rPr/>
            </w:pPr>
            <w:r>
              <w:rPr/>
              <w:t> </w:t>
            </w:r>
          </w:p>
        </w:tc>
        <w:tc>
          <w:tcPr>
            <w:tcW w:w="856" w:type="dxa"/>
            <w:tcBorders/>
            <w:shd w:fill="CEE8F6" w:val="clear"/>
            <w:vAlign w:val="center"/>
          </w:tcPr>
          <w:p>
            <w:pPr>
              <w:pStyle w:val="TableContents"/>
              <w:spacing w:lineRule="atLeast" w:line="220" w:before="0" w:after="0"/>
              <w:jc w:val="right"/>
              <w:rPr>
                <w:rFonts w:ascii="ARIAL" w:hAnsi="ARIAL"/>
                <w:sz w:val="14"/>
              </w:rPr>
            </w:pPr>
            <w:r>
              <w:rPr>
                <w:rFonts w:ascii="ARIAL" w:hAnsi="ARIAL"/>
                <w:sz w:val="14"/>
              </w:rPr>
              <w:t>3,504,000</w:t>
            </w:r>
          </w:p>
        </w:tc>
        <w:tc>
          <w:tcPr>
            <w:tcW w:w="60" w:type="dxa"/>
            <w:tcBorders/>
            <w:shd w:fill="CEE8F6" w:val="clear"/>
            <w:vAlign w:val="center"/>
          </w:tcPr>
          <w:p>
            <w:pPr>
              <w:pStyle w:val="TableContents"/>
              <w:spacing w:lineRule="atLeast" w:line="220" w:before="0" w:after="0"/>
              <w:rPr/>
            </w:pPr>
            <w:r>
              <w:rPr/>
              <w:t> </w:t>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lineRule="atLeast" w:line="220" w:before="0" w:after="0"/>
              <w:rPr/>
            </w:pPr>
            <w:r>
              <w:rPr/>
              <w:t> </w:t>
            </w:r>
          </w:p>
        </w:tc>
        <w:tc>
          <w:tcPr>
            <w:tcW w:w="980" w:type="dxa"/>
            <w:tcBorders/>
            <w:shd w:fill="CEE8F6" w:val="clear"/>
            <w:vAlign w:val="center"/>
          </w:tcPr>
          <w:p>
            <w:pPr>
              <w:pStyle w:val="TableContents"/>
              <w:spacing w:lineRule="atLeast" w:line="220" w:before="0" w:after="0"/>
              <w:jc w:val="right"/>
              <w:rPr>
                <w:rFonts w:ascii="ARIAL" w:hAnsi="ARIAL"/>
                <w:sz w:val="14"/>
              </w:rPr>
            </w:pPr>
            <w:r>
              <w:rPr>
                <w:rFonts w:ascii="ARIAL" w:hAnsi="ARIAL"/>
                <w:sz w:val="14"/>
              </w:rPr>
              <w:t>1,520,328</w:t>
            </w:r>
          </w:p>
        </w:tc>
        <w:tc>
          <w:tcPr>
            <w:tcW w:w="60" w:type="dxa"/>
            <w:tcBorders/>
            <w:shd w:fill="CEE8F6" w:val="clear"/>
            <w:vAlign w:val="center"/>
          </w:tcPr>
          <w:p>
            <w:pPr>
              <w:pStyle w:val="TableContents"/>
              <w:spacing w:lineRule="atLeast" w:line="220" w:before="0" w:after="0"/>
              <w:rPr/>
            </w:pPr>
            <w:r>
              <w:rPr/>
              <w:t> </w:t>
            </w:r>
          </w:p>
        </w:tc>
        <w:tc>
          <w:tcPr>
            <w:tcW w:w="60" w:type="dxa"/>
            <w:tcBorders/>
            <w:shd w:fill="CEE8F6" w:val="clear"/>
            <w:vAlign w:val="center"/>
          </w:tcPr>
          <w:p>
            <w:pPr>
              <w:pStyle w:val="TableContents"/>
              <w:spacing w:before="0" w:after="283"/>
              <w:rPr/>
            </w:pPr>
            <w:r>
              <w:rPr/>
              <w:t> </w:t>
            </w:r>
          </w:p>
        </w:tc>
        <w:tc>
          <w:tcPr>
            <w:tcW w:w="64" w:type="dxa"/>
            <w:tcBorders/>
            <w:shd w:fill="CEE8F6" w:val="clear"/>
            <w:vAlign w:val="center"/>
          </w:tcPr>
          <w:p>
            <w:pPr>
              <w:pStyle w:val="TableContents"/>
              <w:spacing w:lineRule="atLeast" w:line="220" w:before="0" w:after="0"/>
              <w:rPr/>
            </w:pPr>
            <w:r>
              <w:rPr/>
              <w:t> </w:t>
            </w:r>
          </w:p>
        </w:tc>
        <w:tc>
          <w:tcPr>
            <w:tcW w:w="856" w:type="dxa"/>
            <w:tcBorders/>
            <w:shd w:fill="CEE8F6" w:val="clear"/>
            <w:vAlign w:val="center"/>
          </w:tcPr>
          <w:p>
            <w:pPr>
              <w:pStyle w:val="TableContents"/>
              <w:spacing w:lineRule="atLeast" w:line="220" w:before="0" w:after="0"/>
              <w:jc w:val="right"/>
              <w:rPr>
                <w:rFonts w:ascii="ARIAL" w:hAnsi="ARIAL"/>
                <w:sz w:val="14"/>
              </w:rPr>
            </w:pPr>
            <w:r>
              <w:rPr>
                <w:rFonts w:ascii="ARIAL" w:hAnsi="ARIAL"/>
                <w:sz w:val="14"/>
              </w:rPr>
              <w:t>37,297</w:t>
            </w:r>
          </w:p>
        </w:tc>
        <w:tc>
          <w:tcPr>
            <w:tcW w:w="60" w:type="dxa"/>
            <w:tcBorders/>
            <w:shd w:fill="CEE8F6" w:val="clear"/>
            <w:vAlign w:val="center"/>
          </w:tcPr>
          <w:p>
            <w:pPr>
              <w:pStyle w:val="TableContents"/>
              <w:spacing w:lineRule="atLeast" w:line="220" w:before="0" w:after="0"/>
              <w:rPr/>
            </w:pPr>
            <w:r>
              <w:rPr/>
              <w:t> </w:t>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lineRule="atLeast" w:line="220" w:before="0" w:after="0"/>
              <w:rPr/>
            </w:pPr>
            <w:r>
              <w:rPr/>
              <w:t> </w:t>
            </w:r>
          </w:p>
        </w:tc>
        <w:tc>
          <w:tcPr>
            <w:tcW w:w="980" w:type="dxa"/>
            <w:tcBorders/>
            <w:shd w:fill="CEE8F6" w:val="clear"/>
            <w:vAlign w:val="center"/>
          </w:tcPr>
          <w:p>
            <w:pPr>
              <w:pStyle w:val="TableContents"/>
              <w:spacing w:lineRule="atLeast" w:line="220" w:before="0" w:after="0"/>
              <w:jc w:val="right"/>
              <w:rPr>
                <w:rFonts w:ascii="ARIAL" w:hAnsi="ARIAL"/>
                <w:sz w:val="14"/>
              </w:rPr>
            </w:pPr>
            <w:r>
              <w:rPr>
                <w:rFonts w:ascii="ARIAL" w:hAnsi="ARIAL"/>
                <w:sz w:val="14"/>
              </w:rPr>
              <w:t>9,526,625</w:t>
            </w:r>
          </w:p>
        </w:tc>
        <w:tc>
          <w:tcPr>
            <w:tcW w:w="75" w:type="dxa"/>
            <w:tcBorders/>
            <w:shd w:fill="CEE8F6" w:val="clear"/>
            <w:vAlign w:val="center"/>
          </w:tcPr>
          <w:p>
            <w:pPr>
              <w:pStyle w:val="TableContents"/>
              <w:spacing w:lineRule="atLeast" w:line="220" w:before="0" w:after="0"/>
              <w:rPr/>
            </w:pPr>
            <w:r>
              <w:rPr/>
              <w:t> </w:t>
            </w:r>
          </w:p>
        </w:tc>
      </w:tr>
      <w:tr>
        <w:trPr/>
        <w:tc>
          <w:tcPr>
            <w:tcW w:w="1115" w:type="dxa"/>
            <w:tcBorders/>
            <w:shd w:fill="CEE8F6" w:val="clear"/>
            <w:vAlign w:val="center"/>
          </w:tcPr>
          <w:p>
            <w:pPr>
              <w:pStyle w:val="TableContents"/>
              <w:spacing w:lineRule="atLeast" w:line="220" w:before="0" w:after="0"/>
              <w:rPr>
                <w:rFonts w:ascii="ARIAL" w:hAnsi="ARIAL"/>
                <w:sz w:val="14"/>
              </w:rPr>
            </w:pPr>
            <w:r>
              <w:rPr>
                <w:rFonts w:ascii="ARIAL" w:hAnsi="ARIAL"/>
                <w:sz w:val="14"/>
              </w:rPr>
              <w:t>Director</w:t>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lineRule="atLeast" w:line="220" w:before="0" w:after="0"/>
              <w:rPr/>
            </w:pPr>
            <w:r>
              <w:rPr/>
              <w:t> </w:t>
            </w:r>
          </w:p>
        </w:tc>
        <w:tc>
          <w:tcPr>
            <w:tcW w:w="500" w:type="dxa"/>
            <w:tcBorders/>
            <w:shd w:fill="CEE8F6" w:val="clear"/>
            <w:vAlign w:val="center"/>
          </w:tcPr>
          <w:p>
            <w:pPr>
              <w:pStyle w:val="TableContents"/>
              <w:spacing w:lineRule="atLeast" w:line="220" w:before="0" w:after="0"/>
              <w:jc w:val="right"/>
              <w:rPr>
                <w:rFonts w:ascii="ARIAL" w:hAnsi="ARIAL"/>
                <w:sz w:val="14"/>
              </w:rPr>
            </w:pPr>
            <w:r>
              <w:rPr>
                <w:rFonts w:ascii="ARIAL" w:hAnsi="ARIAL"/>
                <w:sz w:val="14"/>
              </w:rPr>
              <w:t>2020</w:t>
            </w:r>
          </w:p>
        </w:tc>
        <w:tc>
          <w:tcPr>
            <w:tcW w:w="60" w:type="dxa"/>
            <w:tcBorders/>
            <w:shd w:fill="CEE8F6" w:val="clear"/>
            <w:vAlign w:val="center"/>
          </w:tcPr>
          <w:p>
            <w:pPr>
              <w:pStyle w:val="TableContents"/>
              <w:spacing w:lineRule="atLeast" w:line="220" w:before="0" w:after="0"/>
              <w:rPr/>
            </w:pPr>
            <w:r>
              <w:rPr/>
              <w:t> </w:t>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lineRule="atLeast" w:line="220" w:before="0" w:after="0"/>
              <w:rPr/>
            </w:pPr>
            <w:r>
              <w:rPr/>
              <w:t> </w:t>
            </w:r>
          </w:p>
        </w:tc>
        <w:tc>
          <w:tcPr>
            <w:tcW w:w="980" w:type="dxa"/>
            <w:tcBorders/>
            <w:shd w:fill="CEE8F6" w:val="clear"/>
            <w:vAlign w:val="center"/>
          </w:tcPr>
          <w:p>
            <w:pPr>
              <w:pStyle w:val="TableContents"/>
              <w:spacing w:lineRule="atLeast" w:line="220" w:before="0" w:after="0"/>
              <w:jc w:val="right"/>
              <w:rPr>
                <w:rFonts w:ascii="ARIAL" w:hAnsi="ARIAL"/>
                <w:sz w:val="14"/>
              </w:rPr>
            </w:pPr>
            <w:r>
              <w:rPr>
                <w:rFonts w:ascii="ARIAL" w:hAnsi="ARIAL"/>
                <w:sz w:val="14"/>
              </w:rPr>
              <w:t>925,000</w:t>
            </w:r>
          </w:p>
        </w:tc>
        <w:tc>
          <w:tcPr>
            <w:tcW w:w="60" w:type="dxa"/>
            <w:tcBorders/>
            <w:shd w:fill="CEE8F6" w:val="clear"/>
            <w:vAlign w:val="center"/>
          </w:tcPr>
          <w:p>
            <w:pPr>
              <w:pStyle w:val="TableContents"/>
              <w:spacing w:lineRule="atLeast" w:line="220" w:before="0" w:after="0"/>
              <w:rPr/>
            </w:pPr>
            <w:r>
              <w:rPr/>
              <w:t> </w:t>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lineRule="atLeast" w:line="220" w:before="0" w:after="0"/>
              <w:rPr/>
            </w:pPr>
            <w:r>
              <w:rPr/>
              <w:t> </w:t>
            </w:r>
          </w:p>
        </w:tc>
        <w:tc>
          <w:tcPr>
            <w:tcW w:w="515" w:type="dxa"/>
            <w:tcBorders/>
            <w:shd w:fill="CEE8F6" w:val="clear"/>
            <w:vAlign w:val="center"/>
          </w:tcPr>
          <w:p>
            <w:pPr>
              <w:pStyle w:val="TableContents"/>
              <w:spacing w:lineRule="atLeast" w:line="220" w:before="0" w:after="0"/>
              <w:jc w:val="right"/>
              <w:rPr>
                <w:rFonts w:ascii="ARIAL" w:hAnsi="ARIAL"/>
                <w:sz w:val="14"/>
              </w:rPr>
            </w:pPr>
            <w:r>
              <w:rPr>
                <w:rFonts w:ascii="ARIAL" w:hAnsi="ARIAL"/>
                <w:sz w:val="14"/>
              </w:rPr>
              <w:t>-</w:t>
            </w:r>
          </w:p>
        </w:tc>
        <w:tc>
          <w:tcPr>
            <w:tcW w:w="60" w:type="dxa"/>
            <w:tcBorders/>
            <w:shd w:fill="CEE8F6" w:val="clear"/>
            <w:vAlign w:val="center"/>
          </w:tcPr>
          <w:p>
            <w:pPr>
              <w:pStyle w:val="TableContents"/>
              <w:spacing w:lineRule="atLeast" w:line="220" w:before="0" w:after="0"/>
              <w:rPr/>
            </w:pPr>
            <w:r>
              <w:rPr/>
              <w:t> </w:t>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lineRule="atLeast" w:line="220" w:before="0" w:after="0"/>
              <w:rPr/>
            </w:pPr>
            <w:r>
              <w:rPr/>
              <w:t> </w:t>
            </w:r>
          </w:p>
        </w:tc>
        <w:tc>
          <w:tcPr>
            <w:tcW w:w="980" w:type="dxa"/>
            <w:tcBorders/>
            <w:shd w:fill="CEE8F6" w:val="clear"/>
            <w:vAlign w:val="center"/>
          </w:tcPr>
          <w:p>
            <w:pPr>
              <w:pStyle w:val="TableContents"/>
              <w:spacing w:lineRule="atLeast" w:line="220" w:before="0" w:after="0"/>
              <w:jc w:val="right"/>
              <w:rPr>
                <w:rFonts w:ascii="ARIAL" w:hAnsi="ARIAL"/>
                <w:sz w:val="14"/>
              </w:rPr>
            </w:pPr>
            <w:r>
              <w:rPr>
                <w:rFonts w:ascii="ARIAL" w:hAnsi="ARIAL"/>
                <w:sz w:val="14"/>
              </w:rPr>
              <w:t>1,109,250</w:t>
            </w:r>
          </w:p>
        </w:tc>
        <w:tc>
          <w:tcPr>
            <w:tcW w:w="60" w:type="dxa"/>
            <w:tcBorders/>
            <w:shd w:fill="CEE8F6" w:val="clear"/>
            <w:vAlign w:val="center"/>
          </w:tcPr>
          <w:p>
            <w:pPr>
              <w:pStyle w:val="TableContents"/>
              <w:spacing w:lineRule="atLeast" w:line="220" w:before="0" w:after="0"/>
              <w:rPr/>
            </w:pPr>
            <w:r>
              <w:rPr/>
              <w:t> </w:t>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lineRule="atLeast" w:line="220" w:before="0" w:after="0"/>
              <w:rPr/>
            </w:pPr>
            <w:r>
              <w:rPr/>
              <w:t> </w:t>
            </w:r>
          </w:p>
        </w:tc>
        <w:tc>
          <w:tcPr>
            <w:tcW w:w="800" w:type="dxa"/>
            <w:tcBorders/>
            <w:shd w:fill="CEE8F6" w:val="clear"/>
            <w:vAlign w:val="center"/>
          </w:tcPr>
          <w:p>
            <w:pPr>
              <w:pStyle w:val="TableContents"/>
              <w:spacing w:lineRule="atLeast" w:line="220" w:before="0" w:after="0"/>
              <w:jc w:val="right"/>
              <w:rPr>
                <w:rFonts w:ascii="ARIAL" w:hAnsi="ARIAL"/>
                <w:sz w:val="14"/>
              </w:rPr>
            </w:pPr>
            <w:r>
              <w:rPr>
                <w:rFonts w:ascii="ARIAL" w:hAnsi="ARIAL"/>
                <w:sz w:val="14"/>
              </w:rPr>
              <w:t>871,750</w:t>
            </w:r>
          </w:p>
        </w:tc>
        <w:tc>
          <w:tcPr>
            <w:tcW w:w="60" w:type="dxa"/>
            <w:tcBorders/>
            <w:shd w:fill="CEE8F6" w:val="clear"/>
            <w:vAlign w:val="center"/>
          </w:tcPr>
          <w:p>
            <w:pPr>
              <w:pStyle w:val="TableContents"/>
              <w:spacing w:lineRule="atLeast" w:line="220" w:before="0" w:after="0"/>
              <w:rPr/>
            </w:pPr>
            <w:r>
              <w:rPr/>
              <w:t> </w:t>
            </w:r>
          </w:p>
        </w:tc>
        <w:tc>
          <w:tcPr>
            <w:tcW w:w="60" w:type="dxa"/>
            <w:tcBorders/>
            <w:shd w:fill="CEE8F6" w:val="clear"/>
            <w:vAlign w:val="center"/>
          </w:tcPr>
          <w:p>
            <w:pPr>
              <w:pStyle w:val="TableContents"/>
              <w:spacing w:before="0" w:after="283"/>
              <w:rPr/>
            </w:pPr>
            <w:r>
              <w:rPr/>
              <w:t> </w:t>
            </w:r>
          </w:p>
        </w:tc>
        <w:tc>
          <w:tcPr>
            <w:tcW w:w="64" w:type="dxa"/>
            <w:tcBorders/>
            <w:shd w:fill="CEE8F6" w:val="clear"/>
            <w:vAlign w:val="center"/>
          </w:tcPr>
          <w:p>
            <w:pPr>
              <w:pStyle w:val="TableContents"/>
              <w:spacing w:lineRule="atLeast" w:line="220" w:before="0" w:after="0"/>
              <w:rPr/>
            </w:pPr>
            <w:r>
              <w:rPr/>
              <w:t> </w:t>
            </w:r>
          </w:p>
        </w:tc>
        <w:tc>
          <w:tcPr>
            <w:tcW w:w="856" w:type="dxa"/>
            <w:tcBorders/>
            <w:shd w:fill="CEE8F6" w:val="clear"/>
            <w:vAlign w:val="center"/>
          </w:tcPr>
          <w:p>
            <w:pPr>
              <w:pStyle w:val="TableContents"/>
              <w:spacing w:lineRule="atLeast" w:line="220" w:before="0" w:after="0"/>
              <w:jc w:val="right"/>
              <w:rPr>
                <w:rFonts w:ascii="ARIAL" w:hAnsi="ARIAL"/>
                <w:sz w:val="14"/>
              </w:rPr>
            </w:pPr>
            <w:r>
              <w:rPr>
                <w:rFonts w:ascii="ARIAL" w:hAnsi="ARIAL"/>
                <w:sz w:val="14"/>
              </w:rPr>
              <w:t>1,890,000</w:t>
            </w:r>
          </w:p>
        </w:tc>
        <w:tc>
          <w:tcPr>
            <w:tcW w:w="60" w:type="dxa"/>
            <w:tcBorders/>
            <w:shd w:fill="CEE8F6" w:val="clear"/>
            <w:vAlign w:val="center"/>
          </w:tcPr>
          <w:p>
            <w:pPr>
              <w:pStyle w:val="TableContents"/>
              <w:spacing w:lineRule="atLeast" w:line="220" w:before="0" w:after="0"/>
              <w:rPr/>
            </w:pPr>
            <w:r>
              <w:rPr/>
              <w:t> </w:t>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lineRule="atLeast" w:line="220" w:before="0" w:after="0"/>
              <w:rPr/>
            </w:pPr>
            <w:r>
              <w:rPr/>
              <w:t> </w:t>
            </w:r>
          </w:p>
        </w:tc>
        <w:tc>
          <w:tcPr>
            <w:tcW w:w="980" w:type="dxa"/>
            <w:tcBorders/>
            <w:shd w:fill="CEE8F6" w:val="clear"/>
            <w:vAlign w:val="center"/>
          </w:tcPr>
          <w:p>
            <w:pPr>
              <w:pStyle w:val="TableContents"/>
              <w:spacing w:lineRule="atLeast" w:line="220" w:before="0" w:after="0"/>
              <w:jc w:val="right"/>
              <w:rPr>
                <w:rFonts w:ascii="ARIAL" w:hAnsi="ARIAL"/>
                <w:sz w:val="14"/>
              </w:rPr>
            </w:pPr>
            <w:r>
              <w:rPr>
                <w:rFonts w:ascii="ARIAL" w:hAnsi="ARIAL"/>
                <w:sz w:val="14"/>
              </w:rPr>
              <w:t>1,500,394</w:t>
            </w:r>
          </w:p>
        </w:tc>
        <w:tc>
          <w:tcPr>
            <w:tcW w:w="60" w:type="dxa"/>
            <w:tcBorders/>
            <w:shd w:fill="CEE8F6" w:val="clear"/>
            <w:vAlign w:val="center"/>
          </w:tcPr>
          <w:p>
            <w:pPr>
              <w:pStyle w:val="TableContents"/>
              <w:spacing w:lineRule="atLeast" w:line="220" w:before="0" w:after="0"/>
              <w:rPr/>
            </w:pPr>
            <w:r>
              <w:rPr/>
              <w:t> </w:t>
            </w:r>
          </w:p>
        </w:tc>
        <w:tc>
          <w:tcPr>
            <w:tcW w:w="60" w:type="dxa"/>
            <w:tcBorders/>
            <w:shd w:fill="CEE8F6" w:val="clear"/>
            <w:vAlign w:val="center"/>
          </w:tcPr>
          <w:p>
            <w:pPr>
              <w:pStyle w:val="TableContents"/>
              <w:spacing w:before="0" w:after="283"/>
              <w:rPr/>
            </w:pPr>
            <w:r>
              <w:rPr/>
              <w:t> </w:t>
            </w:r>
          </w:p>
        </w:tc>
        <w:tc>
          <w:tcPr>
            <w:tcW w:w="64" w:type="dxa"/>
            <w:tcBorders/>
            <w:shd w:fill="CEE8F6" w:val="clear"/>
            <w:vAlign w:val="center"/>
          </w:tcPr>
          <w:p>
            <w:pPr>
              <w:pStyle w:val="TableContents"/>
              <w:spacing w:lineRule="atLeast" w:line="220" w:before="0" w:after="0"/>
              <w:rPr/>
            </w:pPr>
            <w:r>
              <w:rPr/>
              <w:t> </w:t>
            </w:r>
          </w:p>
        </w:tc>
        <w:tc>
          <w:tcPr>
            <w:tcW w:w="856" w:type="dxa"/>
            <w:tcBorders/>
            <w:shd w:fill="CEE8F6" w:val="clear"/>
            <w:vAlign w:val="center"/>
          </w:tcPr>
          <w:p>
            <w:pPr>
              <w:pStyle w:val="TableContents"/>
              <w:spacing w:lineRule="atLeast" w:line="220" w:before="0" w:after="0"/>
              <w:jc w:val="right"/>
              <w:rPr>
                <w:rFonts w:ascii="ARIAL" w:hAnsi="ARIAL"/>
                <w:sz w:val="14"/>
              </w:rPr>
            </w:pPr>
            <w:r>
              <w:rPr>
                <w:rFonts w:ascii="ARIAL" w:hAnsi="ARIAL"/>
                <w:sz w:val="14"/>
              </w:rPr>
              <w:t>10,056</w:t>
            </w:r>
          </w:p>
        </w:tc>
        <w:tc>
          <w:tcPr>
            <w:tcW w:w="60" w:type="dxa"/>
            <w:tcBorders/>
            <w:shd w:fill="CEE8F6" w:val="clear"/>
            <w:vAlign w:val="center"/>
          </w:tcPr>
          <w:p>
            <w:pPr>
              <w:pStyle w:val="TableContents"/>
              <w:spacing w:lineRule="atLeast" w:line="220" w:before="0" w:after="0"/>
              <w:rPr/>
            </w:pPr>
            <w:r>
              <w:rPr/>
              <w:t> </w:t>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lineRule="atLeast" w:line="220" w:before="0" w:after="0"/>
              <w:rPr/>
            </w:pPr>
            <w:r>
              <w:rPr/>
              <w:t> </w:t>
            </w:r>
          </w:p>
        </w:tc>
        <w:tc>
          <w:tcPr>
            <w:tcW w:w="980" w:type="dxa"/>
            <w:tcBorders/>
            <w:shd w:fill="CEE8F6" w:val="clear"/>
            <w:vAlign w:val="center"/>
          </w:tcPr>
          <w:p>
            <w:pPr>
              <w:pStyle w:val="TableContents"/>
              <w:spacing w:lineRule="atLeast" w:line="220" w:before="0" w:after="0"/>
              <w:jc w:val="right"/>
              <w:rPr>
                <w:rFonts w:ascii="ARIAL" w:hAnsi="ARIAL"/>
                <w:sz w:val="14"/>
              </w:rPr>
            </w:pPr>
            <w:r>
              <w:rPr>
                <w:rFonts w:ascii="ARIAL" w:hAnsi="ARIAL"/>
                <w:sz w:val="14"/>
              </w:rPr>
              <w:t>6,306,450</w:t>
            </w:r>
          </w:p>
        </w:tc>
        <w:tc>
          <w:tcPr>
            <w:tcW w:w="75" w:type="dxa"/>
            <w:tcBorders/>
            <w:shd w:fill="CEE8F6" w:val="clear"/>
            <w:vAlign w:val="center"/>
          </w:tcPr>
          <w:p>
            <w:pPr>
              <w:pStyle w:val="TableContents"/>
              <w:spacing w:lineRule="atLeast" w:line="220" w:before="0" w:after="0"/>
              <w:rPr/>
            </w:pPr>
            <w:r>
              <w:rPr/>
              <w:t> </w:t>
            </w:r>
          </w:p>
        </w:tc>
      </w:tr>
      <w:tr>
        <w:trPr/>
        <w:tc>
          <w:tcPr>
            <w:tcW w:w="11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115" w:type="dxa"/>
            <w:tcBorders/>
            <w:shd w:fill="auto" w:val="clear"/>
            <w:vAlign w:val="center"/>
          </w:tcPr>
          <w:p>
            <w:pPr>
              <w:pStyle w:val="TableContents"/>
              <w:spacing w:before="0" w:after="0"/>
              <w:rPr>
                <w:rFonts w:ascii="ARIAL" w:hAnsi="ARIAL"/>
                <w:sz w:val="14"/>
              </w:rPr>
            </w:pPr>
            <w:r>
              <w:rPr>
                <w:rFonts w:ascii="ARIAL" w:hAnsi="ARIAL"/>
                <w:sz w:val="14"/>
              </w:rPr>
              <w:t>Wayne T. Smith</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00" w:type="dxa"/>
            <w:tcBorders/>
            <w:shd w:fill="auto" w:val="clear"/>
            <w:vAlign w:val="center"/>
          </w:tcPr>
          <w:p>
            <w:pPr>
              <w:pStyle w:val="TableContents"/>
              <w:spacing w:before="0" w:after="283"/>
              <w:jc w:val="right"/>
              <w:rPr/>
            </w:pPr>
            <w:r>
              <w:rPr/>
              <w:t>2022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1,000,000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15"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2,748,600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514,800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856" w:type="dxa"/>
            <w:tcBorders/>
            <w:shd w:fill="auto" w:val="clear"/>
            <w:vAlign w:val="center"/>
          </w:tcPr>
          <w:p>
            <w:pPr>
              <w:pStyle w:val="TableContents"/>
              <w:spacing w:before="0" w:after="283"/>
              <w:jc w:val="right"/>
              <w:rPr/>
            </w:pPr>
            <w:r>
              <w:rPr/>
              <w:t>587,500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1,181,700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856" w:type="dxa"/>
            <w:tcBorders/>
            <w:shd w:fill="auto" w:val="clear"/>
            <w:vAlign w:val="center"/>
          </w:tcPr>
          <w:p>
            <w:pPr>
              <w:pStyle w:val="TableContents"/>
              <w:spacing w:before="0" w:after="283"/>
              <w:jc w:val="right"/>
              <w:rPr/>
            </w:pPr>
            <w:r>
              <w:rPr/>
              <w:t>170,874</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6,203,474</w:t>
            </w:r>
          </w:p>
        </w:tc>
        <w:tc>
          <w:tcPr>
            <w:tcW w:w="75" w:type="dxa"/>
            <w:tcBorders/>
            <w:shd w:fill="auto" w:val="clear"/>
            <w:vAlign w:val="center"/>
          </w:tcPr>
          <w:p>
            <w:pPr>
              <w:pStyle w:val="TableContents"/>
              <w:spacing w:before="0" w:after="283"/>
              <w:rPr/>
            </w:pPr>
            <w:r>
              <w:rPr/>
              <w:t> </w:t>
            </w:r>
          </w:p>
        </w:tc>
      </w:tr>
      <w:tr>
        <w:trPr/>
        <w:tc>
          <w:tcPr>
            <w:tcW w:w="1115" w:type="dxa"/>
            <w:tcBorders/>
            <w:shd w:fill="auto" w:val="clear"/>
            <w:vAlign w:val="center"/>
          </w:tcPr>
          <w:p>
            <w:pPr>
              <w:pStyle w:val="TableContents"/>
              <w:spacing w:lineRule="atLeast" w:line="220" w:before="0" w:after="0"/>
              <w:rPr>
                <w:rFonts w:ascii="ARIAL" w:hAnsi="ARIAL"/>
                <w:sz w:val="14"/>
              </w:rPr>
            </w:pPr>
            <w:r>
              <w:rPr>
                <w:rFonts w:ascii="ARIAL" w:hAnsi="ARIAL"/>
                <w:sz w:val="14"/>
              </w:rPr>
              <w:t>Executive Chairman of the</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lineRule="atLeast" w:line="220" w:before="0" w:after="0"/>
              <w:rPr/>
            </w:pPr>
            <w:r>
              <w:rPr/>
              <w:t> </w:t>
            </w:r>
          </w:p>
        </w:tc>
        <w:tc>
          <w:tcPr>
            <w:tcW w:w="500" w:type="dxa"/>
            <w:tcBorders/>
            <w:shd w:fill="auto" w:val="clear"/>
            <w:vAlign w:val="center"/>
          </w:tcPr>
          <w:p>
            <w:pPr>
              <w:pStyle w:val="TableContents"/>
              <w:spacing w:lineRule="atLeast" w:line="220" w:before="0" w:after="0"/>
              <w:jc w:val="right"/>
              <w:rPr>
                <w:rFonts w:ascii="ARIAL" w:hAnsi="ARIAL"/>
                <w:sz w:val="14"/>
              </w:rPr>
            </w:pPr>
            <w:r>
              <w:rPr>
                <w:rFonts w:ascii="ARIAL" w:hAnsi="ARIAL"/>
                <w:sz w:val="14"/>
              </w:rPr>
              <w:t>2021</w:t>
            </w:r>
          </w:p>
        </w:tc>
        <w:tc>
          <w:tcPr>
            <w:tcW w:w="60" w:type="dxa"/>
            <w:tcBorders/>
            <w:shd w:fill="auto" w:val="clear"/>
            <w:vAlign w:val="center"/>
          </w:tcPr>
          <w:p>
            <w:pPr>
              <w:pStyle w:val="TableContents"/>
              <w:spacing w:lineRule="atLeast" w:line="220"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lineRule="atLeast" w:line="220" w:before="0" w:after="0"/>
              <w:rPr/>
            </w:pPr>
            <w:r>
              <w:rPr/>
              <w:t> </w:t>
            </w:r>
          </w:p>
        </w:tc>
        <w:tc>
          <w:tcPr>
            <w:tcW w:w="980" w:type="dxa"/>
            <w:tcBorders/>
            <w:shd w:fill="auto" w:val="clear"/>
            <w:vAlign w:val="center"/>
          </w:tcPr>
          <w:p>
            <w:pPr>
              <w:pStyle w:val="TableContents"/>
              <w:spacing w:lineRule="atLeast" w:line="220" w:before="0" w:after="0"/>
              <w:jc w:val="right"/>
              <w:rPr>
                <w:rFonts w:ascii="ARIAL" w:hAnsi="ARIAL"/>
                <w:sz w:val="14"/>
              </w:rPr>
            </w:pPr>
            <w:r>
              <w:rPr>
                <w:rFonts w:ascii="ARIAL" w:hAnsi="ARIAL"/>
                <w:sz w:val="14"/>
              </w:rPr>
              <w:t>1,000,000</w:t>
            </w:r>
          </w:p>
        </w:tc>
        <w:tc>
          <w:tcPr>
            <w:tcW w:w="60" w:type="dxa"/>
            <w:tcBorders/>
            <w:shd w:fill="auto" w:val="clear"/>
            <w:vAlign w:val="center"/>
          </w:tcPr>
          <w:p>
            <w:pPr>
              <w:pStyle w:val="TableContents"/>
              <w:spacing w:lineRule="atLeast" w:line="220"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lineRule="atLeast" w:line="220" w:before="0" w:after="0"/>
              <w:rPr/>
            </w:pPr>
            <w:r>
              <w:rPr/>
              <w:t> </w:t>
            </w:r>
          </w:p>
        </w:tc>
        <w:tc>
          <w:tcPr>
            <w:tcW w:w="515" w:type="dxa"/>
            <w:tcBorders/>
            <w:shd w:fill="auto" w:val="clear"/>
            <w:vAlign w:val="center"/>
          </w:tcPr>
          <w:p>
            <w:pPr>
              <w:pStyle w:val="TableContents"/>
              <w:spacing w:lineRule="atLeast" w:line="220" w:before="0" w:after="0"/>
              <w:jc w:val="right"/>
              <w:rPr>
                <w:rFonts w:ascii="ARIAL" w:hAnsi="ARIAL"/>
                <w:sz w:val="14"/>
              </w:rPr>
            </w:pPr>
            <w:r>
              <w:rPr>
                <w:rFonts w:ascii="ARIAL" w:hAnsi="ARIAL"/>
                <w:sz w:val="14"/>
              </w:rPr>
              <w:t>-</w:t>
            </w:r>
          </w:p>
        </w:tc>
        <w:tc>
          <w:tcPr>
            <w:tcW w:w="60" w:type="dxa"/>
            <w:tcBorders/>
            <w:shd w:fill="auto" w:val="clear"/>
            <w:vAlign w:val="center"/>
          </w:tcPr>
          <w:p>
            <w:pPr>
              <w:pStyle w:val="TableContents"/>
              <w:spacing w:lineRule="atLeast" w:line="220"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lineRule="atLeast" w:line="220" w:before="0" w:after="0"/>
              <w:rPr/>
            </w:pPr>
            <w:r>
              <w:rPr/>
              <w:t> </w:t>
            </w:r>
          </w:p>
        </w:tc>
        <w:tc>
          <w:tcPr>
            <w:tcW w:w="980" w:type="dxa"/>
            <w:tcBorders/>
            <w:shd w:fill="auto" w:val="clear"/>
            <w:vAlign w:val="center"/>
          </w:tcPr>
          <w:p>
            <w:pPr>
              <w:pStyle w:val="TableContents"/>
              <w:spacing w:lineRule="atLeast" w:line="220" w:before="0" w:after="0"/>
              <w:jc w:val="right"/>
              <w:rPr>
                <w:rFonts w:ascii="ARIAL" w:hAnsi="ARIAL"/>
                <w:sz w:val="14"/>
              </w:rPr>
            </w:pPr>
            <w:r>
              <w:rPr>
                <w:rFonts w:ascii="ARIAL" w:hAnsi="ARIAL"/>
                <w:sz w:val="14"/>
              </w:rPr>
              <w:t>2,378,700</w:t>
            </w:r>
          </w:p>
        </w:tc>
        <w:tc>
          <w:tcPr>
            <w:tcW w:w="60" w:type="dxa"/>
            <w:tcBorders/>
            <w:shd w:fill="auto" w:val="clear"/>
            <w:vAlign w:val="center"/>
          </w:tcPr>
          <w:p>
            <w:pPr>
              <w:pStyle w:val="TableContents"/>
              <w:spacing w:lineRule="atLeast" w:line="220"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lineRule="atLeast" w:line="220" w:before="0" w:after="0"/>
              <w:rPr/>
            </w:pPr>
            <w:r>
              <w:rPr/>
              <w:t> </w:t>
            </w:r>
          </w:p>
        </w:tc>
        <w:tc>
          <w:tcPr>
            <w:tcW w:w="800" w:type="dxa"/>
            <w:tcBorders/>
            <w:shd w:fill="auto" w:val="clear"/>
            <w:vAlign w:val="center"/>
          </w:tcPr>
          <w:p>
            <w:pPr>
              <w:pStyle w:val="TableContents"/>
              <w:spacing w:lineRule="atLeast" w:line="220" w:before="0" w:after="0"/>
              <w:jc w:val="right"/>
              <w:rPr>
                <w:rFonts w:ascii="ARIAL" w:hAnsi="ARIAL"/>
                <w:sz w:val="14"/>
              </w:rPr>
            </w:pPr>
            <w:r>
              <w:rPr>
                <w:rFonts w:ascii="ARIAL" w:hAnsi="ARIAL"/>
                <w:sz w:val="14"/>
              </w:rPr>
              <w:t>444,600</w:t>
            </w:r>
          </w:p>
        </w:tc>
        <w:tc>
          <w:tcPr>
            <w:tcW w:w="60" w:type="dxa"/>
            <w:tcBorders/>
            <w:shd w:fill="auto" w:val="clear"/>
            <w:vAlign w:val="center"/>
          </w:tcPr>
          <w:p>
            <w:pPr>
              <w:pStyle w:val="TableContents"/>
              <w:spacing w:lineRule="atLeast" w:line="220" w:before="0" w:after="0"/>
              <w:rPr/>
            </w:pPr>
            <w:r>
              <w:rPr/>
              <w:t> </w:t>
            </w:r>
          </w:p>
        </w:tc>
        <w:tc>
          <w:tcPr>
            <w:tcW w:w="6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lineRule="atLeast" w:line="220" w:before="0" w:after="0"/>
              <w:rPr/>
            </w:pPr>
            <w:r>
              <w:rPr/>
              <w:t> </w:t>
            </w:r>
          </w:p>
        </w:tc>
        <w:tc>
          <w:tcPr>
            <w:tcW w:w="856" w:type="dxa"/>
            <w:tcBorders/>
            <w:shd w:fill="auto" w:val="clear"/>
            <w:vAlign w:val="center"/>
          </w:tcPr>
          <w:p>
            <w:pPr>
              <w:pStyle w:val="TableContents"/>
              <w:spacing w:lineRule="atLeast" w:line="220" w:before="0" w:after="0"/>
              <w:jc w:val="right"/>
              <w:rPr>
                <w:rFonts w:ascii="ARIAL" w:hAnsi="ARIAL"/>
                <w:sz w:val="14"/>
              </w:rPr>
            </w:pPr>
            <w:r>
              <w:rPr>
                <w:rFonts w:ascii="ARIAL" w:hAnsi="ARIAL"/>
                <w:sz w:val="14"/>
              </w:rPr>
              <w:t>2,920,000</w:t>
            </w:r>
          </w:p>
        </w:tc>
        <w:tc>
          <w:tcPr>
            <w:tcW w:w="60" w:type="dxa"/>
            <w:tcBorders/>
            <w:shd w:fill="auto" w:val="clear"/>
            <w:vAlign w:val="center"/>
          </w:tcPr>
          <w:p>
            <w:pPr>
              <w:pStyle w:val="TableContents"/>
              <w:spacing w:lineRule="atLeast" w:line="220"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lineRule="atLeast" w:line="220" w:before="0" w:after="0"/>
              <w:rPr/>
            </w:pPr>
            <w:r>
              <w:rPr/>
              <w:t> </w:t>
            </w:r>
          </w:p>
        </w:tc>
        <w:tc>
          <w:tcPr>
            <w:tcW w:w="980" w:type="dxa"/>
            <w:tcBorders/>
            <w:shd w:fill="auto" w:val="clear"/>
            <w:vAlign w:val="center"/>
          </w:tcPr>
          <w:p>
            <w:pPr>
              <w:pStyle w:val="TableContents"/>
              <w:spacing w:lineRule="atLeast" w:line="220" w:before="0" w:after="0"/>
              <w:jc w:val="right"/>
              <w:rPr>
                <w:rFonts w:ascii="ARIAL" w:hAnsi="ARIAL"/>
                <w:sz w:val="14"/>
              </w:rPr>
            </w:pPr>
            <w:r>
              <w:rPr>
                <w:rFonts w:ascii="ARIAL" w:hAnsi="ARIAL"/>
                <w:sz w:val="14"/>
              </w:rPr>
              <w:t>1,155,367</w:t>
            </w:r>
          </w:p>
        </w:tc>
        <w:tc>
          <w:tcPr>
            <w:tcW w:w="60" w:type="dxa"/>
            <w:tcBorders/>
            <w:shd w:fill="auto" w:val="clear"/>
            <w:vAlign w:val="center"/>
          </w:tcPr>
          <w:p>
            <w:pPr>
              <w:pStyle w:val="TableContents"/>
              <w:spacing w:lineRule="atLeast" w:line="220" w:before="0" w:after="0"/>
              <w:rPr/>
            </w:pPr>
            <w:r>
              <w:rPr/>
              <w:t> </w:t>
            </w:r>
          </w:p>
        </w:tc>
        <w:tc>
          <w:tcPr>
            <w:tcW w:w="6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lineRule="atLeast" w:line="220" w:before="0" w:after="0"/>
              <w:rPr/>
            </w:pPr>
            <w:r>
              <w:rPr/>
              <w:t> </w:t>
            </w:r>
          </w:p>
        </w:tc>
        <w:tc>
          <w:tcPr>
            <w:tcW w:w="856" w:type="dxa"/>
            <w:tcBorders/>
            <w:shd w:fill="auto" w:val="clear"/>
            <w:vAlign w:val="center"/>
          </w:tcPr>
          <w:p>
            <w:pPr>
              <w:pStyle w:val="TableContents"/>
              <w:spacing w:lineRule="atLeast" w:line="220" w:before="0" w:after="0"/>
              <w:jc w:val="right"/>
              <w:rPr>
                <w:rFonts w:ascii="ARIAL" w:hAnsi="ARIAL"/>
                <w:sz w:val="14"/>
              </w:rPr>
            </w:pPr>
            <w:r>
              <w:rPr>
                <w:rFonts w:ascii="ARIAL" w:hAnsi="ARIAL"/>
                <w:sz w:val="14"/>
              </w:rPr>
              <w:t>129,907</w:t>
            </w:r>
          </w:p>
        </w:tc>
        <w:tc>
          <w:tcPr>
            <w:tcW w:w="60" w:type="dxa"/>
            <w:tcBorders/>
            <w:shd w:fill="auto" w:val="clear"/>
            <w:vAlign w:val="center"/>
          </w:tcPr>
          <w:p>
            <w:pPr>
              <w:pStyle w:val="TableContents"/>
              <w:spacing w:lineRule="atLeast" w:line="220"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lineRule="atLeast" w:line="220" w:before="0" w:after="0"/>
              <w:rPr/>
            </w:pPr>
            <w:r>
              <w:rPr/>
              <w:t> </w:t>
            </w:r>
          </w:p>
        </w:tc>
        <w:tc>
          <w:tcPr>
            <w:tcW w:w="980" w:type="dxa"/>
            <w:tcBorders/>
            <w:shd w:fill="auto" w:val="clear"/>
            <w:vAlign w:val="center"/>
          </w:tcPr>
          <w:p>
            <w:pPr>
              <w:pStyle w:val="TableContents"/>
              <w:spacing w:lineRule="atLeast" w:line="220" w:before="0" w:after="0"/>
              <w:jc w:val="right"/>
              <w:rPr>
                <w:rFonts w:ascii="ARIAL" w:hAnsi="ARIAL"/>
                <w:sz w:val="14"/>
              </w:rPr>
            </w:pPr>
            <w:r>
              <w:rPr>
                <w:rFonts w:ascii="ARIAL" w:hAnsi="ARIAL"/>
                <w:sz w:val="14"/>
              </w:rPr>
              <w:t>8,028,574</w:t>
            </w:r>
          </w:p>
        </w:tc>
        <w:tc>
          <w:tcPr>
            <w:tcW w:w="75" w:type="dxa"/>
            <w:tcBorders/>
            <w:shd w:fill="auto" w:val="clear"/>
            <w:vAlign w:val="center"/>
          </w:tcPr>
          <w:p>
            <w:pPr>
              <w:pStyle w:val="TableContents"/>
              <w:spacing w:lineRule="atLeast" w:line="220" w:before="0" w:after="0"/>
              <w:rPr/>
            </w:pPr>
            <w:r>
              <w:rPr/>
              <w:t> </w:t>
            </w:r>
          </w:p>
        </w:tc>
      </w:tr>
      <w:tr>
        <w:trPr/>
        <w:tc>
          <w:tcPr>
            <w:tcW w:w="1115" w:type="dxa"/>
            <w:tcBorders/>
            <w:shd w:fill="auto" w:val="clear"/>
            <w:vAlign w:val="center"/>
          </w:tcPr>
          <w:p>
            <w:pPr>
              <w:pStyle w:val="TableContents"/>
              <w:spacing w:lineRule="atLeast" w:line="220" w:before="0" w:after="0"/>
              <w:rPr>
                <w:rFonts w:ascii="ARIAL" w:hAnsi="ARIAL"/>
                <w:sz w:val="14"/>
              </w:rPr>
            </w:pPr>
            <w:r>
              <w:rPr>
                <w:rFonts w:ascii="ARIAL" w:hAnsi="ARIAL"/>
                <w:sz w:val="14"/>
              </w:rPr>
              <w:t>Board of Directors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lineRule="atLeast" w:line="220" w:before="0" w:after="0"/>
              <w:rPr/>
            </w:pPr>
            <w:r>
              <w:rPr/>
              <w:t> </w:t>
            </w:r>
          </w:p>
        </w:tc>
        <w:tc>
          <w:tcPr>
            <w:tcW w:w="500" w:type="dxa"/>
            <w:tcBorders/>
            <w:shd w:fill="auto" w:val="clear"/>
            <w:vAlign w:val="center"/>
          </w:tcPr>
          <w:p>
            <w:pPr>
              <w:pStyle w:val="TableContents"/>
              <w:spacing w:lineRule="atLeast" w:line="220" w:before="0" w:after="0"/>
              <w:jc w:val="right"/>
              <w:rPr>
                <w:rFonts w:ascii="ARIAL" w:hAnsi="ARIAL"/>
                <w:sz w:val="14"/>
              </w:rPr>
            </w:pPr>
            <w:r>
              <w:rPr>
                <w:rFonts w:ascii="ARIAL" w:hAnsi="ARIAL"/>
                <w:sz w:val="14"/>
              </w:rPr>
              <w:t>2020</w:t>
            </w:r>
          </w:p>
        </w:tc>
        <w:tc>
          <w:tcPr>
            <w:tcW w:w="60" w:type="dxa"/>
            <w:tcBorders/>
            <w:shd w:fill="auto" w:val="clear"/>
            <w:vAlign w:val="center"/>
          </w:tcPr>
          <w:p>
            <w:pPr>
              <w:pStyle w:val="TableContents"/>
              <w:spacing w:lineRule="atLeast" w:line="220"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lineRule="atLeast" w:line="220" w:before="0" w:after="0"/>
              <w:rPr/>
            </w:pPr>
            <w:r>
              <w:rPr/>
              <w:t> </w:t>
            </w:r>
          </w:p>
        </w:tc>
        <w:tc>
          <w:tcPr>
            <w:tcW w:w="980" w:type="dxa"/>
            <w:tcBorders/>
            <w:shd w:fill="auto" w:val="clear"/>
            <w:vAlign w:val="center"/>
          </w:tcPr>
          <w:p>
            <w:pPr>
              <w:pStyle w:val="TableContents"/>
              <w:spacing w:lineRule="atLeast" w:line="220" w:before="0" w:after="0"/>
              <w:jc w:val="right"/>
              <w:rPr>
                <w:rFonts w:ascii="ARIAL" w:hAnsi="ARIAL"/>
                <w:sz w:val="14"/>
              </w:rPr>
            </w:pPr>
            <w:r>
              <w:rPr>
                <w:rFonts w:ascii="ARIAL" w:hAnsi="ARIAL"/>
                <w:sz w:val="14"/>
              </w:rPr>
              <w:t>1,300,000</w:t>
            </w:r>
          </w:p>
        </w:tc>
        <w:tc>
          <w:tcPr>
            <w:tcW w:w="60" w:type="dxa"/>
            <w:tcBorders/>
            <w:shd w:fill="auto" w:val="clear"/>
            <w:vAlign w:val="center"/>
          </w:tcPr>
          <w:p>
            <w:pPr>
              <w:pStyle w:val="TableContents"/>
              <w:spacing w:lineRule="atLeast" w:line="220"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lineRule="atLeast" w:line="220" w:before="0" w:after="0"/>
              <w:rPr/>
            </w:pPr>
            <w:r>
              <w:rPr/>
              <w:t> </w:t>
            </w:r>
          </w:p>
        </w:tc>
        <w:tc>
          <w:tcPr>
            <w:tcW w:w="515" w:type="dxa"/>
            <w:tcBorders/>
            <w:shd w:fill="auto" w:val="clear"/>
            <w:vAlign w:val="center"/>
          </w:tcPr>
          <w:p>
            <w:pPr>
              <w:pStyle w:val="TableContents"/>
              <w:spacing w:lineRule="atLeast" w:line="220" w:before="0" w:after="0"/>
              <w:jc w:val="right"/>
              <w:rPr>
                <w:rFonts w:ascii="ARIAL" w:hAnsi="ARIAL"/>
                <w:sz w:val="14"/>
              </w:rPr>
            </w:pPr>
            <w:r>
              <w:rPr>
                <w:rFonts w:ascii="ARIAL" w:hAnsi="ARIAL"/>
                <w:sz w:val="14"/>
              </w:rPr>
              <w:t>-</w:t>
            </w:r>
          </w:p>
        </w:tc>
        <w:tc>
          <w:tcPr>
            <w:tcW w:w="60" w:type="dxa"/>
            <w:tcBorders/>
            <w:shd w:fill="auto" w:val="clear"/>
            <w:vAlign w:val="center"/>
          </w:tcPr>
          <w:p>
            <w:pPr>
              <w:pStyle w:val="TableContents"/>
              <w:spacing w:lineRule="atLeast" w:line="220"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lineRule="atLeast" w:line="220" w:before="0" w:after="0"/>
              <w:rPr/>
            </w:pPr>
            <w:r>
              <w:rPr/>
              <w:t> </w:t>
            </w:r>
          </w:p>
        </w:tc>
        <w:tc>
          <w:tcPr>
            <w:tcW w:w="980" w:type="dxa"/>
            <w:tcBorders/>
            <w:shd w:fill="auto" w:val="clear"/>
            <w:vAlign w:val="center"/>
          </w:tcPr>
          <w:p>
            <w:pPr>
              <w:pStyle w:val="TableContents"/>
              <w:spacing w:lineRule="atLeast" w:line="220" w:before="0" w:after="0"/>
              <w:jc w:val="right"/>
              <w:rPr>
                <w:rFonts w:ascii="ARIAL" w:hAnsi="ARIAL"/>
                <w:sz w:val="14"/>
              </w:rPr>
            </w:pPr>
            <w:r>
              <w:rPr>
                <w:rFonts w:ascii="ARIAL" w:hAnsi="ARIAL"/>
                <w:sz w:val="14"/>
              </w:rPr>
              <w:t>1,663,875</w:t>
            </w:r>
          </w:p>
        </w:tc>
        <w:tc>
          <w:tcPr>
            <w:tcW w:w="60" w:type="dxa"/>
            <w:tcBorders/>
            <w:shd w:fill="auto" w:val="clear"/>
            <w:vAlign w:val="center"/>
          </w:tcPr>
          <w:p>
            <w:pPr>
              <w:pStyle w:val="TableContents"/>
              <w:spacing w:lineRule="atLeast" w:line="220"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lineRule="atLeast" w:line="220" w:before="0" w:after="0"/>
              <w:rPr/>
            </w:pPr>
            <w:r>
              <w:rPr/>
              <w:t> </w:t>
            </w:r>
          </w:p>
        </w:tc>
        <w:tc>
          <w:tcPr>
            <w:tcW w:w="800" w:type="dxa"/>
            <w:tcBorders/>
            <w:shd w:fill="auto" w:val="clear"/>
            <w:vAlign w:val="center"/>
          </w:tcPr>
          <w:p>
            <w:pPr>
              <w:pStyle w:val="TableContents"/>
              <w:spacing w:lineRule="atLeast" w:line="220" w:before="0" w:after="0"/>
              <w:jc w:val="right"/>
              <w:rPr>
                <w:rFonts w:ascii="ARIAL" w:hAnsi="ARIAL"/>
                <w:sz w:val="14"/>
              </w:rPr>
            </w:pPr>
            <w:r>
              <w:rPr>
                <w:rFonts w:ascii="ARIAL" w:hAnsi="ARIAL"/>
                <w:sz w:val="14"/>
              </w:rPr>
              <w:t>265,500</w:t>
            </w:r>
          </w:p>
        </w:tc>
        <w:tc>
          <w:tcPr>
            <w:tcW w:w="60" w:type="dxa"/>
            <w:tcBorders/>
            <w:shd w:fill="auto" w:val="clear"/>
            <w:vAlign w:val="center"/>
          </w:tcPr>
          <w:p>
            <w:pPr>
              <w:pStyle w:val="TableContents"/>
              <w:spacing w:lineRule="atLeast" w:line="220" w:before="0" w:after="0"/>
              <w:rPr/>
            </w:pPr>
            <w:r>
              <w:rPr/>
              <w:t> </w:t>
            </w:r>
          </w:p>
        </w:tc>
        <w:tc>
          <w:tcPr>
            <w:tcW w:w="6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lineRule="atLeast" w:line="220" w:before="0" w:after="0"/>
              <w:rPr/>
            </w:pPr>
            <w:r>
              <w:rPr/>
              <w:t> </w:t>
            </w:r>
          </w:p>
        </w:tc>
        <w:tc>
          <w:tcPr>
            <w:tcW w:w="856" w:type="dxa"/>
            <w:tcBorders/>
            <w:shd w:fill="auto" w:val="clear"/>
            <w:vAlign w:val="center"/>
          </w:tcPr>
          <w:p>
            <w:pPr>
              <w:pStyle w:val="TableContents"/>
              <w:spacing w:lineRule="atLeast" w:line="220" w:before="0" w:after="0"/>
              <w:jc w:val="right"/>
              <w:rPr>
                <w:rFonts w:ascii="ARIAL" w:hAnsi="ARIAL"/>
                <w:sz w:val="14"/>
              </w:rPr>
            </w:pPr>
            <w:r>
              <w:rPr>
                <w:rFonts w:ascii="ARIAL" w:hAnsi="ARIAL"/>
                <w:sz w:val="14"/>
              </w:rPr>
              <w:t>4,612,000</w:t>
            </w:r>
          </w:p>
        </w:tc>
        <w:tc>
          <w:tcPr>
            <w:tcW w:w="60" w:type="dxa"/>
            <w:tcBorders/>
            <w:shd w:fill="auto" w:val="clear"/>
            <w:vAlign w:val="center"/>
          </w:tcPr>
          <w:p>
            <w:pPr>
              <w:pStyle w:val="TableContents"/>
              <w:spacing w:lineRule="atLeast" w:line="220"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lineRule="atLeast" w:line="220" w:before="0" w:after="0"/>
              <w:rPr/>
            </w:pPr>
            <w:r>
              <w:rPr/>
              <w:t> </w:t>
            </w:r>
          </w:p>
        </w:tc>
        <w:tc>
          <w:tcPr>
            <w:tcW w:w="980" w:type="dxa"/>
            <w:tcBorders/>
            <w:shd w:fill="auto" w:val="clear"/>
            <w:vAlign w:val="center"/>
          </w:tcPr>
          <w:p>
            <w:pPr>
              <w:pStyle w:val="TableContents"/>
              <w:spacing w:lineRule="atLeast" w:line="220" w:before="0" w:after="0"/>
              <w:jc w:val="right"/>
              <w:rPr>
                <w:rFonts w:ascii="ARIAL" w:hAnsi="ARIAL"/>
                <w:sz w:val="14"/>
              </w:rPr>
            </w:pPr>
            <w:r>
              <w:rPr>
                <w:rFonts w:ascii="ARIAL" w:hAnsi="ARIAL"/>
                <w:sz w:val="14"/>
              </w:rPr>
              <w:t>1,129,620</w:t>
            </w:r>
          </w:p>
        </w:tc>
        <w:tc>
          <w:tcPr>
            <w:tcW w:w="60" w:type="dxa"/>
            <w:tcBorders/>
            <w:shd w:fill="auto" w:val="clear"/>
            <w:vAlign w:val="center"/>
          </w:tcPr>
          <w:p>
            <w:pPr>
              <w:pStyle w:val="TableContents"/>
              <w:spacing w:lineRule="atLeast" w:line="220" w:before="0" w:after="0"/>
              <w:rPr/>
            </w:pPr>
            <w:r>
              <w:rPr/>
              <w:t> </w:t>
            </w:r>
          </w:p>
        </w:tc>
        <w:tc>
          <w:tcPr>
            <w:tcW w:w="6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lineRule="atLeast" w:line="220" w:before="0" w:after="0"/>
              <w:rPr/>
            </w:pPr>
            <w:r>
              <w:rPr/>
              <w:t> </w:t>
            </w:r>
          </w:p>
        </w:tc>
        <w:tc>
          <w:tcPr>
            <w:tcW w:w="856" w:type="dxa"/>
            <w:tcBorders/>
            <w:shd w:fill="auto" w:val="clear"/>
            <w:vAlign w:val="center"/>
          </w:tcPr>
          <w:p>
            <w:pPr>
              <w:pStyle w:val="TableContents"/>
              <w:spacing w:lineRule="atLeast" w:line="220" w:before="0" w:after="0"/>
              <w:jc w:val="right"/>
              <w:rPr>
                <w:rFonts w:ascii="ARIAL" w:hAnsi="ARIAL"/>
                <w:sz w:val="14"/>
              </w:rPr>
            </w:pPr>
            <w:r>
              <w:rPr>
                <w:rFonts w:ascii="ARIAL" w:hAnsi="ARIAL"/>
                <w:sz w:val="14"/>
              </w:rPr>
              <w:t>95,424</w:t>
            </w:r>
          </w:p>
        </w:tc>
        <w:tc>
          <w:tcPr>
            <w:tcW w:w="60" w:type="dxa"/>
            <w:tcBorders/>
            <w:shd w:fill="auto" w:val="clear"/>
            <w:vAlign w:val="center"/>
          </w:tcPr>
          <w:p>
            <w:pPr>
              <w:pStyle w:val="TableContents"/>
              <w:spacing w:lineRule="atLeast" w:line="220"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lineRule="atLeast" w:line="220" w:before="0" w:after="0"/>
              <w:rPr/>
            </w:pPr>
            <w:r>
              <w:rPr/>
              <w:t> </w:t>
            </w:r>
          </w:p>
        </w:tc>
        <w:tc>
          <w:tcPr>
            <w:tcW w:w="980" w:type="dxa"/>
            <w:tcBorders/>
            <w:shd w:fill="auto" w:val="clear"/>
            <w:vAlign w:val="center"/>
          </w:tcPr>
          <w:p>
            <w:pPr>
              <w:pStyle w:val="TableContents"/>
              <w:spacing w:lineRule="atLeast" w:line="220" w:before="0" w:after="0"/>
              <w:jc w:val="right"/>
              <w:rPr>
                <w:rFonts w:ascii="ARIAL" w:hAnsi="ARIAL"/>
                <w:sz w:val="14"/>
              </w:rPr>
            </w:pPr>
            <w:r>
              <w:rPr>
                <w:rFonts w:ascii="ARIAL" w:hAnsi="ARIAL"/>
                <w:sz w:val="14"/>
              </w:rPr>
              <w:t>9,066,419</w:t>
            </w:r>
          </w:p>
        </w:tc>
        <w:tc>
          <w:tcPr>
            <w:tcW w:w="75" w:type="dxa"/>
            <w:tcBorders/>
            <w:shd w:fill="auto" w:val="clear"/>
            <w:vAlign w:val="center"/>
          </w:tcPr>
          <w:p>
            <w:pPr>
              <w:pStyle w:val="TableContents"/>
              <w:spacing w:lineRule="atLeast" w:line="220" w:before="0" w:after="0"/>
              <w:rPr/>
            </w:pPr>
            <w:r>
              <w:rPr/>
              <w:t> </w:t>
            </w:r>
          </w:p>
        </w:tc>
      </w:tr>
      <w:tr>
        <w:trPr/>
        <w:tc>
          <w:tcPr>
            <w:tcW w:w="11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115" w:type="dxa"/>
            <w:tcBorders/>
            <w:shd w:fill="CEE8F6" w:val="clear"/>
            <w:vAlign w:val="center"/>
          </w:tcPr>
          <w:p>
            <w:pPr>
              <w:pStyle w:val="TableContents"/>
              <w:spacing w:lineRule="atLeast" w:line="220" w:before="0" w:after="0"/>
              <w:rPr>
                <w:rFonts w:ascii="ARIAL" w:hAnsi="ARIAL"/>
                <w:sz w:val="14"/>
              </w:rPr>
            </w:pPr>
            <w:r>
              <w:rPr>
                <w:rFonts w:ascii="ARIAL" w:hAnsi="ARIAL"/>
                <w:sz w:val="14"/>
              </w:rPr>
              <w:t>Kevin J. Hammons</w:t>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lineRule="atLeast" w:line="220" w:before="0" w:after="0"/>
              <w:rPr/>
            </w:pPr>
            <w:r>
              <w:rPr/>
              <w:t> </w:t>
            </w:r>
          </w:p>
        </w:tc>
        <w:tc>
          <w:tcPr>
            <w:tcW w:w="500" w:type="dxa"/>
            <w:tcBorders/>
            <w:shd w:fill="CEE8F6" w:val="clear"/>
            <w:vAlign w:val="center"/>
          </w:tcPr>
          <w:p>
            <w:pPr>
              <w:pStyle w:val="TableContents"/>
              <w:spacing w:lineRule="atLeast" w:line="220" w:before="0" w:after="0"/>
              <w:jc w:val="right"/>
              <w:rPr>
                <w:rFonts w:ascii="ARIAL" w:hAnsi="ARIAL"/>
                <w:sz w:val="14"/>
              </w:rPr>
            </w:pPr>
            <w:r>
              <w:rPr>
                <w:rFonts w:ascii="ARIAL" w:hAnsi="ARIAL"/>
                <w:sz w:val="14"/>
              </w:rPr>
              <w:t>2022</w:t>
            </w:r>
          </w:p>
        </w:tc>
        <w:tc>
          <w:tcPr>
            <w:tcW w:w="60" w:type="dxa"/>
            <w:tcBorders/>
            <w:shd w:fill="CEE8F6" w:val="clear"/>
            <w:vAlign w:val="center"/>
          </w:tcPr>
          <w:p>
            <w:pPr>
              <w:pStyle w:val="TableContents"/>
              <w:spacing w:lineRule="atLeast" w:line="220" w:before="0" w:after="0"/>
              <w:rPr/>
            </w:pPr>
            <w:r>
              <w:rPr/>
              <w:t> </w:t>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lineRule="atLeast" w:line="220" w:before="0" w:after="0"/>
              <w:rPr/>
            </w:pPr>
            <w:r>
              <w:rPr/>
              <w:t> </w:t>
            </w:r>
          </w:p>
        </w:tc>
        <w:tc>
          <w:tcPr>
            <w:tcW w:w="980" w:type="dxa"/>
            <w:tcBorders/>
            <w:shd w:fill="CEE8F6" w:val="clear"/>
            <w:vAlign w:val="center"/>
          </w:tcPr>
          <w:p>
            <w:pPr>
              <w:pStyle w:val="TableContents"/>
              <w:spacing w:lineRule="atLeast" w:line="220" w:before="0" w:after="0"/>
              <w:jc w:val="right"/>
              <w:rPr>
                <w:rFonts w:ascii="ARIAL" w:hAnsi="ARIAL"/>
                <w:sz w:val="14"/>
              </w:rPr>
            </w:pPr>
            <w:r>
              <w:rPr>
                <w:rFonts w:ascii="ARIAL" w:hAnsi="ARIAL"/>
                <w:sz w:val="14"/>
              </w:rPr>
              <w:t>750,000</w:t>
            </w:r>
          </w:p>
        </w:tc>
        <w:tc>
          <w:tcPr>
            <w:tcW w:w="60" w:type="dxa"/>
            <w:tcBorders/>
            <w:shd w:fill="CEE8F6" w:val="clear"/>
            <w:vAlign w:val="center"/>
          </w:tcPr>
          <w:p>
            <w:pPr>
              <w:pStyle w:val="TableContents"/>
              <w:spacing w:lineRule="atLeast" w:line="220" w:before="0" w:after="0"/>
              <w:rPr/>
            </w:pPr>
            <w:r>
              <w:rPr/>
              <w:t> </w:t>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lineRule="atLeast" w:line="220" w:before="0" w:after="0"/>
              <w:rPr/>
            </w:pPr>
            <w:r>
              <w:rPr/>
              <w:t> </w:t>
            </w:r>
          </w:p>
        </w:tc>
        <w:tc>
          <w:tcPr>
            <w:tcW w:w="515" w:type="dxa"/>
            <w:tcBorders/>
            <w:shd w:fill="CEE8F6" w:val="clear"/>
            <w:vAlign w:val="center"/>
          </w:tcPr>
          <w:p>
            <w:pPr>
              <w:pStyle w:val="TableContents"/>
              <w:spacing w:lineRule="atLeast" w:line="220" w:before="0" w:after="0"/>
              <w:jc w:val="right"/>
              <w:rPr>
                <w:rFonts w:ascii="ARIAL" w:hAnsi="ARIAL"/>
                <w:sz w:val="14"/>
              </w:rPr>
            </w:pPr>
            <w:r>
              <w:rPr>
                <w:rFonts w:ascii="ARIAL" w:hAnsi="ARIAL"/>
                <w:sz w:val="14"/>
              </w:rPr>
              <w:t>-</w:t>
            </w:r>
          </w:p>
        </w:tc>
        <w:tc>
          <w:tcPr>
            <w:tcW w:w="60" w:type="dxa"/>
            <w:tcBorders/>
            <w:shd w:fill="CEE8F6" w:val="clear"/>
            <w:vAlign w:val="center"/>
          </w:tcPr>
          <w:p>
            <w:pPr>
              <w:pStyle w:val="TableContents"/>
              <w:spacing w:lineRule="atLeast" w:line="220" w:before="0" w:after="0"/>
              <w:rPr/>
            </w:pPr>
            <w:r>
              <w:rPr/>
              <w:t> </w:t>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lineRule="atLeast" w:line="220" w:before="0" w:after="0"/>
              <w:rPr/>
            </w:pPr>
            <w:r>
              <w:rPr/>
              <w:t> </w:t>
            </w:r>
          </w:p>
        </w:tc>
        <w:tc>
          <w:tcPr>
            <w:tcW w:w="980" w:type="dxa"/>
            <w:tcBorders/>
            <w:shd w:fill="CEE8F6" w:val="clear"/>
            <w:vAlign w:val="center"/>
          </w:tcPr>
          <w:p>
            <w:pPr>
              <w:pStyle w:val="TableContents"/>
              <w:spacing w:lineRule="atLeast" w:line="220" w:before="0" w:after="0"/>
              <w:jc w:val="right"/>
              <w:rPr>
                <w:rFonts w:ascii="ARIAL" w:hAnsi="ARIAL"/>
                <w:sz w:val="14"/>
              </w:rPr>
            </w:pPr>
            <w:r>
              <w:rPr>
                <w:rFonts w:ascii="ARIAL" w:hAnsi="ARIAL"/>
                <w:sz w:val="14"/>
              </w:rPr>
              <w:t>2,290,500</w:t>
            </w:r>
          </w:p>
        </w:tc>
        <w:tc>
          <w:tcPr>
            <w:tcW w:w="60" w:type="dxa"/>
            <w:tcBorders/>
            <w:shd w:fill="CEE8F6" w:val="clear"/>
            <w:vAlign w:val="center"/>
          </w:tcPr>
          <w:p>
            <w:pPr>
              <w:pStyle w:val="TableContents"/>
              <w:spacing w:lineRule="atLeast" w:line="220" w:before="0" w:after="0"/>
              <w:rPr/>
            </w:pPr>
            <w:r>
              <w:rPr/>
              <w:t> </w:t>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lineRule="atLeast" w:line="220" w:before="0" w:after="0"/>
              <w:rPr/>
            </w:pPr>
            <w:r>
              <w:rPr/>
              <w:t> </w:t>
            </w:r>
          </w:p>
        </w:tc>
        <w:tc>
          <w:tcPr>
            <w:tcW w:w="800" w:type="dxa"/>
            <w:tcBorders/>
            <w:shd w:fill="CEE8F6" w:val="clear"/>
            <w:vAlign w:val="center"/>
          </w:tcPr>
          <w:p>
            <w:pPr>
              <w:pStyle w:val="TableContents"/>
              <w:spacing w:lineRule="atLeast" w:line="220" w:before="0" w:after="0"/>
              <w:jc w:val="right"/>
              <w:rPr>
                <w:rFonts w:ascii="ARIAL" w:hAnsi="ARIAL"/>
                <w:sz w:val="14"/>
              </w:rPr>
            </w:pPr>
            <w:r>
              <w:rPr>
                <w:rFonts w:ascii="ARIAL" w:hAnsi="ARIAL"/>
                <w:sz w:val="14"/>
              </w:rPr>
              <w:t>543,750</w:t>
            </w:r>
          </w:p>
        </w:tc>
        <w:tc>
          <w:tcPr>
            <w:tcW w:w="60" w:type="dxa"/>
            <w:tcBorders/>
            <w:shd w:fill="CEE8F6" w:val="clear"/>
            <w:vAlign w:val="center"/>
          </w:tcPr>
          <w:p>
            <w:pPr>
              <w:pStyle w:val="TableContents"/>
              <w:spacing w:lineRule="atLeast" w:line="220" w:before="0" w:after="0"/>
              <w:rPr/>
            </w:pPr>
            <w:r>
              <w:rPr/>
              <w:t> </w:t>
            </w:r>
          </w:p>
        </w:tc>
        <w:tc>
          <w:tcPr>
            <w:tcW w:w="60" w:type="dxa"/>
            <w:tcBorders/>
            <w:shd w:fill="CEE8F6" w:val="clear"/>
            <w:vAlign w:val="center"/>
          </w:tcPr>
          <w:p>
            <w:pPr>
              <w:pStyle w:val="TableContents"/>
              <w:spacing w:before="0" w:after="283"/>
              <w:rPr/>
            </w:pPr>
            <w:r>
              <w:rPr/>
              <w:t> </w:t>
            </w:r>
          </w:p>
        </w:tc>
        <w:tc>
          <w:tcPr>
            <w:tcW w:w="64" w:type="dxa"/>
            <w:tcBorders/>
            <w:shd w:fill="CEE8F6" w:val="clear"/>
            <w:vAlign w:val="center"/>
          </w:tcPr>
          <w:p>
            <w:pPr>
              <w:pStyle w:val="TableContents"/>
              <w:spacing w:lineRule="atLeast" w:line="220" w:before="0" w:after="0"/>
              <w:rPr/>
            </w:pPr>
            <w:r>
              <w:rPr/>
              <w:t> </w:t>
            </w:r>
          </w:p>
        </w:tc>
        <w:tc>
          <w:tcPr>
            <w:tcW w:w="856" w:type="dxa"/>
            <w:tcBorders/>
            <w:shd w:fill="CEE8F6" w:val="clear"/>
            <w:vAlign w:val="center"/>
          </w:tcPr>
          <w:p>
            <w:pPr>
              <w:pStyle w:val="TableContents"/>
              <w:spacing w:lineRule="atLeast" w:line="220" w:before="0" w:after="0"/>
              <w:jc w:val="right"/>
              <w:rPr>
                <w:rFonts w:ascii="ARIAL" w:hAnsi="ARIAL"/>
                <w:sz w:val="14"/>
              </w:rPr>
            </w:pPr>
            <w:r>
              <w:rPr>
                <w:rFonts w:ascii="ARIAL" w:hAnsi="ARIAL"/>
                <w:sz w:val="14"/>
              </w:rPr>
              <w:t>271,875</w:t>
            </w:r>
          </w:p>
        </w:tc>
        <w:tc>
          <w:tcPr>
            <w:tcW w:w="60" w:type="dxa"/>
            <w:tcBorders/>
            <w:shd w:fill="CEE8F6" w:val="clear"/>
            <w:vAlign w:val="center"/>
          </w:tcPr>
          <w:p>
            <w:pPr>
              <w:pStyle w:val="TableContents"/>
              <w:spacing w:lineRule="atLeast" w:line="220" w:before="0" w:after="0"/>
              <w:rPr/>
            </w:pPr>
            <w:r>
              <w:rPr/>
              <w:t> </w:t>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lineRule="atLeast" w:line="220" w:before="0" w:after="0"/>
              <w:rPr/>
            </w:pPr>
            <w:r>
              <w:rPr/>
              <w:t> </w:t>
            </w:r>
          </w:p>
        </w:tc>
        <w:tc>
          <w:tcPr>
            <w:tcW w:w="980" w:type="dxa"/>
            <w:tcBorders/>
            <w:shd w:fill="CEE8F6" w:val="clear"/>
            <w:vAlign w:val="center"/>
          </w:tcPr>
          <w:p>
            <w:pPr>
              <w:pStyle w:val="TableContents"/>
              <w:spacing w:lineRule="atLeast" w:line="220" w:before="0" w:after="0"/>
              <w:jc w:val="right"/>
              <w:rPr>
                <w:rFonts w:ascii="ARIAL" w:hAnsi="ARIAL"/>
                <w:sz w:val="14"/>
              </w:rPr>
            </w:pPr>
            <w:r>
              <w:rPr>
                <w:rFonts w:ascii="ARIAL" w:hAnsi="ARIAL"/>
                <w:sz w:val="14"/>
              </w:rPr>
              <w:t>317,355</w:t>
            </w:r>
          </w:p>
        </w:tc>
        <w:tc>
          <w:tcPr>
            <w:tcW w:w="60" w:type="dxa"/>
            <w:tcBorders/>
            <w:shd w:fill="CEE8F6" w:val="clear"/>
            <w:vAlign w:val="center"/>
          </w:tcPr>
          <w:p>
            <w:pPr>
              <w:pStyle w:val="TableContents"/>
              <w:spacing w:lineRule="atLeast" w:line="220" w:before="0" w:after="0"/>
              <w:rPr/>
            </w:pPr>
            <w:r>
              <w:rPr/>
              <w:t> </w:t>
            </w:r>
          </w:p>
        </w:tc>
        <w:tc>
          <w:tcPr>
            <w:tcW w:w="60" w:type="dxa"/>
            <w:tcBorders/>
            <w:shd w:fill="CEE8F6" w:val="clear"/>
            <w:vAlign w:val="center"/>
          </w:tcPr>
          <w:p>
            <w:pPr>
              <w:pStyle w:val="TableContents"/>
              <w:spacing w:before="0" w:after="283"/>
              <w:rPr/>
            </w:pPr>
            <w:r>
              <w:rPr/>
              <w:t> </w:t>
            </w:r>
          </w:p>
        </w:tc>
        <w:tc>
          <w:tcPr>
            <w:tcW w:w="64" w:type="dxa"/>
            <w:tcBorders/>
            <w:shd w:fill="CEE8F6" w:val="clear"/>
            <w:vAlign w:val="center"/>
          </w:tcPr>
          <w:p>
            <w:pPr>
              <w:pStyle w:val="TableContents"/>
              <w:spacing w:lineRule="atLeast" w:line="220" w:before="0" w:after="0"/>
              <w:rPr/>
            </w:pPr>
            <w:r>
              <w:rPr/>
              <w:t> </w:t>
            </w:r>
          </w:p>
        </w:tc>
        <w:tc>
          <w:tcPr>
            <w:tcW w:w="856" w:type="dxa"/>
            <w:tcBorders/>
            <w:shd w:fill="CEE8F6" w:val="clear"/>
            <w:vAlign w:val="center"/>
          </w:tcPr>
          <w:p>
            <w:pPr>
              <w:pStyle w:val="TableContents"/>
              <w:spacing w:lineRule="atLeast" w:line="220" w:before="0" w:after="0"/>
              <w:jc w:val="right"/>
              <w:rPr>
                <w:rFonts w:ascii="ARIAL" w:hAnsi="ARIAL"/>
                <w:sz w:val="14"/>
              </w:rPr>
            </w:pPr>
            <w:r>
              <w:rPr>
                <w:rFonts w:ascii="ARIAL" w:hAnsi="ARIAL"/>
                <w:sz w:val="14"/>
              </w:rPr>
              <w:t>17,606</w:t>
            </w:r>
          </w:p>
        </w:tc>
        <w:tc>
          <w:tcPr>
            <w:tcW w:w="60" w:type="dxa"/>
            <w:tcBorders/>
            <w:shd w:fill="CEE8F6" w:val="clear"/>
            <w:vAlign w:val="center"/>
          </w:tcPr>
          <w:p>
            <w:pPr>
              <w:pStyle w:val="TableContents"/>
              <w:spacing w:lineRule="atLeast" w:line="220" w:before="0" w:after="0"/>
              <w:rPr/>
            </w:pPr>
            <w:r>
              <w:rPr/>
              <w:t> </w:t>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lineRule="atLeast" w:line="220" w:before="0" w:after="0"/>
              <w:rPr/>
            </w:pPr>
            <w:r>
              <w:rPr/>
              <w:t> </w:t>
            </w:r>
          </w:p>
        </w:tc>
        <w:tc>
          <w:tcPr>
            <w:tcW w:w="980" w:type="dxa"/>
            <w:tcBorders/>
            <w:shd w:fill="CEE8F6" w:val="clear"/>
            <w:vAlign w:val="center"/>
          </w:tcPr>
          <w:p>
            <w:pPr>
              <w:pStyle w:val="TableContents"/>
              <w:spacing w:lineRule="atLeast" w:line="220" w:before="0" w:after="0"/>
              <w:jc w:val="right"/>
              <w:rPr>
                <w:rFonts w:ascii="ARIAL" w:hAnsi="ARIAL"/>
                <w:sz w:val="14"/>
              </w:rPr>
            </w:pPr>
            <w:r>
              <w:rPr>
                <w:rFonts w:ascii="ARIAL" w:hAnsi="ARIAL"/>
                <w:sz w:val="14"/>
              </w:rPr>
              <w:t>4,191,086</w:t>
            </w:r>
          </w:p>
        </w:tc>
        <w:tc>
          <w:tcPr>
            <w:tcW w:w="75" w:type="dxa"/>
            <w:tcBorders/>
            <w:shd w:fill="CEE8F6" w:val="clear"/>
            <w:vAlign w:val="center"/>
          </w:tcPr>
          <w:p>
            <w:pPr>
              <w:pStyle w:val="TableContents"/>
              <w:spacing w:lineRule="atLeast" w:line="220" w:before="0" w:after="0"/>
              <w:rPr/>
            </w:pPr>
            <w:r>
              <w:rPr/>
              <w:t> </w:t>
            </w:r>
          </w:p>
        </w:tc>
      </w:tr>
      <w:tr>
        <w:trPr/>
        <w:tc>
          <w:tcPr>
            <w:tcW w:w="1115" w:type="dxa"/>
            <w:vMerge w:val="restart"/>
            <w:tcBorders/>
            <w:shd w:fill="CEE8F6" w:val="clear"/>
            <w:vAlign w:val="center"/>
          </w:tcPr>
          <w:p>
            <w:pPr>
              <w:pStyle w:val="TableContents"/>
              <w:spacing w:lineRule="atLeast" w:line="220" w:before="0" w:after="0"/>
              <w:rPr>
                <w:rFonts w:ascii="ARIAL" w:hAnsi="ARIAL"/>
                <w:sz w:val="14"/>
              </w:rPr>
            </w:pPr>
            <w:r>
              <w:rPr>
                <w:rFonts w:ascii="ARIAL" w:hAnsi="ARIAL"/>
                <w:sz w:val="14"/>
              </w:rPr>
              <w:t>President and Chief Financial Officer</w:t>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lineRule="atLeast" w:line="220" w:before="0" w:after="0"/>
              <w:rPr/>
            </w:pPr>
            <w:r>
              <w:rPr/>
              <w:t> </w:t>
            </w:r>
          </w:p>
        </w:tc>
        <w:tc>
          <w:tcPr>
            <w:tcW w:w="500" w:type="dxa"/>
            <w:tcBorders/>
            <w:shd w:fill="CEE8F6" w:val="clear"/>
            <w:vAlign w:val="center"/>
          </w:tcPr>
          <w:p>
            <w:pPr>
              <w:pStyle w:val="TableContents"/>
              <w:spacing w:lineRule="atLeast" w:line="220" w:before="0" w:after="0"/>
              <w:jc w:val="right"/>
              <w:rPr>
                <w:rFonts w:ascii="ARIAL" w:hAnsi="ARIAL"/>
                <w:sz w:val="14"/>
              </w:rPr>
            </w:pPr>
            <w:r>
              <w:rPr>
                <w:rFonts w:ascii="ARIAL" w:hAnsi="ARIAL"/>
                <w:sz w:val="14"/>
              </w:rPr>
              <w:t>2021</w:t>
            </w:r>
          </w:p>
        </w:tc>
        <w:tc>
          <w:tcPr>
            <w:tcW w:w="60" w:type="dxa"/>
            <w:tcBorders/>
            <w:shd w:fill="CEE8F6" w:val="clear"/>
            <w:vAlign w:val="center"/>
          </w:tcPr>
          <w:p>
            <w:pPr>
              <w:pStyle w:val="TableContents"/>
              <w:spacing w:lineRule="atLeast" w:line="220" w:before="0" w:after="0"/>
              <w:rPr/>
            </w:pPr>
            <w:r>
              <w:rPr/>
              <w:t> </w:t>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lineRule="atLeast" w:line="220" w:before="0" w:after="0"/>
              <w:rPr/>
            </w:pPr>
            <w:r>
              <w:rPr/>
              <w:t> </w:t>
            </w:r>
          </w:p>
        </w:tc>
        <w:tc>
          <w:tcPr>
            <w:tcW w:w="980" w:type="dxa"/>
            <w:tcBorders/>
            <w:shd w:fill="CEE8F6" w:val="clear"/>
            <w:vAlign w:val="center"/>
          </w:tcPr>
          <w:p>
            <w:pPr>
              <w:pStyle w:val="TableContents"/>
              <w:spacing w:lineRule="atLeast" w:line="220" w:before="0" w:after="0"/>
              <w:jc w:val="right"/>
              <w:rPr>
                <w:rFonts w:ascii="ARIAL" w:hAnsi="ARIAL"/>
                <w:sz w:val="14"/>
              </w:rPr>
            </w:pPr>
            <w:r>
              <w:rPr>
                <w:rFonts w:ascii="ARIAL" w:hAnsi="ARIAL"/>
                <w:sz w:val="14"/>
              </w:rPr>
              <w:t>700,000</w:t>
            </w:r>
          </w:p>
        </w:tc>
        <w:tc>
          <w:tcPr>
            <w:tcW w:w="60" w:type="dxa"/>
            <w:tcBorders/>
            <w:shd w:fill="CEE8F6" w:val="clear"/>
            <w:vAlign w:val="center"/>
          </w:tcPr>
          <w:p>
            <w:pPr>
              <w:pStyle w:val="TableContents"/>
              <w:spacing w:lineRule="atLeast" w:line="220" w:before="0" w:after="0"/>
              <w:rPr/>
            </w:pPr>
            <w:r>
              <w:rPr/>
              <w:t> </w:t>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lineRule="atLeast" w:line="220" w:before="0" w:after="0"/>
              <w:rPr/>
            </w:pPr>
            <w:r>
              <w:rPr/>
              <w:t> </w:t>
            </w:r>
          </w:p>
        </w:tc>
        <w:tc>
          <w:tcPr>
            <w:tcW w:w="515" w:type="dxa"/>
            <w:tcBorders/>
            <w:shd w:fill="CEE8F6" w:val="clear"/>
            <w:vAlign w:val="center"/>
          </w:tcPr>
          <w:p>
            <w:pPr>
              <w:pStyle w:val="TableContents"/>
              <w:spacing w:lineRule="atLeast" w:line="220" w:before="0" w:after="0"/>
              <w:jc w:val="right"/>
              <w:rPr>
                <w:rFonts w:ascii="ARIAL" w:hAnsi="ARIAL"/>
                <w:sz w:val="14"/>
              </w:rPr>
            </w:pPr>
            <w:r>
              <w:rPr>
                <w:rFonts w:ascii="ARIAL" w:hAnsi="ARIAL"/>
                <w:sz w:val="14"/>
              </w:rPr>
              <w:t>450,000</w:t>
            </w:r>
          </w:p>
        </w:tc>
        <w:tc>
          <w:tcPr>
            <w:tcW w:w="60" w:type="dxa"/>
            <w:tcBorders/>
            <w:shd w:fill="CEE8F6" w:val="clear"/>
            <w:vAlign w:val="center"/>
          </w:tcPr>
          <w:p>
            <w:pPr>
              <w:pStyle w:val="TableContents"/>
              <w:spacing w:lineRule="atLeast" w:line="220" w:before="0" w:after="0"/>
              <w:rPr/>
            </w:pPr>
            <w:r>
              <w:rPr/>
              <w:t> </w:t>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lineRule="atLeast" w:line="220" w:before="0" w:after="0"/>
              <w:rPr/>
            </w:pPr>
            <w:r>
              <w:rPr/>
              <w:t> </w:t>
            </w:r>
          </w:p>
        </w:tc>
        <w:tc>
          <w:tcPr>
            <w:tcW w:w="980" w:type="dxa"/>
            <w:tcBorders/>
            <w:shd w:fill="CEE8F6" w:val="clear"/>
            <w:vAlign w:val="center"/>
          </w:tcPr>
          <w:p>
            <w:pPr>
              <w:pStyle w:val="TableContents"/>
              <w:spacing w:lineRule="atLeast" w:line="220" w:before="0" w:after="0"/>
              <w:jc w:val="right"/>
              <w:rPr>
                <w:rFonts w:ascii="ARIAL" w:hAnsi="ARIAL"/>
                <w:sz w:val="14"/>
              </w:rPr>
            </w:pPr>
            <w:r>
              <w:rPr>
                <w:rFonts w:ascii="ARIAL" w:hAnsi="ARIAL"/>
                <w:sz w:val="14"/>
              </w:rPr>
              <w:t>1,982,250</w:t>
            </w:r>
          </w:p>
        </w:tc>
        <w:tc>
          <w:tcPr>
            <w:tcW w:w="60" w:type="dxa"/>
            <w:tcBorders/>
            <w:shd w:fill="CEE8F6" w:val="clear"/>
            <w:vAlign w:val="center"/>
          </w:tcPr>
          <w:p>
            <w:pPr>
              <w:pStyle w:val="TableContents"/>
              <w:spacing w:lineRule="atLeast" w:line="220" w:before="0" w:after="0"/>
              <w:rPr/>
            </w:pPr>
            <w:r>
              <w:rPr/>
              <w:t> </w:t>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lineRule="atLeast" w:line="220" w:before="0" w:after="0"/>
              <w:rPr/>
            </w:pPr>
            <w:r>
              <w:rPr/>
              <w:t> </w:t>
            </w:r>
          </w:p>
        </w:tc>
        <w:tc>
          <w:tcPr>
            <w:tcW w:w="800" w:type="dxa"/>
            <w:tcBorders/>
            <w:shd w:fill="CEE8F6" w:val="clear"/>
            <w:vAlign w:val="center"/>
          </w:tcPr>
          <w:p>
            <w:pPr>
              <w:pStyle w:val="TableContents"/>
              <w:spacing w:lineRule="atLeast" w:line="220" w:before="0" w:after="0"/>
              <w:jc w:val="right"/>
              <w:rPr>
                <w:rFonts w:ascii="ARIAL" w:hAnsi="ARIAL"/>
                <w:sz w:val="14"/>
              </w:rPr>
            </w:pPr>
            <w:r>
              <w:rPr>
                <w:rFonts w:ascii="ARIAL" w:hAnsi="ARIAL"/>
                <w:sz w:val="14"/>
              </w:rPr>
              <w:t>466,500</w:t>
            </w:r>
          </w:p>
        </w:tc>
        <w:tc>
          <w:tcPr>
            <w:tcW w:w="60" w:type="dxa"/>
            <w:tcBorders/>
            <w:shd w:fill="CEE8F6" w:val="clear"/>
            <w:vAlign w:val="center"/>
          </w:tcPr>
          <w:p>
            <w:pPr>
              <w:pStyle w:val="TableContents"/>
              <w:spacing w:lineRule="atLeast" w:line="220" w:before="0" w:after="0"/>
              <w:rPr/>
            </w:pPr>
            <w:r>
              <w:rPr/>
              <w:t> </w:t>
            </w:r>
          </w:p>
        </w:tc>
        <w:tc>
          <w:tcPr>
            <w:tcW w:w="60" w:type="dxa"/>
            <w:tcBorders/>
            <w:shd w:fill="CEE8F6" w:val="clear"/>
            <w:vAlign w:val="center"/>
          </w:tcPr>
          <w:p>
            <w:pPr>
              <w:pStyle w:val="TableContents"/>
              <w:spacing w:before="0" w:after="283"/>
              <w:rPr/>
            </w:pPr>
            <w:r>
              <w:rPr/>
              <w:t> </w:t>
            </w:r>
          </w:p>
        </w:tc>
        <w:tc>
          <w:tcPr>
            <w:tcW w:w="64" w:type="dxa"/>
            <w:tcBorders/>
            <w:shd w:fill="CEE8F6" w:val="clear"/>
            <w:vAlign w:val="center"/>
          </w:tcPr>
          <w:p>
            <w:pPr>
              <w:pStyle w:val="TableContents"/>
              <w:spacing w:lineRule="atLeast" w:line="220" w:before="0" w:after="0"/>
              <w:rPr/>
            </w:pPr>
            <w:r>
              <w:rPr/>
              <w:t> </w:t>
            </w:r>
          </w:p>
        </w:tc>
        <w:tc>
          <w:tcPr>
            <w:tcW w:w="856" w:type="dxa"/>
            <w:tcBorders/>
            <w:shd w:fill="CEE8F6" w:val="clear"/>
            <w:vAlign w:val="center"/>
          </w:tcPr>
          <w:p>
            <w:pPr>
              <w:pStyle w:val="TableContents"/>
              <w:spacing w:lineRule="atLeast" w:line="220" w:before="0" w:after="0"/>
              <w:jc w:val="right"/>
              <w:rPr>
                <w:rFonts w:ascii="ARIAL" w:hAnsi="ARIAL"/>
                <w:sz w:val="14"/>
              </w:rPr>
            </w:pPr>
            <w:r>
              <w:rPr>
                <w:rFonts w:ascii="ARIAL" w:hAnsi="ARIAL"/>
                <w:sz w:val="14"/>
              </w:rPr>
              <w:t>1,225,000</w:t>
            </w:r>
          </w:p>
        </w:tc>
        <w:tc>
          <w:tcPr>
            <w:tcW w:w="60" w:type="dxa"/>
            <w:tcBorders/>
            <w:shd w:fill="CEE8F6" w:val="clear"/>
            <w:vAlign w:val="center"/>
          </w:tcPr>
          <w:p>
            <w:pPr>
              <w:pStyle w:val="TableContents"/>
              <w:spacing w:lineRule="atLeast" w:line="220" w:before="0" w:after="0"/>
              <w:rPr/>
            </w:pPr>
            <w:r>
              <w:rPr/>
              <w:t> </w:t>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lineRule="atLeast" w:line="220" w:before="0" w:after="0"/>
              <w:rPr/>
            </w:pPr>
            <w:r>
              <w:rPr/>
              <w:t> </w:t>
            </w:r>
          </w:p>
        </w:tc>
        <w:tc>
          <w:tcPr>
            <w:tcW w:w="980" w:type="dxa"/>
            <w:tcBorders/>
            <w:shd w:fill="CEE8F6" w:val="clear"/>
            <w:vAlign w:val="center"/>
          </w:tcPr>
          <w:p>
            <w:pPr>
              <w:pStyle w:val="TableContents"/>
              <w:spacing w:lineRule="atLeast" w:line="220" w:before="0" w:after="0"/>
              <w:jc w:val="right"/>
              <w:rPr>
                <w:rFonts w:ascii="ARIAL" w:hAnsi="ARIAL"/>
                <w:sz w:val="14"/>
              </w:rPr>
            </w:pPr>
            <w:r>
              <w:rPr>
                <w:rFonts w:ascii="ARIAL" w:hAnsi="ARIAL"/>
                <w:sz w:val="14"/>
              </w:rPr>
              <w:t>1,062,076</w:t>
            </w:r>
          </w:p>
        </w:tc>
        <w:tc>
          <w:tcPr>
            <w:tcW w:w="60" w:type="dxa"/>
            <w:tcBorders/>
            <w:shd w:fill="CEE8F6" w:val="clear"/>
            <w:vAlign w:val="center"/>
          </w:tcPr>
          <w:p>
            <w:pPr>
              <w:pStyle w:val="TableContents"/>
              <w:spacing w:lineRule="atLeast" w:line="220" w:before="0" w:after="0"/>
              <w:rPr/>
            </w:pPr>
            <w:r>
              <w:rPr/>
              <w:t> </w:t>
            </w:r>
          </w:p>
        </w:tc>
        <w:tc>
          <w:tcPr>
            <w:tcW w:w="60" w:type="dxa"/>
            <w:tcBorders/>
            <w:shd w:fill="CEE8F6" w:val="clear"/>
            <w:vAlign w:val="center"/>
          </w:tcPr>
          <w:p>
            <w:pPr>
              <w:pStyle w:val="TableContents"/>
              <w:spacing w:before="0" w:after="283"/>
              <w:rPr/>
            </w:pPr>
            <w:r>
              <w:rPr/>
              <w:t> </w:t>
            </w:r>
          </w:p>
        </w:tc>
        <w:tc>
          <w:tcPr>
            <w:tcW w:w="64" w:type="dxa"/>
            <w:tcBorders/>
            <w:shd w:fill="CEE8F6" w:val="clear"/>
            <w:vAlign w:val="center"/>
          </w:tcPr>
          <w:p>
            <w:pPr>
              <w:pStyle w:val="TableContents"/>
              <w:spacing w:lineRule="atLeast" w:line="220" w:before="0" w:after="0"/>
              <w:rPr/>
            </w:pPr>
            <w:r>
              <w:rPr/>
              <w:t> </w:t>
            </w:r>
          </w:p>
        </w:tc>
        <w:tc>
          <w:tcPr>
            <w:tcW w:w="856" w:type="dxa"/>
            <w:tcBorders/>
            <w:shd w:fill="CEE8F6" w:val="clear"/>
            <w:vAlign w:val="center"/>
          </w:tcPr>
          <w:p>
            <w:pPr>
              <w:pStyle w:val="TableContents"/>
              <w:spacing w:lineRule="atLeast" w:line="220" w:before="0" w:after="0"/>
              <w:jc w:val="right"/>
              <w:rPr>
                <w:rFonts w:ascii="ARIAL" w:hAnsi="ARIAL"/>
                <w:sz w:val="14"/>
              </w:rPr>
            </w:pPr>
            <w:r>
              <w:rPr>
                <w:rFonts w:ascii="ARIAL" w:hAnsi="ARIAL"/>
                <w:sz w:val="14"/>
              </w:rPr>
              <w:t>16,571</w:t>
            </w:r>
          </w:p>
        </w:tc>
        <w:tc>
          <w:tcPr>
            <w:tcW w:w="60" w:type="dxa"/>
            <w:tcBorders/>
            <w:shd w:fill="CEE8F6" w:val="clear"/>
            <w:vAlign w:val="center"/>
          </w:tcPr>
          <w:p>
            <w:pPr>
              <w:pStyle w:val="TableContents"/>
              <w:spacing w:lineRule="atLeast" w:line="220" w:before="0" w:after="0"/>
              <w:rPr/>
            </w:pPr>
            <w:r>
              <w:rPr/>
              <w:t> </w:t>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lineRule="atLeast" w:line="220" w:before="0" w:after="0"/>
              <w:rPr/>
            </w:pPr>
            <w:r>
              <w:rPr/>
              <w:t> </w:t>
            </w:r>
          </w:p>
        </w:tc>
        <w:tc>
          <w:tcPr>
            <w:tcW w:w="980" w:type="dxa"/>
            <w:tcBorders/>
            <w:shd w:fill="CEE8F6" w:val="clear"/>
            <w:vAlign w:val="center"/>
          </w:tcPr>
          <w:p>
            <w:pPr>
              <w:pStyle w:val="TableContents"/>
              <w:spacing w:lineRule="atLeast" w:line="220" w:before="0" w:after="0"/>
              <w:jc w:val="right"/>
              <w:rPr>
                <w:rFonts w:ascii="ARIAL" w:hAnsi="ARIAL"/>
                <w:sz w:val="14"/>
              </w:rPr>
            </w:pPr>
            <w:r>
              <w:rPr>
                <w:rFonts w:ascii="ARIAL" w:hAnsi="ARIAL"/>
                <w:sz w:val="14"/>
              </w:rPr>
              <w:t>5,902,397</w:t>
            </w:r>
          </w:p>
        </w:tc>
        <w:tc>
          <w:tcPr>
            <w:tcW w:w="75" w:type="dxa"/>
            <w:tcBorders/>
            <w:shd w:fill="CEE8F6" w:val="clear"/>
            <w:vAlign w:val="center"/>
          </w:tcPr>
          <w:p>
            <w:pPr>
              <w:pStyle w:val="TableContents"/>
              <w:spacing w:lineRule="atLeast" w:line="220" w:before="0" w:after="0"/>
              <w:rPr/>
            </w:pPr>
            <w:r>
              <w:rPr/>
              <w:t> </w:t>
            </w:r>
          </w:p>
        </w:tc>
      </w:tr>
      <w:tr>
        <w:trPr/>
        <w:tc>
          <w:tcPr>
            <w:tcW w:w="1115" w:type="dxa"/>
            <w:vMerge w:val="continue"/>
            <w:tcBorders/>
            <w:shd w:fill="CEE8F6" w:val="clear"/>
            <w:vAlign w:val="center"/>
          </w:tcPr>
          <w:p>
            <w:pPr>
              <w:pStyle w:val="Normal"/>
              <w:rPr/>
            </w:pPr>
            <w:r>
              <w:rPr/>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lineRule="atLeast" w:line="220" w:before="0" w:after="0"/>
              <w:rPr/>
            </w:pPr>
            <w:r>
              <w:rPr/>
              <w:t> </w:t>
            </w:r>
          </w:p>
        </w:tc>
        <w:tc>
          <w:tcPr>
            <w:tcW w:w="500" w:type="dxa"/>
            <w:tcBorders/>
            <w:shd w:fill="CEE8F6" w:val="clear"/>
            <w:vAlign w:val="center"/>
          </w:tcPr>
          <w:p>
            <w:pPr>
              <w:pStyle w:val="TableContents"/>
              <w:spacing w:lineRule="atLeast" w:line="220" w:before="0" w:after="0"/>
              <w:jc w:val="right"/>
              <w:rPr>
                <w:rFonts w:ascii="ARIAL" w:hAnsi="ARIAL"/>
                <w:sz w:val="14"/>
              </w:rPr>
            </w:pPr>
            <w:r>
              <w:rPr>
                <w:rFonts w:ascii="ARIAL" w:hAnsi="ARIAL"/>
                <w:sz w:val="14"/>
              </w:rPr>
              <w:t>2020</w:t>
            </w:r>
          </w:p>
        </w:tc>
        <w:tc>
          <w:tcPr>
            <w:tcW w:w="60" w:type="dxa"/>
            <w:tcBorders/>
            <w:shd w:fill="CEE8F6" w:val="clear"/>
            <w:vAlign w:val="center"/>
          </w:tcPr>
          <w:p>
            <w:pPr>
              <w:pStyle w:val="TableContents"/>
              <w:spacing w:lineRule="atLeast" w:line="220" w:before="0" w:after="0"/>
              <w:rPr/>
            </w:pPr>
            <w:r>
              <w:rPr/>
              <w:t> </w:t>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lineRule="atLeast" w:line="220" w:before="0" w:after="0"/>
              <w:rPr/>
            </w:pPr>
            <w:r>
              <w:rPr/>
              <w:t> </w:t>
            </w:r>
          </w:p>
        </w:tc>
        <w:tc>
          <w:tcPr>
            <w:tcW w:w="980" w:type="dxa"/>
            <w:tcBorders/>
            <w:shd w:fill="CEE8F6" w:val="clear"/>
            <w:vAlign w:val="center"/>
          </w:tcPr>
          <w:p>
            <w:pPr>
              <w:pStyle w:val="TableContents"/>
              <w:spacing w:lineRule="atLeast" w:line="220" w:before="0" w:after="0"/>
              <w:jc w:val="right"/>
              <w:rPr>
                <w:rFonts w:ascii="ARIAL" w:hAnsi="ARIAL"/>
                <w:sz w:val="14"/>
              </w:rPr>
            </w:pPr>
            <w:r>
              <w:rPr>
                <w:rFonts w:ascii="ARIAL" w:hAnsi="ARIAL"/>
                <w:sz w:val="14"/>
              </w:rPr>
              <w:t>531,875</w:t>
            </w:r>
          </w:p>
        </w:tc>
        <w:tc>
          <w:tcPr>
            <w:tcW w:w="60" w:type="dxa"/>
            <w:tcBorders/>
            <w:shd w:fill="CEE8F6" w:val="clear"/>
            <w:vAlign w:val="center"/>
          </w:tcPr>
          <w:p>
            <w:pPr>
              <w:pStyle w:val="TableContents"/>
              <w:spacing w:lineRule="atLeast" w:line="220" w:before="0" w:after="0"/>
              <w:rPr/>
            </w:pPr>
            <w:r>
              <w:rPr/>
              <w:t> </w:t>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lineRule="atLeast" w:line="220" w:before="0" w:after="0"/>
              <w:rPr/>
            </w:pPr>
            <w:r>
              <w:rPr/>
              <w:t> </w:t>
            </w:r>
          </w:p>
        </w:tc>
        <w:tc>
          <w:tcPr>
            <w:tcW w:w="515" w:type="dxa"/>
            <w:tcBorders/>
            <w:shd w:fill="CEE8F6" w:val="clear"/>
            <w:vAlign w:val="center"/>
          </w:tcPr>
          <w:p>
            <w:pPr>
              <w:pStyle w:val="TableContents"/>
              <w:spacing w:lineRule="atLeast" w:line="220" w:before="0" w:after="0"/>
              <w:jc w:val="right"/>
              <w:rPr>
                <w:rFonts w:ascii="ARIAL" w:hAnsi="ARIAL"/>
                <w:sz w:val="14"/>
              </w:rPr>
            </w:pPr>
            <w:r>
              <w:rPr>
                <w:rFonts w:ascii="ARIAL" w:hAnsi="ARIAL"/>
                <w:sz w:val="14"/>
              </w:rPr>
              <w:t>-</w:t>
            </w:r>
          </w:p>
        </w:tc>
        <w:tc>
          <w:tcPr>
            <w:tcW w:w="60" w:type="dxa"/>
            <w:tcBorders/>
            <w:shd w:fill="CEE8F6" w:val="clear"/>
            <w:vAlign w:val="center"/>
          </w:tcPr>
          <w:p>
            <w:pPr>
              <w:pStyle w:val="TableContents"/>
              <w:spacing w:lineRule="atLeast" w:line="220" w:before="0" w:after="0"/>
              <w:rPr/>
            </w:pPr>
            <w:r>
              <w:rPr/>
              <w:t> </w:t>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lineRule="atLeast" w:line="220" w:before="0" w:after="0"/>
              <w:rPr/>
            </w:pPr>
            <w:r>
              <w:rPr/>
              <w:t> </w:t>
            </w:r>
          </w:p>
        </w:tc>
        <w:tc>
          <w:tcPr>
            <w:tcW w:w="980" w:type="dxa"/>
            <w:tcBorders/>
            <w:shd w:fill="CEE8F6" w:val="clear"/>
            <w:vAlign w:val="center"/>
          </w:tcPr>
          <w:p>
            <w:pPr>
              <w:pStyle w:val="TableContents"/>
              <w:spacing w:lineRule="atLeast" w:line="220" w:before="0" w:after="0"/>
              <w:jc w:val="right"/>
              <w:rPr>
                <w:rFonts w:ascii="ARIAL" w:hAnsi="ARIAL"/>
                <w:sz w:val="14"/>
              </w:rPr>
            </w:pPr>
            <w:r>
              <w:rPr>
                <w:rFonts w:ascii="ARIAL" w:hAnsi="ARIAL"/>
                <w:sz w:val="14"/>
              </w:rPr>
              <w:t>702,525</w:t>
            </w:r>
          </w:p>
        </w:tc>
        <w:tc>
          <w:tcPr>
            <w:tcW w:w="60" w:type="dxa"/>
            <w:tcBorders/>
            <w:shd w:fill="CEE8F6" w:val="clear"/>
            <w:vAlign w:val="center"/>
          </w:tcPr>
          <w:p>
            <w:pPr>
              <w:pStyle w:val="TableContents"/>
              <w:spacing w:lineRule="atLeast" w:line="220" w:before="0" w:after="0"/>
              <w:rPr/>
            </w:pPr>
            <w:r>
              <w:rPr/>
              <w:t> </w:t>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lineRule="atLeast" w:line="220" w:before="0" w:after="0"/>
              <w:rPr/>
            </w:pPr>
            <w:r>
              <w:rPr/>
              <w:t> </w:t>
            </w:r>
          </w:p>
        </w:tc>
        <w:tc>
          <w:tcPr>
            <w:tcW w:w="800" w:type="dxa"/>
            <w:tcBorders/>
            <w:shd w:fill="CEE8F6" w:val="clear"/>
            <w:vAlign w:val="center"/>
          </w:tcPr>
          <w:p>
            <w:pPr>
              <w:pStyle w:val="TableContents"/>
              <w:spacing w:lineRule="atLeast" w:line="220" w:before="0" w:after="0"/>
              <w:jc w:val="right"/>
              <w:rPr>
                <w:rFonts w:ascii="ARIAL" w:hAnsi="ARIAL"/>
                <w:sz w:val="14"/>
              </w:rPr>
            </w:pPr>
            <w:r>
              <w:rPr>
                <w:rFonts w:ascii="ARIAL" w:hAnsi="ARIAL"/>
                <w:sz w:val="14"/>
              </w:rPr>
              <w:t>150,575</w:t>
            </w:r>
          </w:p>
        </w:tc>
        <w:tc>
          <w:tcPr>
            <w:tcW w:w="60" w:type="dxa"/>
            <w:tcBorders/>
            <w:shd w:fill="CEE8F6" w:val="clear"/>
            <w:vAlign w:val="center"/>
          </w:tcPr>
          <w:p>
            <w:pPr>
              <w:pStyle w:val="TableContents"/>
              <w:spacing w:lineRule="atLeast" w:line="220" w:before="0" w:after="0"/>
              <w:rPr/>
            </w:pPr>
            <w:r>
              <w:rPr/>
              <w:t> </w:t>
            </w:r>
          </w:p>
        </w:tc>
        <w:tc>
          <w:tcPr>
            <w:tcW w:w="60" w:type="dxa"/>
            <w:tcBorders/>
            <w:shd w:fill="CEE8F6" w:val="clear"/>
            <w:vAlign w:val="center"/>
          </w:tcPr>
          <w:p>
            <w:pPr>
              <w:pStyle w:val="TableContents"/>
              <w:spacing w:before="0" w:after="283"/>
              <w:rPr/>
            </w:pPr>
            <w:r>
              <w:rPr/>
              <w:t> </w:t>
            </w:r>
          </w:p>
        </w:tc>
        <w:tc>
          <w:tcPr>
            <w:tcW w:w="64" w:type="dxa"/>
            <w:tcBorders/>
            <w:shd w:fill="CEE8F6" w:val="clear"/>
            <w:vAlign w:val="center"/>
          </w:tcPr>
          <w:p>
            <w:pPr>
              <w:pStyle w:val="TableContents"/>
              <w:spacing w:lineRule="atLeast" w:line="220" w:before="0" w:after="0"/>
              <w:rPr/>
            </w:pPr>
            <w:r>
              <w:rPr/>
              <w:t> </w:t>
            </w:r>
          </w:p>
        </w:tc>
        <w:tc>
          <w:tcPr>
            <w:tcW w:w="856" w:type="dxa"/>
            <w:tcBorders/>
            <w:shd w:fill="CEE8F6" w:val="clear"/>
            <w:vAlign w:val="center"/>
          </w:tcPr>
          <w:p>
            <w:pPr>
              <w:pStyle w:val="TableContents"/>
              <w:spacing w:lineRule="atLeast" w:line="220" w:before="0" w:after="0"/>
              <w:jc w:val="right"/>
              <w:rPr>
                <w:rFonts w:ascii="ARIAL" w:hAnsi="ARIAL"/>
                <w:sz w:val="14"/>
              </w:rPr>
            </w:pPr>
            <w:r>
              <w:rPr>
                <w:rFonts w:ascii="ARIAL" w:hAnsi="ARIAL"/>
                <w:sz w:val="14"/>
              </w:rPr>
              <w:t>993,600</w:t>
            </w:r>
          </w:p>
        </w:tc>
        <w:tc>
          <w:tcPr>
            <w:tcW w:w="60" w:type="dxa"/>
            <w:tcBorders/>
            <w:shd w:fill="CEE8F6" w:val="clear"/>
            <w:vAlign w:val="center"/>
          </w:tcPr>
          <w:p>
            <w:pPr>
              <w:pStyle w:val="TableContents"/>
              <w:spacing w:lineRule="atLeast" w:line="220" w:before="0" w:after="0"/>
              <w:rPr/>
            </w:pPr>
            <w:r>
              <w:rPr/>
              <w:t> </w:t>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lineRule="atLeast" w:line="220" w:before="0" w:after="0"/>
              <w:rPr/>
            </w:pPr>
            <w:r>
              <w:rPr/>
              <w:t> </w:t>
            </w:r>
          </w:p>
        </w:tc>
        <w:tc>
          <w:tcPr>
            <w:tcW w:w="980" w:type="dxa"/>
            <w:tcBorders/>
            <w:shd w:fill="CEE8F6" w:val="clear"/>
            <w:vAlign w:val="center"/>
          </w:tcPr>
          <w:p>
            <w:pPr>
              <w:pStyle w:val="TableContents"/>
              <w:spacing w:lineRule="atLeast" w:line="220" w:before="0" w:after="0"/>
              <w:jc w:val="right"/>
              <w:rPr>
                <w:rFonts w:ascii="ARIAL" w:hAnsi="ARIAL"/>
                <w:sz w:val="14"/>
              </w:rPr>
            </w:pPr>
            <w:r>
              <w:rPr>
                <w:rFonts w:ascii="ARIAL" w:hAnsi="ARIAL"/>
                <w:sz w:val="14"/>
              </w:rPr>
              <w:t>730,129</w:t>
            </w:r>
          </w:p>
        </w:tc>
        <w:tc>
          <w:tcPr>
            <w:tcW w:w="60" w:type="dxa"/>
            <w:tcBorders/>
            <w:shd w:fill="CEE8F6" w:val="clear"/>
            <w:vAlign w:val="center"/>
          </w:tcPr>
          <w:p>
            <w:pPr>
              <w:pStyle w:val="TableContents"/>
              <w:spacing w:lineRule="atLeast" w:line="220" w:before="0" w:after="0"/>
              <w:rPr/>
            </w:pPr>
            <w:r>
              <w:rPr/>
              <w:t> </w:t>
            </w:r>
          </w:p>
        </w:tc>
        <w:tc>
          <w:tcPr>
            <w:tcW w:w="60" w:type="dxa"/>
            <w:tcBorders/>
            <w:shd w:fill="CEE8F6" w:val="clear"/>
            <w:vAlign w:val="center"/>
          </w:tcPr>
          <w:p>
            <w:pPr>
              <w:pStyle w:val="TableContents"/>
              <w:spacing w:before="0" w:after="283"/>
              <w:rPr/>
            </w:pPr>
            <w:r>
              <w:rPr/>
              <w:t> </w:t>
            </w:r>
          </w:p>
        </w:tc>
        <w:tc>
          <w:tcPr>
            <w:tcW w:w="64" w:type="dxa"/>
            <w:tcBorders/>
            <w:shd w:fill="CEE8F6" w:val="clear"/>
            <w:vAlign w:val="center"/>
          </w:tcPr>
          <w:p>
            <w:pPr>
              <w:pStyle w:val="TableContents"/>
              <w:spacing w:lineRule="atLeast" w:line="220" w:before="0" w:after="0"/>
              <w:rPr/>
            </w:pPr>
            <w:r>
              <w:rPr/>
              <w:t> </w:t>
            </w:r>
          </w:p>
        </w:tc>
        <w:tc>
          <w:tcPr>
            <w:tcW w:w="856" w:type="dxa"/>
            <w:tcBorders/>
            <w:shd w:fill="CEE8F6" w:val="clear"/>
            <w:vAlign w:val="center"/>
          </w:tcPr>
          <w:p>
            <w:pPr>
              <w:pStyle w:val="TableContents"/>
              <w:spacing w:lineRule="atLeast" w:line="220" w:before="0" w:after="0"/>
              <w:jc w:val="right"/>
              <w:rPr>
                <w:rFonts w:ascii="ARIAL" w:hAnsi="ARIAL"/>
                <w:sz w:val="14"/>
              </w:rPr>
            </w:pPr>
            <w:r>
              <w:rPr>
                <w:rFonts w:ascii="ARIAL" w:hAnsi="ARIAL"/>
                <w:sz w:val="14"/>
              </w:rPr>
              <w:t>14,600</w:t>
            </w:r>
          </w:p>
        </w:tc>
        <w:tc>
          <w:tcPr>
            <w:tcW w:w="60" w:type="dxa"/>
            <w:tcBorders/>
            <w:shd w:fill="CEE8F6" w:val="clear"/>
            <w:vAlign w:val="center"/>
          </w:tcPr>
          <w:p>
            <w:pPr>
              <w:pStyle w:val="TableContents"/>
              <w:spacing w:lineRule="atLeast" w:line="220" w:before="0" w:after="0"/>
              <w:rPr/>
            </w:pPr>
            <w:r>
              <w:rPr/>
              <w:t> </w:t>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lineRule="atLeast" w:line="220" w:before="0" w:after="0"/>
              <w:rPr/>
            </w:pPr>
            <w:r>
              <w:rPr/>
              <w:t> </w:t>
            </w:r>
          </w:p>
        </w:tc>
        <w:tc>
          <w:tcPr>
            <w:tcW w:w="980" w:type="dxa"/>
            <w:tcBorders/>
            <w:shd w:fill="CEE8F6" w:val="clear"/>
            <w:vAlign w:val="center"/>
          </w:tcPr>
          <w:p>
            <w:pPr>
              <w:pStyle w:val="TableContents"/>
              <w:spacing w:lineRule="atLeast" w:line="220" w:before="0" w:after="0"/>
              <w:jc w:val="right"/>
              <w:rPr>
                <w:rFonts w:ascii="ARIAL" w:hAnsi="ARIAL"/>
                <w:sz w:val="14"/>
              </w:rPr>
            </w:pPr>
            <w:r>
              <w:rPr>
                <w:rFonts w:ascii="ARIAL" w:hAnsi="ARIAL"/>
                <w:sz w:val="14"/>
              </w:rPr>
              <w:t>3,123,304</w:t>
            </w:r>
          </w:p>
        </w:tc>
        <w:tc>
          <w:tcPr>
            <w:tcW w:w="75" w:type="dxa"/>
            <w:tcBorders/>
            <w:shd w:fill="CEE8F6" w:val="clear"/>
            <w:vAlign w:val="center"/>
          </w:tcPr>
          <w:p>
            <w:pPr>
              <w:pStyle w:val="TableContents"/>
              <w:spacing w:lineRule="atLeast" w:line="220" w:before="0" w:after="0"/>
              <w:rPr/>
            </w:pPr>
            <w:r>
              <w:rPr/>
              <w:t> </w:t>
            </w:r>
          </w:p>
        </w:tc>
      </w:tr>
      <w:tr>
        <w:trPr/>
        <w:tc>
          <w:tcPr>
            <w:tcW w:w="11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115" w:type="dxa"/>
            <w:tcBorders/>
            <w:shd w:fill="auto" w:val="clear"/>
            <w:vAlign w:val="center"/>
          </w:tcPr>
          <w:p>
            <w:pPr>
              <w:pStyle w:val="TableContents"/>
              <w:spacing w:lineRule="atLeast" w:line="220" w:before="0" w:after="0"/>
              <w:rPr>
                <w:rFonts w:ascii="ARIAL" w:hAnsi="ARIAL"/>
                <w:sz w:val="14"/>
              </w:rPr>
            </w:pPr>
            <w:r>
              <w:rPr>
                <w:rFonts w:ascii="ARIAL" w:hAnsi="ARIAL"/>
                <w:sz w:val="14"/>
              </w:rPr>
              <w:t>Lynn T. Simon, M.D.</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lineRule="atLeast" w:line="220" w:before="0" w:after="0"/>
              <w:rPr/>
            </w:pPr>
            <w:r>
              <w:rPr/>
              <w:t> </w:t>
            </w:r>
          </w:p>
        </w:tc>
        <w:tc>
          <w:tcPr>
            <w:tcW w:w="500" w:type="dxa"/>
            <w:tcBorders/>
            <w:shd w:fill="auto" w:val="clear"/>
            <w:vAlign w:val="center"/>
          </w:tcPr>
          <w:p>
            <w:pPr>
              <w:pStyle w:val="TableContents"/>
              <w:spacing w:lineRule="atLeast" w:line="220" w:before="0" w:after="0"/>
              <w:jc w:val="right"/>
              <w:rPr>
                <w:rFonts w:ascii="ARIAL" w:hAnsi="ARIAL"/>
                <w:sz w:val="14"/>
              </w:rPr>
            </w:pPr>
            <w:r>
              <w:rPr>
                <w:rFonts w:ascii="ARIAL" w:hAnsi="ARIAL"/>
                <w:sz w:val="14"/>
              </w:rPr>
              <w:t>2022</w:t>
            </w:r>
          </w:p>
        </w:tc>
        <w:tc>
          <w:tcPr>
            <w:tcW w:w="60" w:type="dxa"/>
            <w:tcBorders/>
            <w:shd w:fill="auto" w:val="clear"/>
            <w:vAlign w:val="center"/>
          </w:tcPr>
          <w:p>
            <w:pPr>
              <w:pStyle w:val="TableContents"/>
              <w:spacing w:lineRule="atLeast" w:line="220"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lineRule="atLeast" w:line="220" w:before="0" w:after="0"/>
              <w:rPr/>
            </w:pPr>
            <w:r>
              <w:rPr/>
              <w:t> </w:t>
            </w:r>
          </w:p>
        </w:tc>
        <w:tc>
          <w:tcPr>
            <w:tcW w:w="980" w:type="dxa"/>
            <w:tcBorders/>
            <w:shd w:fill="auto" w:val="clear"/>
            <w:vAlign w:val="center"/>
          </w:tcPr>
          <w:p>
            <w:pPr>
              <w:pStyle w:val="TableContents"/>
              <w:spacing w:lineRule="atLeast" w:line="220" w:before="0" w:after="0"/>
              <w:jc w:val="right"/>
              <w:rPr>
                <w:rFonts w:ascii="ARIAL" w:hAnsi="ARIAL"/>
                <w:sz w:val="14"/>
              </w:rPr>
            </w:pPr>
            <w:r>
              <w:rPr>
                <w:rFonts w:ascii="ARIAL" w:hAnsi="ARIAL"/>
                <w:sz w:val="14"/>
              </w:rPr>
              <w:t>643,775</w:t>
            </w:r>
          </w:p>
        </w:tc>
        <w:tc>
          <w:tcPr>
            <w:tcW w:w="60" w:type="dxa"/>
            <w:tcBorders/>
            <w:shd w:fill="auto" w:val="clear"/>
            <w:vAlign w:val="center"/>
          </w:tcPr>
          <w:p>
            <w:pPr>
              <w:pStyle w:val="TableContents"/>
              <w:spacing w:lineRule="atLeast" w:line="220"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lineRule="atLeast" w:line="220" w:before="0" w:after="0"/>
              <w:rPr/>
            </w:pPr>
            <w:r>
              <w:rPr/>
              <w:t> </w:t>
            </w:r>
          </w:p>
        </w:tc>
        <w:tc>
          <w:tcPr>
            <w:tcW w:w="515" w:type="dxa"/>
            <w:tcBorders/>
            <w:shd w:fill="auto" w:val="clear"/>
            <w:vAlign w:val="center"/>
          </w:tcPr>
          <w:p>
            <w:pPr>
              <w:pStyle w:val="TableContents"/>
              <w:spacing w:lineRule="atLeast" w:line="220" w:before="0" w:after="0"/>
              <w:jc w:val="right"/>
              <w:rPr>
                <w:rFonts w:ascii="ARIAL" w:hAnsi="ARIAL"/>
                <w:sz w:val="14"/>
              </w:rPr>
            </w:pPr>
            <w:r>
              <w:rPr>
                <w:rFonts w:ascii="ARIAL" w:hAnsi="ARIAL"/>
                <w:sz w:val="14"/>
              </w:rPr>
              <w:t>-</w:t>
            </w:r>
          </w:p>
        </w:tc>
        <w:tc>
          <w:tcPr>
            <w:tcW w:w="60" w:type="dxa"/>
            <w:tcBorders/>
            <w:shd w:fill="auto" w:val="clear"/>
            <w:vAlign w:val="center"/>
          </w:tcPr>
          <w:p>
            <w:pPr>
              <w:pStyle w:val="TableContents"/>
              <w:spacing w:lineRule="atLeast" w:line="220"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lineRule="atLeast" w:line="220" w:before="0" w:after="0"/>
              <w:rPr/>
            </w:pPr>
            <w:r>
              <w:rPr/>
              <w:t> </w:t>
            </w:r>
          </w:p>
        </w:tc>
        <w:tc>
          <w:tcPr>
            <w:tcW w:w="980" w:type="dxa"/>
            <w:tcBorders/>
            <w:shd w:fill="auto" w:val="clear"/>
            <w:vAlign w:val="center"/>
          </w:tcPr>
          <w:p>
            <w:pPr>
              <w:pStyle w:val="TableContents"/>
              <w:spacing w:lineRule="atLeast" w:line="220" w:before="0" w:after="0"/>
              <w:jc w:val="right"/>
              <w:rPr>
                <w:rFonts w:ascii="ARIAL" w:hAnsi="ARIAL"/>
                <w:sz w:val="14"/>
              </w:rPr>
            </w:pPr>
            <w:r>
              <w:rPr>
                <w:rFonts w:ascii="ARIAL" w:hAnsi="ARIAL"/>
                <w:sz w:val="14"/>
              </w:rPr>
              <w:t>1,221,600</w:t>
            </w:r>
          </w:p>
        </w:tc>
        <w:tc>
          <w:tcPr>
            <w:tcW w:w="60" w:type="dxa"/>
            <w:tcBorders/>
            <w:shd w:fill="auto" w:val="clear"/>
            <w:vAlign w:val="center"/>
          </w:tcPr>
          <w:p>
            <w:pPr>
              <w:pStyle w:val="TableContents"/>
              <w:spacing w:lineRule="atLeast" w:line="220"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lineRule="atLeast" w:line="220" w:before="0" w:after="0"/>
              <w:rPr/>
            </w:pPr>
            <w:r>
              <w:rPr/>
              <w:t> </w:t>
            </w:r>
          </w:p>
        </w:tc>
        <w:tc>
          <w:tcPr>
            <w:tcW w:w="800" w:type="dxa"/>
            <w:tcBorders/>
            <w:shd w:fill="auto" w:val="clear"/>
            <w:vAlign w:val="center"/>
          </w:tcPr>
          <w:p>
            <w:pPr>
              <w:pStyle w:val="TableContents"/>
              <w:spacing w:lineRule="atLeast" w:line="220" w:before="0" w:after="0"/>
              <w:jc w:val="right"/>
              <w:rPr>
                <w:rFonts w:ascii="ARIAL" w:hAnsi="ARIAL"/>
                <w:sz w:val="14"/>
              </w:rPr>
            </w:pPr>
            <w:r>
              <w:rPr>
                <w:rFonts w:ascii="ARIAL" w:hAnsi="ARIAL"/>
                <w:sz w:val="14"/>
              </w:rPr>
              <w:t>290,000</w:t>
            </w:r>
          </w:p>
        </w:tc>
        <w:tc>
          <w:tcPr>
            <w:tcW w:w="60" w:type="dxa"/>
            <w:tcBorders/>
            <w:shd w:fill="auto" w:val="clear"/>
            <w:vAlign w:val="center"/>
          </w:tcPr>
          <w:p>
            <w:pPr>
              <w:pStyle w:val="TableContents"/>
              <w:spacing w:lineRule="atLeast" w:line="220" w:before="0" w:after="0"/>
              <w:rPr/>
            </w:pPr>
            <w:r>
              <w:rPr/>
              <w:t> </w:t>
            </w:r>
          </w:p>
        </w:tc>
        <w:tc>
          <w:tcPr>
            <w:tcW w:w="6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lineRule="atLeast" w:line="220" w:before="0" w:after="0"/>
              <w:rPr/>
            </w:pPr>
            <w:r>
              <w:rPr/>
              <w:t> </w:t>
            </w:r>
          </w:p>
        </w:tc>
        <w:tc>
          <w:tcPr>
            <w:tcW w:w="856" w:type="dxa"/>
            <w:tcBorders/>
            <w:shd w:fill="auto" w:val="clear"/>
            <w:vAlign w:val="center"/>
          </w:tcPr>
          <w:p>
            <w:pPr>
              <w:pStyle w:val="TableContents"/>
              <w:spacing w:lineRule="atLeast" w:line="220" w:before="0" w:after="0"/>
              <w:jc w:val="right"/>
              <w:rPr>
                <w:rFonts w:ascii="ARIAL" w:hAnsi="ARIAL"/>
                <w:sz w:val="14"/>
              </w:rPr>
            </w:pPr>
            <w:r>
              <w:rPr>
                <w:rFonts w:ascii="ARIAL" w:hAnsi="ARIAL"/>
                <w:sz w:val="14"/>
              </w:rPr>
              <w:t>209,227</w:t>
            </w:r>
          </w:p>
        </w:tc>
        <w:tc>
          <w:tcPr>
            <w:tcW w:w="60" w:type="dxa"/>
            <w:tcBorders/>
            <w:shd w:fill="auto" w:val="clear"/>
            <w:vAlign w:val="center"/>
          </w:tcPr>
          <w:p>
            <w:pPr>
              <w:pStyle w:val="TableContents"/>
              <w:spacing w:lineRule="atLeast" w:line="220"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lineRule="atLeast" w:line="220" w:before="0" w:after="0"/>
              <w:rPr/>
            </w:pPr>
            <w:r>
              <w:rPr/>
              <w:t> </w:t>
            </w:r>
          </w:p>
        </w:tc>
        <w:tc>
          <w:tcPr>
            <w:tcW w:w="980" w:type="dxa"/>
            <w:tcBorders/>
            <w:shd w:fill="auto" w:val="clear"/>
            <w:vAlign w:val="center"/>
          </w:tcPr>
          <w:p>
            <w:pPr>
              <w:pStyle w:val="TableContents"/>
              <w:spacing w:lineRule="atLeast" w:line="220" w:before="0" w:after="0"/>
              <w:jc w:val="right"/>
              <w:rPr>
                <w:rFonts w:ascii="ARIAL" w:hAnsi="ARIAL"/>
                <w:sz w:val="14"/>
              </w:rPr>
            </w:pPr>
            <w:r>
              <w:rPr>
                <w:rFonts w:ascii="ARIAL" w:hAnsi="ARIAL"/>
                <w:sz w:val="14"/>
              </w:rPr>
              <w:t>264,170</w:t>
            </w:r>
          </w:p>
        </w:tc>
        <w:tc>
          <w:tcPr>
            <w:tcW w:w="60" w:type="dxa"/>
            <w:tcBorders/>
            <w:shd w:fill="auto" w:val="clear"/>
            <w:vAlign w:val="center"/>
          </w:tcPr>
          <w:p>
            <w:pPr>
              <w:pStyle w:val="TableContents"/>
              <w:spacing w:lineRule="atLeast" w:line="220" w:before="0" w:after="0"/>
              <w:rPr/>
            </w:pPr>
            <w:r>
              <w:rPr/>
              <w:t> </w:t>
            </w:r>
          </w:p>
        </w:tc>
        <w:tc>
          <w:tcPr>
            <w:tcW w:w="6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lineRule="atLeast" w:line="220" w:before="0" w:after="0"/>
              <w:rPr/>
            </w:pPr>
            <w:r>
              <w:rPr/>
              <w:t> </w:t>
            </w:r>
          </w:p>
        </w:tc>
        <w:tc>
          <w:tcPr>
            <w:tcW w:w="856" w:type="dxa"/>
            <w:tcBorders/>
            <w:shd w:fill="auto" w:val="clear"/>
            <w:vAlign w:val="center"/>
          </w:tcPr>
          <w:p>
            <w:pPr>
              <w:pStyle w:val="TableContents"/>
              <w:spacing w:lineRule="atLeast" w:line="220" w:before="0" w:after="0"/>
              <w:jc w:val="right"/>
              <w:rPr>
                <w:rFonts w:ascii="ARIAL" w:hAnsi="ARIAL"/>
                <w:sz w:val="14"/>
              </w:rPr>
            </w:pPr>
            <w:r>
              <w:rPr>
                <w:rFonts w:ascii="ARIAL" w:hAnsi="ARIAL"/>
                <w:sz w:val="14"/>
              </w:rPr>
              <w:t>22,616</w:t>
            </w:r>
          </w:p>
        </w:tc>
        <w:tc>
          <w:tcPr>
            <w:tcW w:w="60" w:type="dxa"/>
            <w:tcBorders/>
            <w:shd w:fill="auto" w:val="clear"/>
            <w:vAlign w:val="center"/>
          </w:tcPr>
          <w:p>
            <w:pPr>
              <w:pStyle w:val="TableContents"/>
              <w:spacing w:lineRule="atLeast" w:line="220"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lineRule="atLeast" w:line="220" w:before="0" w:after="0"/>
              <w:rPr/>
            </w:pPr>
            <w:r>
              <w:rPr/>
              <w:t> </w:t>
            </w:r>
          </w:p>
        </w:tc>
        <w:tc>
          <w:tcPr>
            <w:tcW w:w="980" w:type="dxa"/>
            <w:tcBorders/>
            <w:shd w:fill="auto" w:val="clear"/>
            <w:vAlign w:val="center"/>
          </w:tcPr>
          <w:p>
            <w:pPr>
              <w:pStyle w:val="TableContents"/>
              <w:spacing w:lineRule="atLeast" w:line="220" w:before="0" w:after="0"/>
              <w:jc w:val="right"/>
              <w:rPr>
                <w:rFonts w:ascii="ARIAL" w:hAnsi="ARIAL"/>
                <w:sz w:val="14"/>
              </w:rPr>
            </w:pPr>
            <w:r>
              <w:rPr>
                <w:rFonts w:ascii="ARIAL" w:hAnsi="ARIAL"/>
                <w:sz w:val="14"/>
              </w:rPr>
              <w:t>2,651,388</w:t>
            </w:r>
          </w:p>
        </w:tc>
        <w:tc>
          <w:tcPr>
            <w:tcW w:w="75" w:type="dxa"/>
            <w:tcBorders/>
            <w:shd w:fill="auto" w:val="clear"/>
            <w:vAlign w:val="center"/>
          </w:tcPr>
          <w:p>
            <w:pPr>
              <w:pStyle w:val="TableContents"/>
              <w:spacing w:lineRule="atLeast" w:line="220" w:before="0" w:after="0"/>
              <w:rPr/>
            </w:pPr>
            <w:r>
              <w:rPr/>
              <w:t> </w:t>
            </w:r>
          </w:p>
        </w:tc>
      </w:tr>
      <w:tr>
        <w:trPr/>
        <w:tc>
          <w:tcPr>
            <w:tcW w:w="1115" w:type="dxa"/>
            <w:tcBorders/>
            <w:shd w:fill="auto" w:val="clear"/>
            <w:vAlign w:val="center"/>
          </w:tcPr>
          <w:p>
            <w:pPr>
              <w:pStyle w:val="TableContents"/>
              <w:spacing w:before="0" w:after="0"/>
              <w:rPr>
                <w:rFonts w:ascii="ARIAL" w:hAnsi="ARIAL"/>
                <w:sz w:val="14"/>
              </w:rPr>
            </w:pPr>
            <w:r>
              <w:rPr>
                <w:rFonts w:ascii="ARIAL" w:hAnsi="ARIAL"/>
                <w:sz w:val="14"/>
              </w:rPr>
              <w:t>President of Clinical Operations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lineRule="atLeast" w:line="220" w:before="0" w:after="0"/>
              <w:rPr/>
            </w:pPr>
            <w:r>
              <w:rPr/>
              <w:t> </w:t>
            </w:r>
          </w:p>
        </w:tc>
        <w:tc>
          <w:tcPr>
            <w:tcW w:w="500" w:type="dxa"/>
            <w:tcBorders/>
            <w:shd w:fill="auto" w:val="clear"/>
            <w:vAlign w:val="center"/>
          </w:tcPr>
          <w:p>
            <w:pPr>
              <w:pStyle w:val="TableContents"/>
              <w:spacing w:lineRule="atLeast" w:line="220" w:before="0" w:after="0"/>
              <w:jc w:val="right"/>
              <w:rPr>
                <w:rFonts w:ascii="ARIAL" w:hAnsi="ARIAL"/>
                <w:sz w:val="14"/>
              </w:rPr>
            </w:pPr>
            <w:r>
              <w:rPr>
                <w:rFonts w:ascii="ARIAL" w:hAnsi="ARIAL"/>
                <w:sz w:val="14"/>
              </w:rPr>
              <w:t>2021</w:t>
            </w:r>
          </w:p>
        </w:tc>
        <w:tc>
          <w:tcPr>
            <w:tcW w:w="60" w:type="dxa"/>
            <w:tcBorders/>
            <w:shd w:fill="auto" w:val="clear"/>
            <w:vAlign w:val="center"/>
          </w:tcPr>
          <w:p>
            <w:pPr>
              <w:pStyle w:val="TableContents"/>
              <w:spacing w:lineRule="atLeast" w:line="220"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lineRule="atLeast" w:line="220" w:before="0" w:after="0"/>
              <w:rPr/>
            </w:pPr>
            <w:r>
              <w:rPr/>
              <w:t> </w:t>
            </w:r>
          </w:p>
        </w:tc>
        <w:tc>
          <w:tcPr>
            <w:tcW w:w="980" w:type="dxa"/>
            <w:tcBorders/>
            <w:shd w:fill="auto" w:val="clear"/>
            <w:vAlign w:val="center"/>
          </w:tcPr>
          <w:p>
            <w:pPr>
              <w:pStyle w:val="TableContents"/>
              <w:spacing w:lineRule="atLeast" w:line="220" w:before="0" w:after="0"/>
              <w:jc w:val="right"/>
              <w:rPr>
                <w:rFonts w:ascii="ARIAL" w:hAnsi="ARIAL"/>
                <w:sz w:val="14"/>
              </w:rPr>
            </w:pPr>
            <w:r>
              <w:rPr>
                <w:rFonts w:ascii="ARIAL" w:hAnsi="ARIAL"/>
                <w:sz w:val="14"/>
              </w:rPr>
              <w:t>625,000</w:t>
            </w:r>
          </w:p>
        </w:tc>
        <w:tc>
          <w:tcPr>
            <w:tcW w:w="60" w:type="dxa"/>
            <w:tcBorders/>
            <w:shd w:fill="auto" w:val="clear"/>
            <w:vAlign w:val="center"/>
          </w:tcPr>
          <w:p>
            <w:pPr>
              <w:pStyle w:val="TableContents"/>
              <w:spacing w:lineRule="atLeast" w:line="220"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lineRule="atLeast" w:line="220" w:before="0" w:after="0"/>
              <w:rPr/>
            </w:pPr>
            <w:r>
              <w:rPr/>
              <w:t> </w:t>
            </w:r>
          </w:p>
        </w:tc>
        <w:tc>
          <w:tcPr>
            <w:tcW w:w="515" w:type="dxa"/>
            <w:tcBorders/>
            <w:shd w:fill="auto" w:val="clear"/>
            <w:vAlign w:val="center"/>
          </w:tcPr>
          <w:p>
            <w:pPr>
              <w:pStyle w:val="TableContents"/>
              <w:spacing w:lineRule="atLeast" w:line="220" w:before="0" w:after="0"/>
              <w:jc w:val="right"/>
              <w:rPr>
                <w:rFonts w:ascii="ARIAL" w:hAnsi="ARIAL"/>
                <w:sz w:val="14"/>
              </w:rPr>
            </w:pPr>
            <w:r>
              <w:rPr>
                <w:rFonts w:ascii="ARIAL" w:hAnsi="ARIAL"/>
                <w:sz w:val="14"/>
              </w:rPr>
              <w:t>720,000</w:t>
            </w:r>
          </w:p>
        </w:tc>
        <w:tc>
          <w:tcPr>
            <w:tcW w:w="60" w:type="dxa"/>
            <w:tcBorders/>
            <w:shd w:fill="auto" w:val="clear"/>
            <w:vAlign w:val="center"/>
          </w:tcPr>
          <w:p>
            <w:pPr>
              <w:pStyle w:val="TableContents"/>
              <w:spacing w:lineRule="atLeast" w:line="220"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lineRule="atLeast" w:line="220" w:before="0" w:after="0"/>
              <w:rPr/>
            </w:pPr>
            <w:r>
              <w:rPr/>
              <w:t> </w:t>
            </w:r>
          </w:p>
        </w:tc>
        <w:tc>
          <w:tcPr>
            <w:tcW w:w="980" w:type="dxa"/>
            <w:tcBorders/>
            <w:shd w:fill="auto" w:val="clear"/>
            <w:vAlign w:val="center"/>
          </w:tcPr>
          <w:p>
            <w:pPr>
              <w:pStyle w:val="TableContents"/>
              <w:spacing w:lineRule="atLeast" w:line="220" w:before="0" w:after="0"/>
              <w:jc w:val="right"/>
              <w:rPr>
                <w:rFonts w:ascii="ARIAL" w:hAnsi="ARIAL"/>
                <w:sz w:val="14"/>
              </w:rPr>
            </w:pPr>
            <w:r>
              <w:rPr>
                <w:rFonts w:ascii="ARIAL" w:hAnsi="ARIAL"/>
                <w:sz w:val="14"/>
              </w:rPr>
              <w:t>1,057,200</w:t>
            </w:r>
          </w:p>
        </w:tc>
        <w:tc>
          <w:tcPr>
            <w:tcW w:w="60" w:type="dxa"/>
            <w:tcBorders/>
            <w:shd w:fill="auto" w:val="clear"/>
            <w:vAlign w:val="center"/>
          </w:tcPr>
          <w:p>
            <w:pPr>
              <w:pStyle w:val="TableContents"/>
              <w:spacing w:lineRule="atLeast" w:line="220"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lineRule="atLeast" w:line="220" w:before="0" w:after="0"/>
              <w:rPr/>
            </w:pPr>
            <w:r>
              <w:rPr/>
              <w:t> </w:t>
            </w:r>
          </w:p>
        </w:tc>
        <w:tc>
          <w:tcPr>
            <w:tcW w:w="800" w:type="dxa"/>
            <w:tcBorders/>
            <w:shd w:fill="auto" w:val="clear"/>
            <w:vAlign w:val="center"/>
          </w:tcPr>
          <w:p>
            <w:pPr>
              <w:pStyle w:val="TableContents"/>
              <w:spacing w:lineRule="atLeast" w:line="220" w:before="0" w:after="0"/>
              <w:jc w:val="right"/>
              <w:rPr>
                <w:rFonts w:ascii="ARIAL" w:hAnsi="ARIAL"/>
                <w:sz w:val="14"/>
              </w:rPr>
            </w:pPr>
            <w:r>
              <w:rPr>
                <w:rFonts w:ascii="ARIAL" w:hAnsi="ARIAL"/>
                <w:sz w:val="14"/>
              </w:rPr>
              <w:t>248,800</w:t>
            </w:r>
          </w:p>
        </w:tc>
        <w:tc>
          <w:tcPr>
            <w:tcW w:w="60" w:type="dxa"/>
            <w:tcBorders/>
            <w:shd w:fill="auto" w:val="clear"/>
            <w:vAlign w:val="center"/>
          </w:tcPr>
          <w:p>
            <w:pPr>
              <w:pStyle w:val="TableContents"/>
              <w:spacing w:lineRule="atLeast" w:line="220" w:before="0" w:after="0"/>
              <w:rPr/>
            </w:pPr>
            <w:r>
              <w:rPr/>
              <w:t> </w:t>
            </w:r>
          </w:p>
        </w:tc>
        <w:tc>
          <w:tcPr>
            <w:tcW w:w="6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lineRule="atLeast" w:line="220" w:before="0" w:after="0"/>
              <w:rPr/>
            </w:pPr>
            <w:r>
              <w:rPr/>
              <w:t> </w:t>
            </w:r>
          </w:p>
        </w:tc>
        <w:tc>
          <w:tcPr>
            <w:tcW w:w="856" w:type="dxa"/>
            <w:tcBorders/>
            <w:shd w:fill="auto" w:val="clear"/>
            <w:vAlign w:val="center"/>
          </w:tcPr>
          <w:p>
            <w:pPr>
              <w:pStyle w:val="TableContents"/>
              <w:spacing w:lineRule="atLeast" w:line="220" w:before="0" w:after="0"/>
              <w:jc w:val="right"/>
              <w:rPr>
                <w:rFonts w:ascii="ARIAL" w:hAnsi="ARIAL"/>
                <w:sz w:val="14"/>
              </w:rPr>
            </w:pPr>
            <w:r>
              <w:rPr>
                <w:rFonts w:ascii="ARIAL" w:hAnsi="ARIAL"/>
                <w:sz w:val="14"/>
              </w:rPr>
              <w:t>893,750</w:t>
            </w:r>
          </w:p>
        </w:tc>
        <w:tc>
          <w:tcPr>
            <w:tcW w:w="60" w:type="dxa"/>
            <w:tcBorders/>
            <w:shd w:fill="auto" w:val="clear"/>
            <w:vAlign w:val="center"/>
          </w:tcPr>
          <w:p>
            <w:pPr>
              <w:pStyle w:val="TableContents"/>
              <w:spacing w:lineRule="atLeast" w:line="220"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lineRule="atLeast" w:line="220" w:before="0" w:after="0"/>
              <w:rPr/>
            </w:pPr>
            <w:r>
              <w:rPr/>
              <w:t> </w:t>
            </w:r>
          </w:p>
        </w:tc>
        <w:tc>
          <w:tcPr>
            <w:tcW w:w="980" w:type="dxa"/>
            <w:tcBorders/>
            <w:shd w:fill="auto" w:val="clear"/>
            <w:vAlign w:val="center"/>
          </w:tcPr>
          <w:p>
            <w:pPr>
              <w:pStyle w:val="TableContents"/>
              <w:spacing w:lineRule="atLeast" w:line="220" w:before="0" w:after="0"/>
              <w:jc w:val="right"/>
              <w:rPr>
                <w:rFonts w:ascii="ARIAL" w:hAnsi="ARIAL"/>
                <w:sz w:val="14"/>
              </w:rPr>
            </w:pPr>
            <w:r>
              <w:rPr>
                <w:rFonts w:ascii="ARIAL" w:hAnsi="ARIAL"/>
                <w:sz w:val="14"/>
              </w:rPr>
              <w:t>889,485</w:t>
            </w:r>
          </w:p>
        </w:tc>
        <w:tc>
          <w:tcPr>
            <w:tcW w:w="60" w:type="dxa"/>
            <w:tcBorders/>
            <w:shd w:fill="auto" w:val="clear"/>
            <w:vAlign w:val="center"/>
          </w:tcPr>
          <w:p>
            <w:pPr>
              <w:pStyle w:val="TableContents"/>
              <w:spacing w:lineRule="atLeast" w:line="220" w:before="0" w:after="0"/>
              <w:rPr/>
            </w:pPr>
            <w:r>
              <w:rPr/>
              <w:t> </w:t>
            </w:r>
          </w:p>
        </w:tc>
        <w:tc>
          <w:tcPr>
            <w:tcW w:w="6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lineRule="atLeast" w:line="220" w:before="0" w:after="0"/>
              <w:rPr/>
            </w:pPr>
            <w:r>
              <w:rPr/>
              <w:t> </w:t>
            </w:r>
          </w:p>
        </w:tc>
        <w:tc>
          <w:tcPr>
            <w:tcW w:w="856" w:type="dxa"/>
            <w:tcBorders/>
            <w:shd w:fill="auto" w:val="clear"/>
            <w:vAlign w:val="center"/>
          </w:tcPr>
          <w:p>
            <w:pPr>
              <w:pStyle w:val="TableContents"/>
              <w:spacing w:lineRule="atLeast" w:line="220" w:before="0" w:after="0"/>
              <w:jc w:val="right"/>
              <w:rPr>
                <w:rFonts w:ascii="ARIAL" w:hAnsi="ARIAL"/>
                <w:sz w:val="14"/>
              </w:rPr>
            </w:pPr>
            <w:r>
              <w:rPr>
                <w:rFonts w:ascii="ARIAL" w:hAnsi="ARIAL"/>
                <w:sz w:val="14"/>
              </w:rPr>
              <w:t>21,595</w:t>
            </w:r>
          </w:p>
        </w:tc>
        <w:tc>
          <w:tcPr>
            <w:tcW w:w="60" w:type="dxa"/>
            <w:tcBorders/>
            <w:shd w:fill="auto" w:val="clear"/>
            <w:vAlign w:val="center"/>
          </w:tcPr>
          <w:p>
            <w:pPr>
              <w:pStyle w:val="TableContents"/>
              <w:spacing w:lineRule="atLeast" w:line="220"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lineRule="atLeast" w:line="220" w:before="0" w:after="0"/>
              <w:rPr/>
            </w:pPr>
            <w:r>
              <w:rPr/>
              <w:t> </w:t>
            </w:r>
          </w:p>
        </w:tc>
        <w:tc>
          <w:tcPr>
            <w:tcW w:w="980" w:type="dxa"/>
            <w:tcBorders/>
            <w:shd w:fill="auto" w:val="clear"/>
            <w:vAlign w:val="center"/>
          </w:tcPr>
          <w:p>
            <w:pPr>
              <w:pStyle w:val="TableContents"/>
              <w:spacing w:lineRule="atLeast" w:line="220" w:before="0" w:after="0"/>
              <w:jc w:val="right"/>
              <w:rPr>
                <w:rFonts w:ascii="ARIAL" w:hAnsi="ARIAL"/>
                <w:sz w:val="14"/>
              </w:rPr>
            </w:pPr>
            <w:r>
              <w:rPr>
                <w:rFonts w:ascii="ARIAL" w:hAnsi="ARIAL"/>
                <w:sz w:val="14"/>
              </w:rPr>
              <w:t>4,455,830</w:t>
            </w:r>
          </w:p>
        </w:tc>
        <w:tc>
          <w:tcPr>
            <w:tcW w:w="75" w:type="dxa"/>
            <w:tcBorders/>
            <w:shd w:fill="auto" w:val="clear"/>
            <w:vAlign w:val="center"/>
          </w:tcPr>
          <w:p>
            <w:pPr>
              <w:pStyle w:val="TableContents"/>
              <w:spacing w:lineRule="atLeast" w:line="220" w:before="0" w:after="0"/>
              <w:rPr/>
            </w:pPr>
            <w:r>
              <w:rPr/>
              <w:t> </w:t>
            </w:r>
          </w:p>
        </w:tc>
      </w:tr>
      <w:tr>
        <w:trPr/>
        <w:tc>
          <w:tcPr>
            <w:tcW w:w="1115" w:type="dxa"/>
            <w:tcBorders/>
            <w:shd w:fill="auto" w:val="clear"/>
            <w:vAlign w:val="center"/>
          </w:tcPr>
          <w:p>
            <w:pPr>
              <w:pStyle w:val="TableContents"/>
              <w:spacing w:lineRule="atLeast" w:line="220" w:before="0" w:after="0"/>
              <w:rPr>
                <w:rFonts w:ascii="ARIAL" w:hAnsi="ARIAL"/>
                <w:sz w:val="14"/>
              </w:rPr>
            </w:pPr>
            <w:r>
              <w:rPr>
                <w:rFonts w:ascii="ARIAL" w:hAnsi="ARIAL"/>
                <w:sz w:val="14"/>
              </w:rPr>
              <w:t>and Chief Medical Officer</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lineRule="atLeast" w:line="220" w:before="0" w:after="0"/>
              <w:rPr/>
            </w:pPr>
            <w:r>
              <w:rPr/>
              <w:t> </w:t>
            </w:r>
          </w:p>
        </w:tc>
        <w:tc>
          <w:tcPr>
            <w:tcW w:w="500" w:type="dxa"/>
            <w:tcBorders/>
            <w:shd w:fill="auto" w:val="clear"/>
            <w:vAlign w:val="center"/>
          </w:tcPr>
          <w:p>
            <w:pPr>
              <w:pStyle w:val="TableContents"/>
              <w:spacing w:lineRule="atLeast" w:line="220" w:before="0" w:after="0"/>
              <w:jc w:val="right"/>
              <w:rPr>
                <w:rFonts w:ascii="ARIAL" w:hAnsi="ARIAL"/>
                <w:sz w:val="14"/>
              </w:rPr>
            </w:pPr>
            <w:r>
              <w:rPr>
                <w:rFonts w:ascii="ARIAL" w:hAnsi="ARIAL"/>
                <w:sz w:val="14"/>
              </w:rPr>
              <w:t>2020</w:t>
            </w:r>
          </w:p>
        </w:tc>
        <w:tc>
          <w:tcPr>
            <w:tcW w:w="60" w:type="dxa"/>
            <w:tcBorders/>
            <w:shd w:fill="auto" w:val="clear"/>
            <w:vAlign w:val="center"/>
          </w:tcPr>
          <w:p>
            <w:pPr>
              <w:pStyle w:val="TableContents"/>
              <w:spacing w:lineRule="atLeast" w:line="220"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lineRule="atLeast" w:line="220" w:before="0" w:after="0"/>
              <w:rPr/>
            </w:pPr>
            <w:r>
              <w:rPr/>
              <w:t> </w:t>
            </w:r>
          </w:p>
        </w:tc>
        <w:tc>
          <w:tcPr>
            <w:tcW w:w="980" w:type="dxa"/>
            <w:tcBorders/>
            <w:shd w:fill="auto" w:val="clear"/>
            <w:vAlign w:val="center"/>
          </w:tcPr>
          <w:p>
            <w:pPr>
              <w:pStyle w:val="TableContents"/>
              <w:spacing w:lineRule="atLeast" w:line="220" w:before="0" w:after="0"/>
              <w:jc w:val="right"/>
              <w:rPr>
                <w:rFonts w:ascii="ARIAL" w:hAnsi="ARIAL"/>
                <w:sz w:val="14"/>
              </w:rPr>
            </w:pPr>
            <w:r>
              <w:rPr>
                <w:rFonts w:ascii="ARIAL" w:hAnsi="ARIAL"/>
                <w:sz w:val="14"/>
              </w:rPr>
              <w:t>539,754</w:t>
            </w:r>
          </w:p>
        </w:tc>
        <w:tc>
          <w:tcPr>
            <w:tcW w:w="60" w:type="dxa"/>
            <w:tcBorders/>
            <w:shd w:fill="auto" w:val="clear"/>
            <w:vAlign w:val="center"/>
          </w:tcPr>
          <w:p>
            <w:pPr>
              <w:pStyle w:val="TableContents"/>
              <w:spacing w:lineRule="atLeast" w:line="220"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lineRule="atLeast" w:line="220" w:before="0" w:after="0"/>
              <w:rPr/>
            </w:pPr>
            <w:r>
              <w:rPr/>
              <w:t> </w:t>
            </w:r>
          </w:p>
        </w:tc>
        <w:tc>
          <w:tcPr>
            <w:tcW w:w="515" w:type="dxa"/>
            <w:tcBorders/>
            <w:shd w:fill="auto" w:val="clear"/>
            <w:vAlign w:val="center"/>
          </w:tcPr>
          <w:p>
            <w:pPr>
              <w:pStyle w:val="TableContents"/>
              <w:spacing w:lineRule="atLeast" w:line="220" w:before="0" w:after="0"/>
              <w:jc w:val="right"/>
              <w:rPr>
                <w:rFonts w:ascii="ARIAL" w:hAnsi="ARIAL"/>
                <w:sz w:val="14"/>
              </w:rPr>
            </w:pPr>
            <w:r>
              <w:rPr>
                <w:rFonts w:ascii="ARIAL" w:hAnsi="ARIAL"/>
                <w:sz w:val="14"/>
              </w:rPr>
              <w:t>-</w:t>
            </w:r>
          </w:p>
        </w:tc>
        <w:tc>
          <w:tcPr>
            <w:tcW w:w="60" w:type="dxa"/>
            <w:tcBorders/>
            <w:shd w:fill="auto" w:val="clear"/>
            <w:vAlign w:val="center"/>
          </w:tcPr>
          <w:p>
            <w:pPr>
              <w:pStyle w:val="TableContents"/>
              <w:spacing w:lineRule="atLeast" w:line="220"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lineRule="atLeast" w:line="220" w:before="0" w:after="0"/>
              <w:rPr/>
            </w:pPr>
            <w:r>
              <w:rPr/>
              <w:t> </w:t>
            </w:r>
          </w:p>
        </w:tc>
        <w:tc>
          <w:tcPr>
            <w:tcW w:w="980" w:type="dxa"/>
            <w:tcBorders/>
            <w:shd w:fill="auto" w:val="clear"/>
            <w:vAlign w:val="center"/>
          </w:tcPr>
          <w:p>
            <w:pPr>
              <w:pStyle w:val="TableContents"/>
              <w:spacing w:lineRule="atLeast" w:line="220" w:before="0" w:after="0"/>
              <w:jc w:val="right"/>
              <w:rPr>
                <w:rFonts w:ascii="ARIAL" w:hAnsi="ARIAL"/>
                <w:sz w:val="14"/>
              </w:rPr>
            </w:pPr>
            <w:r>
              <w:rPr>
                <w:rFonts w:ascii="ARIAL" w:hAnsi="ARIAL"/>
                <w:sz w:val="14"/>
              </w:rPr>
              <w:t>388,238</w:t>
            </w:r>
          </w:p>
        </w:tc>
        <w:tc>
          <w:tcPr>
            <w:tcW w:w="60" w:type="dxa"/>
            <w:tcBorders/>
            <w:shd w:fill="auto" w:val="clear"/>
            <w:vAlign w:val="center"/>
          </w:tcPr>
          <w:p>
            <w:pPr>
              <w:pStyle w:val="TableContents"/>
              <w:spacing w:lineRule="atLeast" w:line="220"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lineRule="atLeast" w:line="220" w:before="0" w:after="0"/>
              <w:rPr/>
            </w:pPr>
            <w:r>
              <w:rPr/>
              <w:t> </w:t>
            </w:r>
          </w:p>
        </w:tc>
        <w:tc>
          <w:tcPr>
            <w:tcW w:w="800" w:type="dxa"/>
            <w:tcBorders/>
            <w:shd w:fill="auto" w:val="clear"/>
            <w:vAlign w:val="center"/>
          </w:tcPr>
          <w:p>
            <w:pPr>
              <w:pStyle w:val="TableContents"/>
              <w:spacing w:lineRule="atLeast" w:line="220" w:before="0" w:after="0"/>
              <w:jc w:val="right"/>
              <w:rPr>
                <w:rFonts w:ascii="ARIAL" w:hAnsi="ARIAL"/>
                <w:sz w:val="14"/>
              </w:rPr>
            </w:pPr>
            <w:r>
              <w:rPr>
                <w:rFonts w:ascii="ARIAL" w:hAnsi="ARIAL"/>
                <w:sz w:val="14"/>
              </w:rPr>
              <w:t>83,213</w:t>
            </w:r>
          </w:p>
        </w:tc>
        <w:tc>
          <w:tcPr>
            <w:tcW w:w="60" w:type="dxa"/>
            <w:tcBorders/>
            <w:shd w:fill="auto" w:val="clear"/>
            <w:vAlign w:val="center"/>
          </w:tcPr>
          <w:p>
            <w:pPr>
              <w:pStyle w:val="TableContents"/>
              <w:spacing w:lineRule="atLeast" w:line="220" w:before="0" w:after="0"/>
              <w:rPr/>
            </w:pPr>
            <w:r>
              <w:rPr/>
              <w:t> </w:t>
            </w:r>
          </w:p>
        </w:tc>
        <w:tc>
          <w:tcPr>
            <w:tcW w:w="6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lineRule="atLeast" w:line="220" w:before="0" w:after="0"/>
              <w:rPr/>
            </w:pPr>
            <w:r>
              <w:rPr/>
              <w:t> </w:t>
            </w:r>
          </w:p>
        </w:tc>
        <w:tc>
          <w:tcPr>
            <w:tcW w:w="856" w:type="dxa"/>
            <w:tcBorders/>
            <w:shd w:fill="auto" w:val="clear"/>
            <w:vAlign w:val="center"/>
          </w:tcPr>
          <w:p>
            <w:pPr>
              <w:pStyle w:val="TableContents"/>
              <w:spacing w:lineRule="atLeast" w:line="220" w:before="0" w:after="0"/>
              <w:jc w:val="right"/>
              <w:rPr>
                <w:rFonts w:ascii="ARIAL" w:hAnsi="ARIAL"/>
                <w:sz w:val="14"/>
              </w:rPr>
            </w:pPr>
            <w:r>
              <w:rPr>
                <w:rFonts w:ascii="ARIAL" w:hAnsi="ARIAL"/>
                <w:sz w:val="14"/>
              </w:rPr>
              <w:t>822,760</w:t>
            </w:r>
          </w:p>
        </w:tc>
        <w:tc>
          <w:tcPr>
            <w:tcW w:w="60" w:type="dxa"/>
            <w:tcBorders/>
            <w:shd w:fill="auto" w:val="clear"/>
            <w:vAlign w:val="center"/>
          </w:tcPr>
          <w:p>
            <w:pPr>
              <w:pStyle w:val="TableContents"/>
              <w:spacing w:lineRule="atLeast" w:line="220"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lineRule="atLeast" w:line="220" w:before="0" w:after="0"/>
              <w:rPr/>
            </w:pPr>
            <w:r>
              <w:rPr/>
              <w:t> </w:t>
            </w:r>
          </w:p>
        </w:tc>
        <w:tc>
          <w:tcPr>
            <w:tcW w:w="980" w:type="dxa"/>
            <w:tcBorders/>
            <w:shd w:fill="auto" w:val="clear"/>
            <w:vAlign w:val="center"/>
          </w:tcPr>
          <w:p>
            <w:pPr>
              <w:pStyle w:val="TableContents"/>
              <w:spacing w:lineRule="atLeast" w:line="220" w:before="0" w:after="0"/>
              <w:jc w:val="right"/>
              <w:rPr>
                <w:rFonts w:ascii="ARIAL" w:hAnsi="ARIAL"/>
                <w:sz w:val="14"/>
              </w:rPr>
            </w:pPr>
            <w:r>
              <w:rPr>
                <w:rFonts w:ascii="ARIAL" w:hAnsi="ARIAL"/>
                <w:sz w:val="14"/>
              </w:rPr>
              <w:t>902,021</w:t>
            </w:r>
          </w:p>
        </w:tc>
        <w:tc>
          <w:tcPr>
            <w:tcW w:w="60" w:type="dxa"/>
            <w:tcBorders/>
            <w:shd w:fill="auto" w:val="clear"/>
            <w:vAlign w:val="center"/>
          </w:tcPr>
          <w:p>
            <w:pPr>
              <w:pStyle w:val="TableContents"/>
              <w:spacing w:lineRule="atLeast" w:line="220" w:before="0" w:after="0"/>
              <w:rPr/>
            </w:pPr>
            <w:r>
              <w:rPr/>
              <w:t> </w:t>
            </w:r>
          </w:p>
        </w:tc>
        <w:tc>
          <w:tcPr>
            <w:tcW w:w="6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lineRule="atLeast" w:line="220" w:before="0" w:after="0"/>
              <w:rPr/>
            </w:pPr>
            <w:r>
              <w:rPr/>
              <w:t> </w:t>
            </w:r>
          </w:p>
        </w:tc>
        <w:tc>
          <w:tcPr>
            <w:tcW w:w="856" w:type="dxa"/>
            <w:tcBorders/>
            <w:shd w:fill="auto" w:val="clear"/>
            <w:vAlign w:val="center"/>
          </w:tcPr>
          <w:p>
            <w:pPr>
              <w:pStyle w:val="TableContents"/>
              <w:spacing w:lineRule="atLeast" w:line="220" w:before="0" w:after="0"/>
              <w:jc w:val="right"/>
              <w:rPr>
                <w:rFonts w:ascii="ARIAL" w:hAnsi="ARIAL"/>
                <w:sz w:val="14"/>
              </w:rPr>
            </w:pPr>
            <w:r>
              <w:rPr>
                <w:rFonts w:ascii="ARIAL" w:hAnsi="ARIAL"/>
                <w:sz w:val="14"/>
              </w:rPr>
              <w:t>21,547</w:t>
            </w:r>
          </w:p>
        </w:tc>
        <w:tc>
          <w:tcPr>
            <w:tcW w:w="60" w:type="dxa"/>
            <w:tcBorders/>
            <w:shd w:fill="auto" w:val="clear"/>
            <w:vAlign w:val="center"/>
          </w:tcPr>
          <w:p>
            <w:pPr>
              <w:pStyle w:val="TableContents"/>
              <w:spacing w:lineRule="atLeast" w:line="220"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lineRule="atLeast" w:line="220" w:before="0" w:after="0"/>
              <w:rPr/>
            </w:pPr>
            <w:r>
              <w:rPr/>
              <w:t> </w:t>
            </w:r>
          </w:p>
        </w:tc>
        <w:tc>
          <w:tcPr>
            <w:tcW w:w="980" w:type="dxa"/>
            <w:tcBorders/>
            <w:shd w:fill="auto" w:val="clear"/>
            <w:vAlign w:val="center"/>
          </w:tcPr>
          <w:p>
            <w:pPr>
              <w:pStyle w:val="TableContents"/>
              <w:spacing w:lineRule="atLeast" w:line="220" w:before="0" w:after="0"/>
              <w:jc w:val="right"/>
              <w:rPr>
                <w:rFonts w:ascii="ARIAL" w:hAnsi="ARIAL"/>
                <w:sz w:val="14"/>
              </w:rPr>
            </w:pPr>
            <w:r>
              <w:rPr>
                <w:rFonts w:ascii="ARIAL" w:hAnsi="ARIAL"/>
                <w:sz w:val="14"/>
              </w:rPr>
              <w:t>2,757,533</w:t>
            </w:r>
          </w:p>
        </w:tc>
        <w:tc>
          <w:tcPr>
            <w:tcW w:w="75" w:type="dxa"/>
            <w:tcBorders/>
            <w:shd w:fill="auto" w:val="clear"/>
            <w:vAlign w:val="center"/>
          </w:tcPr>
          <w:p>
            <w:pPr>
              <w:pStyle w:val="TableContents"/>
              <w:spacing w:lineRule="atLeast" w:line="220" w:before="0" w:after="0"/>
              <w:rPr/>
            </w:pPr>
            <w:r>
              <w:rPr/>
              <w:t> </w:t>
            </w:r>
          </w:p>
        </w:tc>
      </w:tr>
      <w:tr>
        <w:trPr/>
        <w:tc>
          <w:tcPr>
            <w:tcW w:w="11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115" w:type="dxa"/>
            <w:tcBorders/>
            <w:shd w:fill="CEE8F6" w:val="clear"/>
            <w:vAlign w:val="center"/>
          </w:tcPr>
          <w:p>
            <w:pPr>
              <w:pStyle w:val="TableContents"/>
              <w:spacing w:lineRule="atLeast" w:line="220" w:before="0" w:after="0"/>
              <w:rPr>
                <w:rFonts w:ascii="ARIAL" w:hAnsi="ARIAL"/>
                <w:sz w:val="14"/>
              </w:rPr>
            </w:pPr>
            <w:r>
              <w:rPr>
                <w:rFonts w:ascii="ARIAL" w:hAnsi="ARIAL"/>
                <w:sz w:val="14"/>
              </w:rPr>
              <w:t>Mark B. Medley (6)</w:t>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lineRule="atLeast" w:line="220" w:before="0" w:after="0"/>
              <w:rPr/>
            </w:pPr>
            <w:r>
              <w:rPr/>
              <w:t> </w:t>
            </w:r>
          </w:p>
        </w:tc>
        <w:tc>
          <w:tcPr>
            <w:tcW w:w="500" w:type="dxa"/>
            <w:tcBorders/>
            <w:shd w:fill="CEE8F6" w:val="clear"/>
            <w:vAlign w:val="center"/>
          </w:tcPr>
          <w:p>
            <w:pPr>
              <w:pStyle w:val="TableContents"/>
              <w:spacing w:lineRule="atLeast" w:line="220" w:before="0" w:after="0"/>
              <w:jc w:val="right"/>
              <w:rPr>
                <w:rFonts w:ascii="ARIAL" w:hAnsi="ARIAL"/>
                <w:sz w:val="14"/>
              </w:rPr>
            </w:pPr>
            <w:r>
              <w:rPr>
                <w:rFonts w:ascii="ARIAL" w:hAnsi="ARIAL"/>
                <w:sz w:val="14"/>
              </w:rPr>
              <w:t>2022</w:t>
            </w:r>
          </w:p>
        </w:tc>
        <w:tc>
          <w:tcPr>
            <w:tcW w:w="60" w:type="dxa"/>
            <w:tcBorders/>
            <w:shd w:fill="CEE8F6" w:val="clear"/>
            <w:vAlign w:val="center"/>
          </w:tcPr>
          <w:p>
            <w:pPr>
              <w:pStyle w:val="TableContents"/>
              <w:spacing w:lineRule="atLeast" w:line="220" w:before="0" w:after="0"/>
              <w:rPr/>
            </w:pPr>
            <w:r>
              <w:rPr/>
              <w:t> </w:t>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lineRule="atLeast" w:line="220" w:before="0" w:after="0"/>
              <w:rPr/>
            </w:pPr>
            <w:r>
              <w:rPr/>
              <w:t> </w:t>
            </w:r>
          </w:p>
        </w:tc>
        <w:tc>
          <w:tcPr>
            <w:tcW w:w="980" w:type="dxa"/>
            <w:tcBorders/>
            <w:shd w:fill="CEE8F6" w:val="clear"/>
            <w:vAlign w:val="center"/>
          </w:tcPr>
          <w:p>
            <w:pPr>
              <w:pStyle w:val="TableContents"/>
              <w:spacing w:lineRule="atLeast" w:line="220" w:before="0" w:after="0"/>
              <w:jc w:val="right"/>
              <w:rPr>
                <w:rFonts w:ascii="ARIAL" w:hAnsi="ARIAL"/>
                <w:sz w:val="14"/>
              </w:rPr>
            </w:pPr>
            <w:r>
              <w:rPr>
                <w:rFonts w:ascii="ARIAL" w:hAnsi="ARIAL"/>
                <w:sz w:val="14"/>
              </w:rPr>
              <w:t>625,000</w:t>
            </w:r>
          </w:p>
        </w:tc>
        <w:tc>
          <w:tcPr>
            <w:tcW w:w="60" w:type="dxa"/>
            <w:tcBorders/>
            <w:shd w:fill="CEE8F6" w:val="clear"/>
            <w:vAlign w:val="center"/>
          </w:tcPr>
          <w:p>
            <w:pPr>
              <w:pStyle w:val="TableContents"/>
              <w:spacing w:lineRule="atLeast" w:line="220" w:before="0" w:after="0"/>
              <w:rPr/>
            </w:pPr>
            <w:r>
              <w:rPr/>
              <w:t> </w:t>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lineRule="atLeast" w:line="220" w:before="0" w:after="0"/>
              <w:rPr/>
            </w:pPr>
            <w:r>
              <w:rPr/>
              <w:t> </w:t>
            </w:r>
          </w:p>
        </w:tc>
        <w:tc>
          <w:tcPr>
            <w:tcW w:w="515" w:type="dxa"/>
            <w:tcBorders/>
            <w:shd w:fill="CEE8F6" w:val="clear"/>
            <w:vAlign w:val="center"/>
          </w:tcPr>
          <w:p>
            <w:pPr>
              <w:pStyle w:val="TableContents"/>
              <w:spacing w:lineRule="atLeast" w:line="220" w:before="0" w:after="0"/>
              <w:jc w:val="right"/>
              <w:rPr>
                <w:rFonts w:ascii="ARIAL" w:hAnsi="ARIAL"/>
                <w:sz w:val="14"/>
              </w:rPr>
            </w:pPr>
            <w:r>
              <w:rPr>
                <w:rFonts w:ascii="ARIAL" w:hAnsi="ARIAL"/>
                <w:sz w:val="14"/>
              </w:rPr>
              <w:t>82,500</w:t>
            </w:r>
          </w:p>
        </w:tc>
        <w:tc>
          <w:tcPr>
            <w:tcW w:w="60" w:type="dxa"/>
            <w:tcBorders/>
            <w:shd w:fill="CEE8F6" w:val="clear"/>
            <w:vAlign w:val="center"/>
          </w:tcPr>
          <w:p>
            <w:pPr>
              <w:pStyle w:val="TableContents"/>
              <w:spacing w:lineRule="atLeast" w:line="220" w:before="0" w:after="0"/>
              <w:rPr/>
            </w:pPr>
            <w:r>
              <w:rPr/>
              <w:t> </w:t>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lineRule="atLeast" w:line="220" w:before="0" w:after="0"/>
              <w:rPr/>
            </w:pPr>
            <w:r>
              <w:rPr/>
              <w:t> </w:t>
            </w:r>
          </w:p>
        </w:tc>
        <w:tc>
          <w:tcPr>
            <w:tcW w:w="980" w:type="dxa"/>
            <w:tcBorders/>
            <w:shd w:fill="CEE8F6" w:val="clear"/>
            <w:vAlign w:val="center"/>
          </w:tcPr>
          <w:p>
            <w:pPr>
              <w:pStyle w:val="TableContents"/>
              <w:spacing w:lineRule="atLeast" w:line="220" w:before="0" w:after="0"/>
              <w:jc w:val="right"/>
              <w:rPr>
                <w:rFonts w:ascii="ARIAL" w:hAnsi="ARIAL"/>
                <w:sz w:val="14"/>
              </w:rPr>
            </w:pPr>
            <w:r>
              <w:rPr>
                <w:rFonts w:ascii="ARIAL" w:hAnsi="ARIAL"/>
                <w:sz w:val="14"/>
              </w:rPr>
              <w:t>763,500</w:t>
            </w:r>
          </w:p>
        </w:tc>
        <w:tc>
          <w:tcPr>
            <w:tcW w:w="60" w:type="dxa"/>
            <w:tcBorders/>
            <w:shd w:fill="CEE8F6" w:val="clear"/>
            <w:vAlign w:val="center"/>
          </w:tcPr>
          <w:p>
            <w:pPr>
              <w:pStyle w:val="TableContents"/>
              <w:spacing w:lineRule="atLeast" w:line="220" w:before="0" w:after="0"/>
              <w:rPr/>
            </w:pPr>
            <w:r>
              <w:rPr/>
              <w:t> </w:t>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lineRule="atLeast" w:line="220" w:before="0" w:after="0"/>
              <w:rPr/>
            </w:pPr>
            <w:r>
              <w:rPr/>
              <w:t> </w:t>
            </w:r>
          </w:p>
        </w:tc>
        <w:tc>
          <w:tcPr>
            <w:tcW w:w="800" w:type="dxa"/>
            <w:tcBorders/>
            <w:shd w:fill="CEE8F6" w:val="clear"/>
            <w:vAlign w:val="center"/>
          </w:tcPr>
          <w:p>
            <w:pPr>
              <w:pStyle w:val="TableContents"/>
              <w:spacing w:lineRule="atLeast" w:line="220" w:before="0" w:after="0"/>
              <w:jc w:val="right"/>
              <w:rPr>
                <w:rFonts w:ascii="ARIAL" w:hAnsi="ARIAL"/>
                <w:sz w:val="14"/>
              </w:rPr>
            </w:pPr>
            <w:r>
              <w:rPr>
                <w:rFonts w:ascii="ARIAL" w:hAnsi="ARIAL"/>
                <w:sz w:val="14"/>
              </w:rPr>
              <w:t>181,250</w:t>
            </w:r>
          </w:p>
        </w:tc>
        <w:tc>
          <w:tcPr>
            <w:tcW w:w="60" w:type="dxa"/>
            <w:tcBorders/>
            <w:shd w:fill="CEE8F6" w:val="clear"/>
            <w:vAlign w:val="center"/>
          </w:tcPr>
          <w:p>
            <w:pPr>
              <w:pStyle w:val="TableContents"/>
              <w:spacing w:lineRule="atLeast" w:line="220" w:before="0" w:after="0"/>
              <w:rPr/>
            </w:pPr>
            <w:r>
              <w:rPr/>
              <w:t> </w:t>
            </w:r>
          </w:p>
        </w:tc>
        <w:tc>
          <w:tcPr>
            <w:tcW w:w="60" w:type="dxa"/>
            <w:tcBorders/>
            <w:shd w:fill="CEE8F6" w:val="clear"/>
            <w:vAlign w:val="center"/>
          </w:tcPr>
          <w:p>
            <w:pPr>
              <w:pStyle w:val="TableContents"/>
              <w:spacing w:before="0" w:after="283"/>
              <w:rPr/>
            </w:pPr>
            <w:r>
              <w:rPr/>
              <w:t> </w:t>
            </w:r>
          </w:p>
        </w:tc>
        <w:tc>
          <w:tcPr>
            <w:tcW w:w="64" w:type="dxa"/>
            <w:tcBorders/>
            <w:shd w:fill="CEE8F6" w:val="clear"/>
            <w:vAlign w:val="center"/>
          </w:tcPr>
          <w:p>
            <w:pPr>
              <w:pStyle w:val="TableContents"/>
              <w:spacing w:lineRule="atLeast" w:line="220" w:before="0" w:after="0"/>
              <w:rPr/>
            </w:pPr>
            <w:r>
              <w:rPr/>
              <w:t> </w:t>
            </w:r>
          </w:p>
        </w:tc>
        <w:tc>
          <w:tcPr>
            <w:tcW w:w="856" w:type="dxa"/>
            <w:tcBorders/>
            <w:shd w:fill="CEE8F6" w:val="clear"/>
            <w:vAlign w:val="center"/>
          </w:tcPr>
          <w:p>
            <w:pPr>
              <w:pStyle w:val="TableContents"/>
              <w:spacing w:lineRule="atLeast" w:line="220" w:before="0" w:after="0"/>
              <w:jc w:val="right"/>
              <w:rPr>
                <w:rFonts w:ascii="ARIAL" w:hAnsi="ARIAL"/>
                <w:sz w:val="14"/>
              </w:rPr>
            </w:pPr>
            <w:r>
              <w:rPr>
                <w:rFonts w:ascii="ARIAL" w:hAnsi="ARIAL"/>
                <w:sz w:val="14"/>
              </w:rPr>
              <w:t>62,500</w:t>
            </w:r>
          </w:p>
        </w:tc>
        <w:tc>
          <w:tcPr>
            <w:tcW w:w="60" w:type="dxa"/>
            <w:tcBorders/>
            <w:shd w:fill="CEE8F6" w:val="clear"/>
            <w:vAlign w:val="center"/>
          </w:tcPr>
          <w:p>
            <w:pPr>
              <w:pStyle w:val="TableContents"/>
              <w:spacing w:lineRule="atLeast" w:line="220" w:before="0" w:after="0"/>
              <w:rPr/>
            </w:pPr>
            <w:r>
              <w:rPr/>
              <w:t> </w:t>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lineRule="atLeast" w:line="220" w:before="0" w:after="0"/>
              <w:rPr/>
            </w:pPr>
            <w:r>
              <w:rPr/>
              <w:t> </w:t>
            </w:r>
          </w:p>
        </w:tc>
        <w:tc>
          <w:tcPr>
            <w:tcW w:w="980" w:type="dxa"/>
            <w:tcBorders/>
            <w:shd w:fill="CEE8F6" w:val="clear"/>
            <w:vAlign w:val="center"/>
          </w:tcPr>
          <w:p>
            <w:pPr>
              <w:pStyle w:val="TableContents"/>
              <w:spacing w:lineRule="atLeast" w:line="220" w:before="0" w:after="0"/>
              <w:jc w:val="right"/>
              <w:rPr>
                <w:rFonts w:ascii="ARIAL" w:hAnsi="ARIAL"/>
                <w:sz w:val="14"/>
              </w:rPr>
            </w:pPr>
            <w:r>
              <w:rPr>
                <w:rFonts w:ascii="ARIAL" w:hAnsi="ARIAL"/>
                <w:sz w:val="14"/>
              </w:rPr>
              <w:t>-</w:t>
            </w:r>
          </w:p>
        </w:tc>
        <w:tc>
          <w:tcPr>
            <w:tcW w:w="60" w:type="dxa"/>
            <w:tcBorders/>
            <w:shd w:fill="CEE8F6" w:val="clear"/>
            <w:vAlign w:val="center"/>
          </w:tcPr>
          <w:p>
            <w:pPr>
              <w:pStyle w:val="TableContents"/>
              <w:spacing w:lineRule="atLeast" w:line="220" w:before="0" w:after="0"/>
              <w:rPr/>
            </w:pPr>
            <w:r>
              <w:rPr/>
              <w:t> </w:t>
            </w:r>
          </w:p>
        </w:tc>
        <w:tc>
          <w:tcPr>
            <w:tcW w:w="60" w:type="dxa"/>
            <w:tcBorders/>
            <w:shd w:fill="CEE8F6" w:val="clear"/>
            <w:vAlign w:val="center"/>
          </w:tcPr>
          <w:p>
            <w:pPr>
              <w:pStyle w:val="TableContents"/>
              <w:spacing w:before="0" w:after="283"/>
              <w:rPr/>
            </w:pPr>
            <w:r>
              <w:rPr/>
              <w:t> </w:t>
            </w:r>
          </w:p>
        </w:tc>
        <w:tc>
          <w:tcPr>
            <w:tcW w:w="64" w:type="dxa"/>
            <w:tcBorders/>
            <w:shd w:fill="CEE8F6" w:val="clear"/>
            <w:vAlign w:val="center"/>
          </w:tcPr>
          <w:p>
            <w:pPr>
              <w:pStyle w:val="TableContents"/>
              <w:spacing w:lineRule="atLeast" w:line="220" w:before="0" w:after="0"/>
              <w:rPr/>
            </w:pPr>
            <w:r>
              <w:rPr/>
              <w:t> </w:t>
            </w:r>
          </w:p>
        </w:tc>
        <w:tc>
          <w:tcPr>
            <w:tcW w:w="856" w:type="dxa"/>
            <w:tcBorders/>
            <w:shd w:fill="CEE8F6" w:val="clear"/>
            <w:vAlign w:val="center"/>
          </w:tcPr>
          <w:p>
            <w:pPr>
              <w:pStyle w:val="TableContents"/>
              <w:spacing w:lineRule="atLeast" w:line="220" w:before="0" w:after="0"/>
              <w:jc w:val="right"/>
              <w:rPr>
                <w:rFonts w:ascii="ARIAL" w:hAnsi="ARIAL"/>
                <w:sz w:val="14"/>
              </w:rPr>
            </w:pPr>
            <w:r>
              <w:rPr>
                <w:rFonts w:ascii="ARIAL" w:hAnsi="ARIAL"/>
                <w:sz w:val="14"/>
              </w:rPr>
              <w:t>17,006</w:t>
            </w:r>
          </w:p>
        </w:tc>
        <w:tc>
          <w:tcPr>
            <w:tcW w:w="60" w:type="dxa"/>
            <w:tcBorders/>
            <w:shd w:fill="CEE8F6" w:val="clear"/>
            <w:vAlign w:val="center"/>
          </w:tcPr>
          <w:p>
            <w:pPr>
              <w:pStyle w:val="TableContents"/>
              <w:spacing w:lineRule="atLeast" w:line="220" w:before="0" w:after="0"/>
              <w:rPr/>
            </w:pPr>
            <w:r>
              <w:rPr/>
              <w:t> </w:t>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lineRule="atLeast" w:line="220" w:before="0" w:after="0"/>
              <w:rPr/>
            </w:pPr>
            <w:r>
              <w:rPr/>
              <w:t> </w:t>
            </w:r>
          </w:p>
        </w:tc>
        <w:tc>
          <w:tcPr>
            <w:tcW w:w="980" w:type="dxa"/>
            <w:tcBorders/>
            <w:shd w:fill="CEE8F6" w:val="clear"/>
            <w:vAlign w:val="center"/>
          </w:tcPr>
          <w:p>
            <w:pPr>
              <w:pStyle w:val="TableContents"/>
              <w:spacing w:lineRule="atLeast" w:line="220" w:before="0" w:after="0"/>
              <w:jc w:val="right"/>
              <w:rPr>
                <w:rFonts w:ascii="ARIAL" w:hAnsi="ARIAL"/>
                <w:sz w:val="14"/>
              </w:rPr>
            </w:pPr>
            <w:r>
              <w:rPr>
                <w:rFonts w:ascii="ARIAL" w:hAnsi="ARIAL"/>
                <w:sz w:val="14"/>
              </w:rPr>
              <w:t>1,731,756</w:t>
            </w:r>
          </w:p>
        </w:tc>
        <w:tc>
          <w:tcPr>
            <w:tcW w:w="75" w:type="dxa"/>
            <w:tcBorders/>
            <w:shd w:fill="CEE8F6" w:val="clear"/>
            <w:vAlign w:val="center"/>
          </w:tcPr>
          <w:p>
            <w:pPr>
              <w:pStyle w:val="TableContents"/>
              <w:spacing w:lineRule="atLeast" w:line="220" w:before="0" w:after="0"/>
              <w:rPr/>
            </w:pPr>
            <w:r>
              <w:rPr/>
              <w:t> </w:t>
            </w:r>
          </w:p>
        </w:tc>
      </w:tr>
      <w:tr>
        <w:trPr/>
        <w:tc>
          <w:tcPr>
            <w:tcW w:w="1115" w:type="dxa"/>
            <w:tcBorders/>
            <w:shd w:fill="CEE8F6" w:val="clear"/>
            <w:vAlign w:val="center"/>
          </w:tcPr>
          <w:p>
            <w:pPr>
              <w:pStyle w:val="TableContents"/>
              <w:spacing w:lineRule="atLeast" w:line="220" w:before="0" w:after="0"/>
              <w:rPr>
                <w:rFonts w:ascii="ARIAL" w:hAnsi="ARIAL"/>
                <w:sz w:val="14"/>
              </w:rPr>
            </w:pPr>
            <w:r>
              <w:rPr>
                <w:rFonts w:ascii="ARIAL" w:hAnsi="ARIAL"/>
                <w:sz w:val="14"/>
              </w:rPr>
              <w:t>Regional President</w:t>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before="0" w:after="283"/>
              <w:rPr>
                <w:sz w:val="4"/>
                <w:szCs w:val="4"/>
              </w:rPr>
            </w:pPr>
            <w:r>
              <w:rPr>
                <w:sz w:val="4"/>
                <w:szCs w:val="4"/>
              </w:rPr>
            </w:r>
          </w:p>
        </w:tc>
        <w:tc>
          <w:tcPr>
            <w:tcW w:w="50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before="0" w:after="283"/>
              <w:rPr>
                <w:sz w:val="4"/>
                <w:szCs w:val="4"/>
              </w:rPr>
            </w:pPr>
            <w:r>
              <w:rPr>
                <w:sz w:val="4"/>
                <w:szCs w:val="4"/>
              </w:rPr>
            </w:r>
          </w:p>
        </w:tc>
        <w:tc>
          <w:tcPr>
            <w:tcW w:w="98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before="0" w:after="283"/>
              <w:rPr>
                <w:sz w:val="4"/>
                <w:szCs w:val="4"/>
              </w:rPr>
            </w:pPr>
            <w:r>
              <w:rPr>
                <w:sz w:val="4"/>
                <w:szCs w:val="4"/>
              </w:rPr>
            </w:r>
          </w:p>
        </w:tc>
        <w:tc>
          <w:tcPr>
            <w:tcW w:w="515"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before="0" w:after="283"/>
              <w:rPr>
                <w:sz w:val="4"/>
                <w:szCs w:val="4"/>
              </w:rPr>
            </w:pPr>
            <w:r>
              <w:rPr>
                <w:sz w:val="4"/>
                <w:szCs w:val="4"/>
              </w:rPr>
            </w:r>
          </w:p>
        </w:tc>
        <w:tc>
          <w:tcPr>
            <w:tcW w:w="98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before="0" w:after="283"/>
              <w:rPr>
                <w:sz w:val="4"/>
                <w:szCs w:val="4"/>
              </w:rPr>
            </w:pPr>
            <w:r>
              <w:rPr>
                <w:sz w:val="4"/>
                <w:szCs w:val="4"/>
              </w:rPr>
            </w:r>
          </w:p>
        </w:tc>
        <w:tc>
          <w:tcPr>
            <w:tcW w:w="80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pPr>
            <w:r>
              <w:rPr/>
              <w:t> </w:t>
            </w:r>
          </w:p>
        </w:tc>
        <w:tc>
          <w:tcPr>
            <w:tcW w:w="64" w:type="dxa"/>
            <w:tcBorders/>
            <w:shd w:fill="CEE8F6" w:val="clear"/>
            <w:vAlign w:val="center"/>
          </w:tcPr>
          <w:p>
            <w:pPr>
              <w:pStyle w:val="TableContents"/>
              <w:spacing w:before="0" w:after="283"/>
              <w:rPr>
                <w:sz w:val="4"/>
                <w:szCs w:val="4"/>
              </w:rPr>
            </w:pPr>
            <w:r>
              <w:rPr>
                <w:sz w:val="4"/>
                <w:szCs w:val="4"/>
              </w:rPr>
            </w:r>
          </w:p>
        </w:tc>
        <w:tc>
          <w:tcPr>
            <w:tcW w:w="856"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before="0" w:after="283"/>
              <w:rPr>
                <w:sz w:val="4"/>
                <w:szCs w:val="4"/>
              </w:rPr>
            </w:pPr>
            <w:r>
              <w:rPr>
                <w:sz w:val="4"/>
                <w:szCs w:val="4"/>
              </w:rPr>
            </w:r>
          </w:p>
        </w:tc>
        <w:tc>
          <w:tcPr>
            <w:tcW w:w="98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pPr>
            <w:r>
              <w:rPr/>
              <w:t> </w:t>
            </w:r>
          </w:p>
        </w:tc>
        <w:tc>
          <w:tcPr>
            <w:tcW w:w="64" w:type="dxa"/>
            <w:tcBorders/>
            <w:shd w:fill="CEE8F6" w:val="clear"/>
            <w:vAlign w:val="center"/>
          </w:tcPr>
          <w:p>
            <w:pPr>
              <w:pStyle w:val="TableContents"/>
              <w:spacing w:before="0" w:after="283"/>
              <w:rPr>
                <w:sz w:val="4"/>
                <w:szCs w:val="4"/>
              </w:rPr>
            </w:pPr>
            <w:r>
              <w:rPr>
                <w:sz w:val="4"/>
                <w:szCs w:val="4"/>
              </w:rPr>
            </w:r>
          </w:p>
        </w:tc>
        <w:tc>
          <w:tcPr>
            <w:tcW w:w="856"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before="0" w:after="283"/>
              <w:rPr>
                <w:sz w:val="4"/>
                <w:szCs w:val="4"/>
              </w:rPr>
            </w:pPr>
            <w:r>
              <w:rPr>
                <w:sz w:val="4"/>
                <w:szCs w:val="4"/>
              </w:rPr>
            </w:r>
          </w:p>
        </w:tc>
        <w:tc>
          <w:tcPr>
            <w:tcW w:w="980" w:type="dxa"/>
            <w:tcBorders/>
            <w:shd w:fill="CEE8F6" w:val="clear"/>
            <w:vAlign w:val="center"/>
          </w:tcPr>
          <w:p>
            <w:pPr>
              <w:pStyle w:val="TableContents"/>
              <w:spacing w:before="0" w:after="283"/>
              <w:rPr>
                <w:sz w:val="4"/>
                <w:szCs w:val="4"/>
              </w:rPr>
            </w:pPr>
            <w:r>
              <w:rPr>
                <w:sz w:val="4"/>
                <w:szCs w:val="4"/>
              </w:rPr>
            </w:r>
          </w:p>
        </w:tc>
        <w:tc>
          <w:tcPr>
            <w:tcW w:w="75" w:type="dxa"/>
            <w:tcBorders/>
            <w:shd w:fill="CEE8F6" w:val="clear"/>
            <w:vAlign w:val="center"/>
          </w:tcPr>
          <w:p>
            <w:pPr>
              <w:pStyle w:val="TableContents"/>
              <w:spacing w:before="0" w:after="283"/>
              <w:rPr>
                <w:sz w:val="4"/>
                <w:szCs w:val="4"/>
              </w:rPr>
            </w:pPr>
            <w:r>
              <w:rPr>
                <w:sz w:val="4"/>
                <w:szCs w:val="4"/>
              </w:rPr>
            </w:r>
          </w:p>
        </w:tc>
      </w:tr>
    </w:tbl>
    <w:p>
      <w:pPr>
        <w:pStyle w:val="TextBody"/>
        <w:spacing w:before="0" w:after="0"/>
        <w:jc w:val="left"/>
        <w:rPr/>
      </w:pPr>
      <w:r>
        <w:rPr/>
        <w:t> </w:t>
      </w:r>
    </w:p>
    <w:p>
      <w:pPr>
        <w:pStyle w:val="TextBody"/>
        <w:pBdr>
          <w:bottom w:val="single" w:sz="12" w:space="1" w:color="000000"/>
        </w:pBdr>
        <w:spacing w:lineRule="atLeast" w:line="141" w:before="0" w:after="40"/>
        <w:jc w:val="left"/>
        <w:rPr/>
      </w:pPr>
      <w:r>
        <w:rPr/>
        <w:t> </w:t>
      </w:r>
    </w:p>
    <w:p>
      <w:pPr>
        <w:pStyle w:val="TextBody"/>
        <w:spacing w:before="0" w:after="0"/>
        <w:jc w:val="left"/>
        <w:rPr/>
      </w:pPr>
      <w:r>
        <w:rPr/>
        <w:t> </w:t>
      </w:r>
    </w:p>
    <w:tbl>
      <w:tblPr>
        <w:tblW w:w="3310" w:type="dxa"/>
        <w:jc w:val="left"/>
        <w:tblInd w:w="0" w:type="dxa"/>
        <w:tblCellMar>
          <w:top w:w="0" w:type="dxa"/>
          <w:left w:w="0" w:type="dxa"/>
          <w:bottom w:w="0" w:type="dxa"/>
          <w:right w:w="0" w:type="dxa"/>
        </w:tblCellMar>
      </w:tblPr>
      <w:tblGrid>
        <w:gridCol w:w="155"/>
        <w:gridCol w:w="3155"/>
      </w:tblGrid>
      <w:tr>
        <w:trPr/>
        <w:tc>
          <w:tcPr>
            <w:tcW w:w="155" w:type="dxa"/>
            <w:tcBorders/>
            <w:shd w:fill="auto" w:val="clear"/>
            <w:vAlign w:val="center"/>
          </w:tcPr>
          <w:p>
            <w:pPr>
              <w:pStyle w:val="TableContents"/>
              <w:spacing w:before="0" w:after="283"/>
              <w:jc w:val="left"/>
              <w:rPr/>
            </w:pPr>
            <w:r>
              <w:rPr/>
              <w:t>*</w:t>
            </w:r>
          </w:p>
        </w:tc>
        <w:tc>
          <w:tcPr>
            <w:tcW w:w="3155" w:type="dxa"/>
            <w:tcBorders/>
            <w:shd w:fill="auto" w:val="clear"/>
            <w:vAlign w:val="center"/>
          </w:tcPr>
          <w:p>
            <w:pPr>
              <w:pStyle w:val="TableContents"/>
              <w:spacing w:before="0" w:after="0"/>
              <w:jc w:val="left"/>
              <w:rPr>
                <w:rFonts w:ascii="ARIAL" w:hAnsi="ARIAL"/>
                <w:sz w:val="20"/>
              </w:rPr>
            </w:pPr>
            <w:r>
              <w:rPr>
                <w:rFonts w:ascii="ARIAL" w:hAnsi="ARIAL"/>
                <w:sz w:val="20"/>
              </w:rPr>
              <w:t xml:space="preserve">Positions as of December 31, 2022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35"/>
        <w:gridCol w:w="9970"/>
      </w:tblGrid>
      <w:tr>
        <w:trPr/>
        <w:tc>
          <w:tcPr>
            <w:tcW w:w="235" w:type="dxa"/>
            <w:tcBorders/>
            <w:shd w:fill="auto" w:val="clear"/>
            <w:vAlign w:val="center"/>
          </w:tcPr>
          <w:p>
            <w:pPr>
              <w:pStyle w:val="TableContents"/>
              <w:spacing w:before="0" w:after="283"/>
              <w:jc w:val="left"/>
              <w:rPr/>
            </w:pPr>
            <w:r>
              <w:rPr/>
              <w:t>(1)</w:t>
            </w:r>
          </w:p>
        </w:tc>
        <w:tc>
          <w:tcPr>
            <w:tcW w:w="9970" w:type="dxa"/>
            <w:tcBorders/>
            <w:shd w:fill="auto" w:val="clear"/>
            <w:vAlign w:val="center"/>
          </w:tcPr>
          <w:p>
            <w:pPr>
              <w:pStyle w:val="TableContents"/>
              <w:spacing w:before="0" w:after="0"/>
              <w:jc w:val="left"/>
              <w:rPr>
                <w:rFonts w:ascii="ARIAL" w:hAnsi="ARIAL"/>
                <w:sz w:val="20"/>
              </w:rPr>
            </w:pPr>
            <w:r>
              <w:rPr>
                <w:rFonts w:ascii="ARIAL" w:hAnsi="ARIAL"/>
                <w:sz w:val="20"/>
              </w:rPr>
              <w:t xml:space="preserve">Amounts represent cash-based salary and bonus compensation before any deferrals under the Company’s deferred compensation plans. The amounts reflected in the “Non-Equity Incentive Plan Compensation” column as set forth above for 2022, 2021 and 2020 reflect the annual cash incentive compensation paid to our named executive officers for such years under the EPIP, provided that the amount reflected in such column for 2022 for Mr. Medley reflects a payment of $62,500 for achieving an operational improvement plan during the fourth quarter of 2022 as described above under Compensation Discussion and Analysis. In addition, the payment to Mr. Medley reflected in the “Bonus” column for 2022 as set forth above reflects a discretionary cash award in the amount of $82,500 as described above in the Compensation Discussion and Analysis. For 2020, the dollar amounts shown in the salary column reflect the voluntary reductions in base salary by each named executive officer in response to the COVID-19 pandemic as previously disclosed by the Company. Total cash-based compensation for the year ended December 31, 2022 was as follows: Mr. Hingtgen, $1,984,375; Mr. Smith, $1,587,500; Mr. Hammons, $1,021,875; Dr. Simon, $853,002 and Mr. Medley, $770,000. </w:t>
            </w:r>
          </w:p>
        </w:tc>
      </w:tr>
    </w:tbl>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64 </w:t>
      </w:r>
      <w:r>
        <w:br w:type="page"/>
      </w:r>
    </w:p>
    <w:p>
      <w:pPr>
        <w:pStyle w:val="HorizontalLine"/>
        <w:rPr/>
      </w:pPr>
      <w:r>
        <w:rPr/>
      </w:r>
    </w:p>
    <w:tbl>
      <w:tblPr>
        <w:tblW w:w="10205" w:type="dxa"/>
        <w:jc w:val="left"/>
        <w:tblInd w:w="0" w:type="dxa"/>
        <w:tblCellMar>
          <w:top w:w="0" w:type="dxa"/>
          <w:left w:w="0" w:type="dxa"/>
          <w:bottom w:w="0" w:type="dxa"/>
          <w:right w:w="0" w:type="dxa"/>
        </w:tblCellMar>
      </w:tblPr>
      <w:tblGrid>
        <w:gridCol w:w="237"/>
        <w:gridCol w:w="9968"/>
      </w:tblGrid>
      <w:tr>
        <w:trPr/>
        <w:tc>
          <w:tcPr>
            <w:tcW w:w="237" w:type="dxa"/>
            <w:tcBorders/>
            <w:shd w:fill="auto" w:val="clear"/>
            <w:vAlign w:val="center"/>
          </w:tcPr>
          <w:p>
            <w:pPr>
              <w:pStyle w:val="TableContents"/>
              <w:spacing w:before="0" w:after="283"/>
              <w:jc w:val="left"/>
              <w:rPr/>
            </w:pPr>
            <w:r>
              <w:rPr/>
              <w:t>(2)</w:t>
            </w:r>
          </w:p>
        </w:tc>
        <w:tc>
          <w:tcPr>
            <w:tcW w:w="9968" w:type="dxa"/>
            <w:tcBorders/>
            <w:shd w:fill="auto" w:val="clear"/>
            <w:vAlign w:val="center"/>
          </w:tcPr>
          <w:p>
            <w:pPr>
              <w:pStyle w:val="TableContents"/>
              <w:spacing w:before="0" w:after="0"/>
              <w:jc w:val="left"/>
              <w:rPr>
                <w:rFonts w:ascii="ARIAL" w:hAnsi="ARIAL"/>
                <w:sz w:val="20"/>
              </w:rPr>
            </w:pPr>
            <w:r>
              <w:rPr>
                <w:rFonts w:ascii="ARIAL" w:hAnsi="ARIAL"/>
                <w:sz w:val="20"/>
              </w:rPr>
              <w:t xml:space="preserve">The dollar amounts shown in this column represent the fair value of restricted shares (including both time-based and performance-based restricted shares) on their respective grant dates. The fair value of these restricted shares on the respective grant dates were as follows: March 1, 2022 ($10.18) per share, March 1, 2021 ($8.81) per share, and March 1, 2020 ($4.93) per share. The grant date fair value of performance-based restricted shares included in the table above was computed in accordance with ASC 718 and assumes performance conditions are achieved at the target (100%) performance level. Assuming the highest level of performance conditions are achieved with respect to the 2022 performance-based restricted stock awards (which would result in vesting at a 200% performance level), the stock award values for 2022 would be as follows: Mr. Hingtgen, $5,090,000; Mr. Smith, $4,581,000; Mr. Hammons, $3,817,500; Dr. Simon $2,036,000 and Mr. Medley, $1,272,500.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43"/>
        <w:gridCol w:w="9962"/>
      </w:tblGrid>
      <w:tr>
        <w:trPr/>
        <w:tc>
          <w:tcPr>
            <w:tcW w:w="243" w:type="dxa"/>
            <w:tcBorders/>
            <w:shd w:fill="auto" w:val="clear"/>
            <w:vAlign w:val="center"/>
          </w:tcPr>
          <w:p>
            <w:pPr>
              <w:pStyle w:val="TableContents"/>
              <w:spacing w:before="0" w:after="283"/>
              <w:jc w:val="left"/>
              <w:rPr/>
            </w:pPr>
            <w:r>
              <w:rPr/>
              <w:t>(3)</w:t>
            </w:r>
          </w:p>
        </w:tc>
        <w:tc>
          <w:tcPr>
            <w:tcW w:w="9962" w:type="dxa"/>
            <w:tcBorders/>
            <w:shd w:fill="auto" w:val="clear"/>
            <w:vAlign w:val="center"/>
          </w:tcPr>
          <w:p>
            <w:pPr>
              <w:pStyle w:val="TableContents"/>
              <w:spacing w:before="0" w:after="0"/>
              <w:jc w:val="left"/>
              <w:rPr>
                <w:rFonts w:ascii="ARIAL" w:hAnsi="ARIAL"/>
                <w:sz w:val="20"/>
              </w:rPr>
            </w:pPr>
            <w:r>
              <w:rPr>
                <w:rFonts w:ascii="ARIAL" w:hAnsi="ARIAL"/>
                <w:sz w:val="20"/>
              </w:rPr>
              <w:t xml:space="preserve">The dollar amounts in this column represent the grant date fair value of options using the Black-Scholes option pricing model. For options granted on March 1, 2022, the Black-Scholes price per option for Mr. Smith was $5.72 per share and for all other named executive officers it was calculated to be $7.25 per share. Assumptions used in calculating the value of options are described in Note 2 to the Company’s audited consolidated financial statements included in the Company’s Annual Report on Form 10-K filed with the SEC on February 17, 2023.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45"/>
        <w:gridCol w:w="9960"/>
      </w:tblGrid>
      <w:tr>
        <w:trPr/>
        <w:tc>
          <w:tcPr>
            <w:tcW w:w="245" w:type="dxa"/>
            <w:tcBorders/>
            <w:shd w:fill="auto" w:val="clear"/>
            <w:vAlign w:val="center"/>
          </w:tcPr>
          <w:p>
            <w:pPr>
              <w:pStyle w:val="TableContents"/>
              <w:spacing w:before="0" w:after="283"/>
              <w:jc w:val="left"/>
              <w:rPr/>
            </w:pPr>
            <w:r>
              <w:rPr/>
              <w:t>(4)</w:t>
            </w:r>
          </w:p>
        </w:tc>
        <w:tc>
          <w:tcPr>
            <w:tcW w:w="9960" w:type="dxa"/>
            <w:tcBorders/>
            <w:shd w:fill="auto" w:val="clear"/>
            <w:vAlign w:val="center"/>
          </w:tcPr>
          <w:p>
            <w:pPr>
              <w:pStyle w:val="TableContents"/>
              <w:spacing w:before="0" w:after="0"/>
              <w:jc w:val="left"/>
              <w:rPr>
                <w:rFonts w:ascii="ARIAL" w:hAnsi="ARIAL"/>
                <w:sz w:val="20"/>
              </w:rPr>
            </w:pPr>
            <w:r>
              <w:rPr>
                <w:rFonts w:ascii="ARIAL" w:hAnsi="ARIAL"/>
                <w:sz w:val="20"/>
              </w:rPr>
              <w:t xml:space="preserve">Amounts represent the actuarial increase in the present value of the named executive officer’s benefit under the SERP using interest rate and mortality rate assumptions consistent with those used in the Company’s financial statements and include amounts which the named executive officers may not currently be entitled to receive because such amounts are not vested. The non-qualified deferred compensation plan earnings contained no above-market or preferential portion of earnings for 2022, 2021 or 2020.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62"/>
        <w:gridCol w:w="9943"/>
      </w:tblGrid>
      <w:tr>
        <w:trPr/>
        <w:tc>
          <w:tcPr>
            <w:tcW w:w="262" w:type="dxa"/>
            <w:tcBorders/>
            <w:shd w:fill="auto" w:val="clear"/>
            <w:vAlign w:val="center"/>
          </w:tcPr>
          <w:p>
            <w:pPr>
              <w:pStyle w:val="TableContents"/>
              <w:spacing w:before="0" w:after="283"/>
              <w:jc w:val="left"/>
              <w:rPr/>
            </w:pPr>
            <w:r>
              <w:rPr/>
              <w:t>(5)</w:t>
            </w:r>
          </w:p>
        </w:tc>
        <w:tc>
          <w:tcPr>
            <w:tcW w:w="9943" w:type="dxa"/>
            <w:tcBorders/>
            <w:shd w:fill="auto" w:val="clear"/>
            <w:vAlign w:val="center"/>
          </w:tcPr>
          <w:p>
            <w:pPr>
              <w:pStyle w:val="TableContents"/>
              <w:spacing w:before="0" w:after="0"/>
              <w:jc w:val="left"/>
              <w:rPr>
                <w:rFonts w:ascii="ARIAL" w:hAnsi="ARIAL"/>
                <w:sz w:val="20"/>
              </w:rPr>
            </w:pPr>
            <w:r>
              <w:rPr>
                <w:rFonts w:ascii="ARIAL" w:hAnsi="ARIAL"/>
                <w:sz w:val="20"/>
              </w:rPr>
              <w:t xml:space="preserve">All Other Compensation for the year ended December 31, 2022 consists of the following (which benefits are valued based on the aggregate incremental cost to the Company and are discussed in “Perquisites” on page 58 of this Proxy Statement): </w:t>
            </w:r>
          </w:p>
        </w:tc>
      </w:tr>
    </w:tbl>
    <w:p>
      <w:pPr>
        <w:pStyle w:val="TextBody"/>
        <w:spacing w:before="0" w:after="0"/>
        <w:jc w:val="left"/>
        <w:rPr/>
      </w:pPr>
      <w:r>
        <w:rPr/>
        <w:t> </w:t>
      </w:r>
    </w:p>
    <w:tbl>
      <w:tblPr>
        <w:tblW w:w="8595" w:type="dxa"/>
        <w:jc w:val="left"/>
        <w:tblInd w:w="0" w:type="dxa"/>
        <w:tblCellMar>
          <w:top w:w="0" w:type="dxa"/>
          <w:left w:w="0" w:type="dxa"/>
          <w:bottom w:w="0" w:type="dxa"/>
          <w:right w:w="0" w:type="dxa"/>
        </w:tblCellMar>
      </w:tblPr>
      <w:tblGrid>
        <w:gridCol w:w="1520"/>
        <w:gridCol w:w="120"/>
        <w:gridCol w:w="149"/>
        <w:gridCol w:w="1056"/>
        <w:gridCol w:w="60"/>
        <w:gridCol w:w="120"/>
        <w:gridCol w:w="178"/>
        <w:gridCol w:w="1267"/>
        <w:gridCol w:w="60"/>
        <w:gridCol w:w="120"/>
        <w:gridCol w:w="110"/>
        <w:gridCol w:w="945"/>
        <w:gridCol w:w="60"/>
        <w:gridCol w:w="120"/>
        <w:gridCol w:w="97"/>
        <w:gridCol w:w="988"/>
        <w:gridCol w:w="60"/>
        <w:gridCol w:w="120"/>
        <w:gridCol w:w="169"/>
        <w:gridCol w:w="1201"/>
        <w:gridCol w:w="75"/>
      </w:tblGrid>
      <w:tr>
        <w:trPr/>
        <w:tc>
          <w:tcPr>
            <w:tcW w:w="15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05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26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94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7" w:type="dxa"/>
            <w:tcBorders/>
            <w:shd w:fill="auto" w:val="clear"/>
            <w:vAlign w:val="center"/>
          </w:tcPr>
          <w:p>
            <w:pPr>
              <w:pStyle w:val="TableContents"/>
              <w:spacing w:before="0" w:after="283"/>
              <w:rPr>
                <w:sz w:val="4"/>
                <w:szCs w:val="4"/>
              </w:rPr>
            </w:pPr>
            <w:r>
              <w:rPr>
                <w:sz w:val="4"/>
                <w:szCs w:val="4"/>
              </w:rPr>
            </w:r>
          </w:p>
        </w:tc>
        <w:tc>
          <w:tcPr>
            <w:tcW w:w="98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201"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520" w:type="dxa"/>
            <w:tcBorders>
              <w:bottom w:val="single" w:sz="2" w:space="0" w:color="000000"/>
            </w:tcBorders>
            <w:shd w:fill="auto" w:val="clear"/>
            <w:tcMar>
              <w:bottom w:w="28" w:type="dxa"/>
            </w:tcMar>
            <w:vAlign w:val="center"/>
          </w:tcPr>
          <w:p>
            <w:pPr>
              <w:pStyle w:val="TableContents"/>
              <w:spacing w:before="0" w:after="20"/>
              <w:rPr>
                <w:rFonts w:ascii="ARIAL" w:hAnsi="ARIAL"/>
                <w:b/>
                <w:sz w:val="18"/>
              </w:rPr>
            </w:pPr>
            <w:r>
              <w:rPr>
                <w:rFonts w:ascii="ARIAL" w:hAnsi="ARIAL"/>
                <w:b/>
                <w:sz w:val="18"/>
              </w:rPr>
              <w:t>Name</w:t>
            </w:r>
          </w:p>
        </w:tc>
        <w:tc>
          <w:tcPr>
            <w:tcW w:w="120" w:type="dxa"/>
            <w:tcBorders/>
            <w:shd w:fill="auto" w:val="clear"/>
            <w:vAlign w:val="center"/>
          </w:tcPr>
          <w:p>
            <w:pPr>
              <w:pStyle w:val="TableContents"/>
              <w:spacing w:before="0" w:after="283"/>
              <w:rPr/>
            </w:pPr>
            <w:r>
              <w:rPr/>
              <w:t>  </w:t>
            </w:r>
          </w:p>
        </w:tc>
        <w:tc>
          <w:tcPr>
            <w:tcW w:w="1205" w:type="dxa"/>
            <w:gridSpan w:val="2"/>
            <w:tcBorders>
              <w:bottom w:val="single" w:sz="2" w:space="0" w:color="000000"/>
            </w:tcBorders>
            <w:shd w:fill="auto" w:val="clear"/>
            <w:tcMar>
              <w:bottom w:w="28" w:type="dxa"/>
            </w:tcMar>
            <w:vAlign w:val="center"/>
          </w:tcPr>
          <w:p>
            <w:pPr>
              <w:pStyle w:val="TableContents"/>
              <w:spacing w:before="0" w:after="283"/>
              <w:jc w:val="center"/>
              <w:rPr>
                <w:b/>
              </w:rPr>
            </w:pPr>
            <w:r>
              <w:rPr>
                <w:b/>
              </w:rPr>
              <w:t>Long-Term</w:t>
              <w:br/>
              <w:t>Disability</w:t>
              <w:br/>
              <w:t>Premiums</w:t>
              <w:br/>
              <w: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45" w:type="dxa"/>
            <w:gridSpan w:val="2"/>
            <w:tcBorders>
              <w:bottom w:val="single" w:sz="2" w:space="0" w:color="000000"/>
            </w:tcBorders>
            <w:shd w:fill="auto" w:val="clear"/>
            <w:tcMar>
              <w:bottom w:w="28" w:type="dxa"/>
            </w:tcMar>
            <w:vAlign w:val="center"/>
          </w:tcPr>
          <w:p>
            <w:pPr>
              <w:pStyle w:val="TableContents"/>
              <w:spacing w:before="0" w:after="283"/>
              <w:jc w:val="center"/>
              <w:rPr>
                <w:b/>
              </w:rPr>
            </w:pPr>
            <w:r>
              <w:rPr>
                <w:b/>
              </w:rPr>
              <w:t>401(k) Plan</w:t>
              <w:br/>
              <w:t>Employer</w:t>
              <w:br/>
              <w:t>Matching</w:t>
              <w:br/>
              <w:t>Contributions</w:t>
              <w:br/>
              <w: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55" w:type="dxa"/>
            <w:gridSpan w:val="2"/>
            <w:tcBorders>
              <w:bottom w:val="single" w:sz="2" w:space="0" w:color="000000"/>
            </w:tcBorders>
            <w:shd w:fill="auto" w:val="clear"/>
            <w:tcMar>
              <w:bottom w:w="28" w:type="dxa"/>
            </w:tcMar>
            <w:vAlign w:val="center"/>
          </w:tcPr>
          <w:p>
            <w:pPr>
              <w:pStyle w:val="TableContents"/>
              <w:spacing w:before="0" w:after="283"/>
              <w:jc w:val="center"/>
              <w:rPr>
                <w:b/>
              </w:rPr>
            </w:pPr>
            <w:r>
              <w:rPr>
                <w:b/>
              </w:rPr>
              <w:t>Life</w:t>
              <w:br/>
              <w:t>Insurance</w:t>
              <w:br/>
              <w:t>Premiums</w:t>
              <w:br/>
              <w: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85" w:type="dxa"/>
            <w:gridSpan w:val="2"/>
            <w:tcBorders>
              <w:bottom w:val="single" w:sz="2" w:space="0" w:color="000000"/>
            </w:tcBorders>
            <w:shd w:fill="auto" w:val="clear"/>
            <w:tcMar>
              <w:bottom w:w="28" w:type="dxa"/>
            </w:tcMar>
            <w:vAlign w:val="center"/>
          </w:tcPr>
          <w:p>
            <w:pPr>
              <w:pStyle w:val="TableContents"/>
              <w:spacing w:before="0" w:after="283"/>
              <w:jc w:val="center"/>
              <w:rPr>
                <w:b/>
              </w:rPr>
            </w:pPr>
            <w:r>
              <w:rPr>
                <w:b/>
              </w:rPr>
              <w:t>Personal</w:t>
              <w:br/>
              <w:t>Use of</w:t>
              <w:br/>
              <w:t>Corporate</w:t>
              <w:br/>
              <w:t>Aircraft</w:t>
              <w:br/>
              <w: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370" w:type="dxa"/>
            <w:gridSpan w:val="2"/>
            <w:tcBorders>
              <w:bottom w:val="single" w:sz="2" w:space="0" w:color="000000"/>
            </w:tcBorders>
            <w:shd w:fill="auto" w:val="clear"/>
            <w:tcMar>
              <w:bottom w:w="28" w:type="dxa"/>
            </w:tcMar>
            <w:vAlign w:val="center"/>
          </w:tcPr>
          <w:p>
            <w:pPr>
              <w:pStyle w:val="TableContents"/>
              <w:spacing w:before="0" w:after="283"/>
              <w:jc w:val="center"/>
              <w:rPr/>
            </w:pPr>
            <w:r>
              <w:rPr>
                <w:b/>
              </w:rPr>
              <w:t>Membership/</w:t>
              <w:br/>
              <w:t>Dues</w:t>
            </w:r>
            <w:r>
              <w:rPr/>
              <w:br/>
            </w:r>
            <w:r>
              <w:rPr>
                <w:b/>
              </w:rPr>
              <w:t>($)</w:t>
            </w:r>
          </w:p>
        </w:tc>
        <w:tc>
          <w:tcPr>
            <w:tcW w:w="75" w:type="dxa"/>
            <w:tcBorders/>
            <w:shd w:fill="auto" w:val="clear"/>
            <w:vAlign w:val="center"/>
          </w:tcPr>
          <w:p>
            <w:pPr>
              <w:pStyle w:val="TableContents"/>
              <w:spacing w:before="0" w:after="283"/>
              <w:rPr/>
            </w:pPr>
            <w:r>
              <w:rPr/>
              <w:t> </w:t>
            </w:r>
          </w:p>
        </w:tc>
      </w:tr>
      <w:tr>
        <w:trPr/>
        <w:tc>
          <w:tcPr>
            <w:tcW w:w="1520" w:type="dxa"/>
            <w:tcBorders/>
            <w:shd w:fill="CEE8F6" w:val="clear"/>
            <w:vAlign w:val="center"/>
          </w:tcPr>
          <w:p>
            <w:pPr>
              <w:pStyle w:val="TableContents"/>
              <w:spacing w:lineRule="atLeast" w:line="240" w:before="0" w:after="0"/>
              <w:rPr>
                <w:rFonts w:ascii="ARIAL" w:hAnsi="ARIAL"/>
                <w:sz w:val="16"/>
              </w:rPr>
            </w:pPr>
            <w:r>
              <w:rPr>
                <w:rFonts w:ascii="ARIAL" w:hAnsi="ARIAL"/>
                <w:sz w:val="16"/>
              </w:rPr>
              <w:t>Tim L. Hingtgen</w:t>
            </w:r>
          </w:p>
        </w:tc>
        <w:tc>
          <w:tcPr>
            <w:tcW w:w="120" w:type="dxa"/>
            <w:tcBorders/>
            <w:shd w:fill="CEE8F6" w:val="clear"/>
            <w:vAlign w:val="center"/>
          </w:tcPr>
          <w:p>
            <w:pPr>
              <w:pStyle w:val="TableContents"/>
              <w:spacing w:before="0" w:after="283"/>
              <w:rPr/>
            </w:pPr>
            <w:r>
              <w:rPr/>
              <w:t>  </w:t>
            </w:r>
          </w:p>
        </w:tc>
        <w:tc>
          <w:tcPr>
            <w:tcW w:w="149" w:type="dxa"/>
            <w:tcBorders/>
            <w:shd w:fill="CEE8F6" w:val="clear"/>
            <w:vAlign w:val="center"/>
          </w:tcPr>
          <w:p>
            <w:pPr>
              <w:pStyle w:val="TableContents"/>
              <w:spacing w:lineRule="atLeast" w:line="240" w:before="0" w:after="0"/>
              <w:rPr/>
            </w:pPr>
            <w:r>
              <w:rPr/>
              <w:t> </w:t>
            </w:r>
          </w:p>
        </w:tc>
        <w:tc>
          <w:tcPr>
            <w:tcW w:w="1056" w:type="dxa"/>
            <w:tcBorders/>
            <w:shd w:fill="CEE8F6" w:val="clear"/>
            <w:vAlign w:val="center"/>
          </w:tcPr>
          <w:p>
            <w:pPr>
              <w:pStyle w:val="TableContents"/>
              <w:spacing w:lineRule="atLeast" w:line="240" w:before="0" w:after="0"/>
              <w:jc w:val="right"/>
              <w:rPr>
                <w:rFonts w:ascii="ARIAL" w:hAnsi="ARIAL"/>
                <w:sz w:val="16"/>
              </w:rPr>
            </w:pPr>
            <w:r>
              <w:rPr>
                <w:rFonts w:ascii="ARIAL" w:hAnsi="ARIAL"/>
                <w:sz w:val="16"/>
              </w:rPr>
              <w:t>2,154</w:t>
            </w:r>
          </w:p>
        </w:tc>
        <w:tc>
          <w:tcPr>
            <w:tcW w:w="60" w:type="dxa"/>
            <w:tcBorders/>
            <w:shd w:fill="CEE8F6" w:val="clear"/>
            <w:vAlign w:val="center"/>
          </w:tcPr>
          <w:p>
            <w:pPr>
              <w:pStyle w:val="TableContents"/>
              <w:spacing w:lineRule="atLeast" w:line="240" w:before="0" w:after="0"/>
              <w:rPr/>
            </w:pPr>
            <w:r>
              <w:rPr/>
              <w:t> </w:t>
            </w:r>
          </w:p>
        </w:tc>
        <w:tc>
          <w:tcPr>
            <w:tcW w:w="120" w:type="dxa"/>
            <w:tcBorders/>
            <w:shd w:fill="CEE8F6" w:val="clear"/>
            <w:vAlign w:val="center"/>
          </w:tcPr>
          <w:p>
            <w:pPr>
              <w:pStyle w:val="TableContents"/>
              <w:spacing w:before="0" w:after="283"/>
              <w:rPr/>
            </w:pPr>
            <w:r>
              <w:rPr/>
              <w:t>  </w:t>
            </w:r>
          </w:p>
        </w:tc>
        <w:tc>
          <w:tcPr>
            <w:tcW w:w="178" w:type="dxa"/>
            <w:tcBorders/>
            <w:shd w:fill="CEE8F6" w:val="clear"/>
            <w:vAlign w:val="center"/>
          </w:tcPr>
          <w:p>
            <w:pPr>
              <w:pStyle w:val="TableContents"/>
              <w:spacing w:lineRule="atLeast" w:line="240" w:before="0" w:after="0"/>
              <w:rPr/>
            </w:pPr>
            <w:r>
              <w:rPr/>
              <w:t> </w:t>
            </w:r>
          </w:p>
        </w:tc>
        <w:tc>
          <w:tcPr>
            <w:tcW w:w="1267" w:type="dxa"/>
            <w:tcBorders/>
            <w:shd w:fill="CEE8F6" w:val="clear"/>
            <w:vAlign w:val="center"/>
          </w:tcPr>
          <w:p>
            <w:pPr>
              <w:pStyle w:val="TableContents"/>
              <w:spacing w:lineRule="atLeast" w:line="240" w:before="0" w:after="0"/>
              <w:jc w:val="right"/>
              <w:rPr>
                <w:rFonts w:ascii="ARIAL" w:hAnsi="ARIAL"/>
                <w:sz w:val="16"/>
              </w:rPr>
            </w:pPr>
            <w:r>
              <w:rPr>
                <w:rFonts w:ascii="ARIAL" w:hAnsi="ARIAL"/>
                <w:sz w:val="16"/>
              </w:rPr>
              <w:t>3,500</w:t>
            </w:r>
          </w:p>
        </w:tc>
        <w:tc>
          <w:tcPr>
            <w:tcW w:w="60" w:type="dxa"/>
            <w:tcBorders/>
            <w:shd w:fill="CEE8F6" w:val="clear"/>
            <w:vAlign w:val="center"/>
          </w:tcPr>
          <w:p>
            <w:pPr>
              <w:pStyle w:val="TableContents"/>
              <w:spacing w:lineRule="atLeast" w:line="240" w:before="0" w:after="0"/>
              <w:rPr/>
            </w:pPr>
            <w:r>
              <w:rPr/>
              <w:t> </w:t>
            </w:r>
          </w:p>
        </w:tc>
        <w:tc>
          <w:tcPr>
            <w:tcW w:w="120" w:type="dxa"/>
            <w:tcBorders/>
            <w:shd w:fill="CEE8F6" w:val="clear"/>
            <w:vAlign w:val="center"/>
          </w:tcPr>
          <w:p>
            <w:pPr>
              <w:pStyle w:val="TableContents"/>
              <w:spacing w:before="0" w:after="283"/>
              <w:rPr/>
            </w:pPr>
            <w:r>
              <w:rPr/>
              <w:t>  </w:t>
            </w:r>
          </w:p>
        </w:tc>
        <w:tc>
          <w:tcPr>
            <w:tcW w:w="110" w:type="dxa"/>
            <w:tcBorders/>
            <w:shd w:fill="CEE8F6" w:val="clear"/>
            <w:vAlign w:val="center"/>
          </w:tcPr>
          <w:p>
            <w:pPr>
              <w:pStyle w:val="TableContents"/>
              <w:spacing w:lineRule="atLeast" w:line="240" w:before="0" w:after="0"/>
              <w:rPr/>
            </w:pPr>
            <w:r>
              <w:rPr/>
              <w:t> </w:t>
            </w:r>
          </w:p>
        </w:tc>
        <w:tc>
          <w:tcPr>
            <w:tcW w:w="945" w:type="dxa"/>
            <w:tcBorders/>
            <w:shd w:fill="CEE8F6" w:val="clear"/>
            <w:vAlign w:val="center"/>
          </w:tcPr>
          <w:p>
            <w:pPr>
              <w:pStyle w:val="TableContents"/>
              <w:spacing w:lineRule="atLeast" w:line="240" w:before="0" w:after="0"/>
              <w:jc w:val="right"/>
              <w:rPr>
                <w:rFonts w:ascii="ARIAL" w:hAnsi="ARIAL"/>
                <w:sz w:val="16"/>
              </w:rPr>
            </w:pPr>
            <w:r>
              <w:rPr>
                <w:rFonts w:ascii="ARIAL" w:hAnsi="ARIAL"/>
                <w:sz w:val="16"/>
              </w:rPr>
              <w:t>10,062</w:t>
            </w:r>
          </w:p>
        </w:tc>
        <w:tc>
          <w:tcPr>
            <w:tcW w:w="60" w:type="dxa"/>
            <w:tcBorders/>
            <w:shd w:fill="CEE8F6" w:val="clear"/>
            <w:vAlign w:val="center"/>
          </w:tcPr>
          <w:p>
            <w:pPr>
              <w:pStyle w:val="TableContents"/>
              <w:spacing w:lineRule="atLeast" w:line="240" w:before="0" w:after="0"/>
              <w:rPr/>
            </w:pPr>
            <w:r>
              <w:rPr/>
              <w:t> </w:t>
            </w:r>
          </w:p>
        </w:tc>
        <w:tc>
          <w:tcPr>
            <w:tcW w:w="120" w:type="dxa"/>
            <w:tcBorders/>
            <w:shd w:fill="CEE8F6" w:val="clear"/>
            <w:vAlign w:val="center"/>
          </w:tcPr>
          <w:p>
            <w:pPr>
              <w:pStyle w:val="TableContents"/>
              <w:spacing w:before="0" w:after="283"/>
              <w:rPr/>
            </w:pPr>
            <w:r>
              <w:rPr/>
              <w:t>  </w:t>
            </w:r>
          </w:p>
        </w:tc>
        <w:tc>
          <w:tcPr>
            <w:tcW w:w="97" w:type="dxa"/>
            <w:tcBorders/>
            <w:shd w:fill="CEE8F6" w:val="clear"/>
            <w:vAlign w:val="center"/>
          </w:tcPr>
          <w:p>
            <w:pPr>
              <w:pStyle w:val="TableContents"/>
              <w:spacing w:lineRule="atLeast" w:line="240" w:before="0" w:after="0"/>
              <w:rPr/>
            </w:pPr>
            <w:r>
              <w:rPr/>
              <w:t> </w:t>
            </w:r>
          </w:p>
        </w:tc>
        <w:tc>
          <w:tcPr>
            <w:tcW w:w="988" w:type="dxa"/>
            <w:tcBorders/>
            <w:shd w:fill="CEE8F6" w:val="clear"/>
            <w:vAlign w:val="center"/>
          </w:tcPr>
          <w:p>
            <w:pPr>
              <w:pStyle w:val="TableContents"/>
              <w:spacing w:lineRule="atLeast" w:line="240" w:before="0" w:after="0"/>
              <w:jc w:val="right"/>
              <w:rPr>
                <w:rFonts w:ascii="ARIAL" w:hAnsi="ARIAL"/>
                <w:sz w:val="16"/>
              </w:rPr>
            </w:pPr>
            <w:r>
              <w:rPr>
                <w:rFonts w:ascii="ARIAL" w:hAnsi="ARIAL"/>
                <w:sz w:val="16"/>
              </w:rPr>
              <w:t>23,592</w:t>
            </w:r>
          </w:p>
        </w:tc>
        <w:tc>
          <w:tcPr>
            <w:tcW w:w="60" w:type="dxa"/>
            <w:tcBorders/>
            <w:shd w:fill="CEE8F6" w:val="clear"/>
            <w:vAlign w:val="center"/>
          </w:tcPr>
          <w:p>
            <w:pPr>
              <w:pStyle w:val="TableContents"/>
              <w:spacing w:lineRule="atLeast" w:line="240" w:before="0" w:after="0"/>
              <w:rPr/>
            </w:pPr>
            <w:r>
              <w:rPr/>
              <w:t> </w:t>
            </w:r>
          </w:p>
        </w:tc>
        <w:tc>
          <w:tcPr>
            <w:tcW w:w="120" w:type="dxa"/>
            <w:tcBorders/>
            <w:shd w:fill="CEE8F6" w:val="clear"/>
            <w:vAlign w:val="center"/>
          </w:tcPr>
          <w:p>
            <w:pPr>
              <w:pStyle w:val="TableContents"/>
              <w:spacing w:before="0" w:after="283"/>
              <w:rPr/>
            </w:pPr>
            <w:r>
              <w:rPr/>
              <w:t>  </w:t>
            </w:r>
          </w:p>
        </w:tc>
        <w:tc>
          <w:tcPr>
            <w:tcW w:w="169" w:type="dxa"/>
            <w:tcBorders/>
            <w:shd w:fill="CEE8F6" w:val="clear"/>
            <w:vAlign w:val="center"/>
          </w:tcPr>
          <w:p>
            <w:pPr>
              <w:pStyle w:val="TableContents"/>
              <w:spacing w:lineRule="atLeast" w:line="240" w:before="0" w:after="0"/>
              <w:rPr/>
            </w:pPr>
            <w:r>
              <w:rPr/>
              <w:t> </w:t>
            </w:r>
          </w:p>
        </w:tc>
        <w:tc>
          <w:tcPr>
            <w:tcW w:w="1201" w:type="dxa"/>
            <w:tcBorders/>
            <w:shd w:fill="CEE8F6" w:val="clear"/>
            <w:vAlign w:val="center"/>
          </w:tcPr>
          <w:p>
            <w:pPr>
              <w:pStyle w:val="TableContents"/>
              <w:spacing w:lineRule="atLeast" w:line="240" w:before="0" w:after="0"/>
              <w:jc w:val="right"/>
              <w:rPr>
                <w:rFonts w:ascii="ARIAL" w:hAnsi="ARIAL"/>
                <w:sz w:val="16"/>
              </w:rPr>
            </w:pPr>
            <w:r>
              <w:rPr>
                <w:rFonts w:ascii="ARIAL" w:hAnsi="ARIAL"/>
                <w:sz w:val="16"/>
              </w:rPr>
              <w:t>- </w:t>
            </w:r>
          </w:p>
        </w:tc>
        <w:tc>
          <w:tcPr>
            <w:tcW w:w="75" w:type="dxa"/>
            <w:tcBorders/>
            <w:shd w:fill="CEE8F6" w:val="clear"/>
            <w:vAlign w:val="center"/>
          </w:tcPr>
          <w:p>
            <w:pPr>
              <w:pStyle w:val="TableContents"/>
              <w:spacing w:before="0" w:after="283"/>
              <w:rPr>
                <w:sz w:val="4"/>
                <w:szCs w:val="4"/>
              </w:rPr>
            </w:pPr>
            <w:r>
              <w:rPr>
                <w:sz w:val="4"/>
                <w:szCs w:val="4"/>
              </w:rPr>
            </w:r>
          </w:p>
        </w:tc>
      </w:tr>
      <w:tr>
        <w:trPr/>
        <w:tc>
          <w:tcPr>
            <w:tcW w:w="1520" w:type="dxa"/>
            <w:tcBorders/>
            <w:shd w:fill="auto" w:val="clear"/>
            <w:vAlign w:val="center"/>
          </w:tcPr>
          <w:p>
            <w:pPr>
              <w:pStyle w:val="TableContents"/>
              <w:spacing w:lineRule="atLeast" w:line="240" w:before="0" w:after="0"/>
              <w:rPr>
                <w:rFonts w:ascii="ARIAL" w:hAnsi="ARIAL"/>
                <w:sz w:val="16"/>
              </w:rPr>
            </w:pPr>
            <w:r>
              <w:rPr>
                <w:rFonts w:ascii="ARIAL" w:hAnsi="ARIAL"/>
                <w:sz w:val="16"/>
              </w:rPr>
              <w:t>Wayne T. Smith</w:t>
            </w:r>
          </w:p>
        </w:tc>
        <w:tc>
          <w:tcPr>
            <w:tcW w:w="120"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lineRule="atLeast" w:line="240" w:before="0" w:after="0"/>
              <w:rPr/>
            </w:pPr>
            <w:r>
              <w:rPr/>
              <w:t> </w:t>
            </w:r>
          </w:p>
        </w:tc>
        <w:tc>
          <w:tcPr>
            <w:tcW w:w="1056"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3,672</w:t>
            </w:r>
          </w:p>
        </w:tc>
        <w:tc>
          <w:tcPr>
            <w:tcW w:w="60" w:type="dxa"/>
            <w:tcBorders/>
            <w:shd w:fill="auto" w:val="clear"/>
            <w:vAlign w:val="center"/>
          </w:tcPr>
          <w:p>
            <w:pPr>
              <w:pStyle w:val="TableContents"/>
              <w:spacing w:lineRule="atLeast" w:line="240" w:before="0" w:after="0"/>
              <w:rPr/>
            </w:pPr>
            <w:r>
              <w:rPr/>
              <w:t> </w:t>
            </w:r>
          </w:p>
        </w:tc>
        <w:tc>
          <w:tcPr>
            <w:tcW w:w="120"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lineRule="atLeast" w:line="240" w:before="0" w:after="0"/>
              <w:rPr/>
            </w:pPr>
            <w:r>
              <w:rPr/>
              <w:t> </w:t>
            </w:r>
          </w:p>
        </w:tc>
        <w:tc>
          <w:tcPr>
            <w:tcW w:w="1267"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3,500</w:t>
            </w:r>
          </w:p>
        </w:tc>
        <w:tc>
          <w:tcPr>
            <w:tcW w:w="60" w:type="dxa"/>
            <w:tcBorders/>
            <w:shd w:fill="auto" w:val="clear"/>
            <w:vAlign w:val="center"/>
          </w:tcPr>
          <w:p>
            <w:pPr>
              <w:pStyle w:val="TableContents"/>
              <w:spacing w:lineRule="atLeast" w:line="240" w:before="0" w:after="0"/>
              <w:rPr/>
            </w:pPr>
            <w:r>
              <w:rPr/>
              <w:t> </w:t>
            </w:r>
          </w:p>
        </w:tc>
        <w:tc>
          <w:tcPr>
            <w:tcW w:w="12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lineRule="atLeast" w:line="240" w:before="0" w:after="0"/>
              <w:rPr/>
            </w:pPr>
            <w:r>
              <w:rPr/>
              <w:t> </w:t>
            </w:r>
          </w:p>
        </w:tc>
        <w:tc>
          <w:tcPr>
            <w:tcW w:w="945"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55,571</w:t>
            </w:r>
          </w:p>
        </w:tc>
        <w:tc>
          <w:tcPr>
            <w:tcW w:w="60" w:type="dxa"/>
            <w:tcBorders/>
            <w:shd w:fill="auto" w:val="clear"/>
            <w:vAlign w:val="center"/>
          </w:tcPr>
          <w:p>
            <w:pPr>
              <w:pStyle w:val="TableContents"/>
              <w:spacing w:lineRule="atLeast" w:line="240" w:before="0" w:after="0"/>
              <w:rPr/>
            </w:pPr>
            <w:r>
              <w:rPr/>
              <w:t> </w:t>
            </w:r>
          </w:p>
        </w:tc>
        <w:tc>
          <w:tcPr>
            <w:tcW w:w="120" w:type="dxa"/>
            <w:tcBorders/>
            <w:shd w:fill="auto" w:val="clear"/>
            <w:vAlign w:val="center"/>
          </w:tcPr>
          <w:p>
            <w:pPr>
              <w:pStyle w:val="TableContents"/>
              <w:spacing w:before="0" w:after="283"/>
              <w:rPr/>
            </w:pPr>
            <w:r>
              <w:rPr/>
              <w:t>  </w:t>
            </w:r>
          </w:p>
        </w:tc>
        <w:tc>
          <w:tcPr>
            <w:tcW w:w="97" w:type="dxa"/>
            <w:tcBorders/>
            <w:shd w:fill="auto" w:val="clear"/>
            <w:vAlign w:val="center"/>
          </w:tcPr>
          <w:p>
            <w:pPr>
              <w:pStyle w:val="TableContents"/>
              <w:spacing w:lineRule="atLeast" w:line="240" w:before="0" w:after="0"/>
              <w:rPr/>
            </w:pPr>
            <w:r>
              <w:rPr/>
              <w:t> </w:t>
            </w:r>
          </w:p>
        </w:tc>
        <w:tc>
          <w:tcPr>
            <w:tcW w:w="988"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102,975</w:t>
            </w:r>
          </w:p>
        </w:tc>
        <w:tc>
          <w:tcPr>
            <w:tcW w:w="60" w:type="dxa"/>
            <w:tcBorders/>
            <w:shd w:fill="auto" w:val="clear"/>
            <w:vAlign w:val="center"/>
          </w:tcPr>
          <w:p>
            <w:pPr>
              <w:pStyle w:val="TableContents"/>
              <w:spacing w:lineRule="atLeast" w:line="240" w:before="0" w:after="0"/>
              <w:rPr/>
            </w:pPr>
            <w:r>
              <w:rPr/>
              <w:t> </w:t>
            </w:r>
          </w:p>
        </w:tc>
        <w:tc>
          <w:tcPr>
            <w:tcW w:w="120" w:type="dxa"/>
            <w:tcBorders/>
            <w:shd w:fill="auto" w:val="clear"/>
            <w:vAlign w:val="center"/>
          </w:tcPr>
          <w:p>
            <w:pPr>
              <w:pStyle w:val="TableContents"/>
              <w:spacing w:before="0" w:after="283"/>
              <w:rPr/>
            </w:pPr>
            <w:r>
              <w:rPr/>
              <w:t>  </w:t>
            </w:r>
          </w:p>
        </w:tc>
        <w:tc>
          <w:tcPr>
            <w:tcW w:w="169" w:type="dxa"/>
            <w:tcBorders/>
            <w:shd w:fill="auto" w:val="clear"/>
            <w:vAlign w:val="center"/>
          </w:tcPr>
          <w:p>
            <w:pPr>
              <w:pStyle w:val="TableContents"/>
              <w:spacing w:lineRule="atLeast" w:line="240" w:before="0" w:after="0"/>
              <w:rPr/>
            </w:pPr>
            <w:r>
              <w:rPr/>
              <w:t> </w:t>
            </w:r>
          </w:p>
        </w:tc>
        <w:tc>
          <w:tcPr>
            <w:tcW w:w="1201"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5,156</w:t>
            </w:r>
          </w:p>
        </w:tc>
        <w:tc>
          <w:tcPr>
            <w:tcW w:w="75" w:type="dxa"/>
            <w:tcBorders/>
            <w:shd w:fill="auto" w:val="clear"/>
            <w:vAlign w:val="center"/>
          </w:tcPr>
          <w:p>
            <w:pPr>
              <w:pStyle w:val="TableContents"/>
              <w:spacing w:lineRule="atLeast" w:line="240" w:before="0" w:after="0"/>
              <w:rPr/>
            </w:pPr>
            <w:r>
              <w:rPr/>
              <w:t> </w:t>
            </w:r>
          </w:p>
        </w:tc>
      </w:tr>
      <w:tr>
        <w:trPr/>
        <w:tc>
          <w:tcPr>
            <w:tcW w:w="1520" w:type="dxa"/>
            <w:tcBorders/>
            <w:shd w:fill="CEE8F6" w:val="clear"/>
            <w:vAlign w:val="center"/>
          </w:tcPr>
          <w:p>
            <w:pPr>
              <w:pStyle w:val="TableContents"/>
              <w:spacing w:lineRule="atLeast" w:line="240" w:before="0" w:after="0"/>
              <w:rPr>
                <w:rFonts w:ascii="ARIAL" w:hAnsi="ARIAL"/>
                <w:sz w:val="16"/>
              </w:rPr>
            </w:pPr>
            <w:r>
              <w:rPr>
                <w:rFonts w:ascii="ARIAL" w:hAnsi="ARIAL"/>
                <w:sz w:val="16"/>
              </w:rPr>
              <w:t>Kevin J. Hammons</w:t>
            </w:r>
          </w:p>
        </w:tc>
        <w:tc>
          <w:tcPr>
            <w:tcW w:w="120" w:type="dxa"/>
            <w:tcBorders/>
            <w:shd w:fill="CEE8F6" w:val="clear"/>
            <w:vAlign w:val="center"/>
          </w:tcPr>
          <w:p>
            <w:pPr>
              <w:pStyle w:val="TableContents"/>
              <w:spacing w:before="0" w:after="283"/>
              <w:rPr/>
            </w:pPr>
            <w:r>
              <w:rPr/>
              <w:t>  </w:t>
            </w:r>
          </w:p>
        </w:tc>
        <w:tc>
          <w:tcPr>
            <w:tcW w:w="149" w:type="dxa"/>
            <w:tcBorders/>
            <w:shd w:fill="CEE8F6" w:val="clear"/>
            <w:vAlign w:val="center"/>
          </w:tcPr>
          <w:p>
            <w:pPr>
              <w:pStyle w:val="TableContents"/>
              <w:spacing w:lineRule="atLeast" w:line="240" w:before="0" w:after="0"/>
              <w:rPr/>
            </w:pPr>
            <w:r>
              <w:rPr/>
              <w:t> </w:t>
            </w:r>
          </w:p>
        </w:tc>
        <w:tc>
          <w:tcPr>
            <w:tcW w:w="1056" w:type="dxa"/>
            <w:tcBorders/>
            <w:shd w:fill="CEE8F6" w:val="clear"/>
            <w:vAlign w:val="center"/>
          </w:tcPr>
          <w:p>
            <w:pPr>
              <w:pStyle w:val="TableContents"/>
              <w:spacing w:lineRule="atLeast" w:line="240" w:before="0" w:after="0"/>
              <w:jc w:val="right"/>
              <w:rPr>
                <w:rFonts w:ascii="ARIAL" w:hAnsi="ARIAL"/>
                <w:sz w:val="16"/>
              </w:rPr>
            </w:pPr>
            <w:r>
              <w:rPr>
                <w:rFonts w:ascii="ARIAL" w:hAnsi="ARIAL"/>
                <w:sz w:val="16"/>
              </w:rPr>
              <w:t>4,044</w:t>
            </w:r>
          </w:p>
        </w:tc>
        <w:tc>
          <w:tcPr>
            <w:tcW w:w="60" w:type="dxa"/>
            <w:tcBorders/>
            <w:shd w:fill="CEE8F6" w:val="clear"/>
            <w:vAlign w:val="center"/>
          </w:tcPr>
          <w:p>
            <w:pPr>
              <w:pStyle w:val="TableContents"/>
              <w:spacing w:lineRule="atLeast" w:line="240" w:before="0" w:after="0"/>
              <w:rPr/>
            </w:pPr>
            <w:r>
              <w:rPr/>
              <w:t> </w:t>
            </w:r>
          </w:p>
        </w:tc>
        <w:tc>
          <w:tcPr>
            <w:tcW w:w="120" w:type="dxa"/>
            <w:tcBorders/>
            <w:shd w:fill="CEE8F6" w:val="clear"/>
            <w:vAlign w:val="center"/>
          </w:tcPr>
          <w:p>
            <w:pPr>
              <w:pStyle w:val="TableContents"/>
              <w:spacing w:before="0" w:after="283"/>
              <w:rPr/>
            </w:pPr>
            <w:r>
              <w:rPr/>
              <w:t>  </w:t>
            </w:r>
          </w:p>
        </w:tc>
        <w:tc>
          <w:tcPr>
            <w:tcW w:w="178" w:type="dxa"/>
            <w:tcBorders/>
            <w:shd w:fill="CEE8F6" w:val="clear"/>
            <w:vAlign w:val="center"/>
          </w:tcPr>
          <w:p>
            <w:pPr>
              <w:pStyle w:val="TableContents"/>
              <w:spacing w:lineRule="atLeast" w:line="240" w:before="0" w:after="0"/>
              <w:rPr/>
            </w:pPr>
            <w:r>
              <w:rPr/>
              <w:t> </w:t>
            </w:r>
          </w:p>
        </w:tc>
        <w:tc>
          <w:tcPr>
            <w:tcW w:w="1267" w:type="dxa"/>
            <w:tcBorders/>
            <w:shd w:fill="CEE8F6" w:val="clear"/>
            <w:vAlign w:val="center"/>
          </w:tcPr>
          <w:p>
            <w:pPr>
              <w:pStyle w:val="TableContents"/>
              <w:spacing w:lineRule="atLeast" w:line="240" w:before="0" w:after="0"/>
              <w:jc w:val="right"/>
              <w:rPr>
                <w:rFonts w:ascii="ARIAL" w:hAnsi="ARIAL"/>
                <w:sz w:val="16"/>
              </w:rPr>
            </w:pPr>
            <w:r>
              <w:rPr>
                <w:rFonts w:ascii="ARIAL" w:hAnsi="ARIAL"/>
                <w:sz w:val="16"/>
              </w:rPr>
              <w:t>3,500</w:t>
            </w:r>
          </w:p>
        </w:tc>
        <w:tc>
          <w:tcPr>
            <w:tcW w:w="60" w:type="dxa"/>
            <w:tcBorders/>
            <w:shd w:fill="CEE8F6" w:val="clear"/>
            <w:vAlign w:val="center"/>
          </w:tcPr>
          <w:p>
            <w:pPr>
              <w:pStyle w:val="TableContents"/>
              <w:spacing w:lineRule="atLeast" w:line="240" w:before="0" w:after="0"/>
              <w:rPr/>
            </w:pPr>
            <w:r>
              <w:rPr/>
              <w:t> </w:t>
            </w:r>
          </w:p>
        </w:tc>
        <w:tc>
          <w:tcPr>
            <w:tcW w:w="120" w:type="dxa"/>
            <w:tcBorders/>
            <w:shd w:fill="CEE8F6" w:val="clear"/>
            <w:vAlign w:val="center"/>
          </w:tcPr>
          <w:p>
            <w:pPr>
              <w:pStyle w:val="TableContents"/>
              <w:spacing w:before="0" w:after="283"/>
              <w:rPr/>
            </w:pPr>
            <w:r>
              <w:rPr/>
              <w:t>  </w:t>
            </w:r>
          </w:p>
        </w:tc>
        <w:tc>
          <w:tcPr>
            <w:tcW w:w="110" w:type="dxa"/>
            <w:tcBorders/>
            <w:shd w:fill="CEE8F6" w:val="clear"/>
            <w:vAlign w:val="center"/>
          </w:tcPr>
          <w:p>
            <w:pPr>
              <w:pStyle w:val="TableContents"/>
              <w:spacing w:lineRule="atLeast" w:line="240" w:before="0" w:after="0"/>
              <w:rPr/>
            </w:pPr>
            <w:r>
              <w:rPr/>
              <w:t> </w:t>
            </w:r>
          </w:p>
        </w:tc>
        <w:tc>
          <w:tcPr>
            <w:tcW w:w="945" w:type="dxa"/>
            <w:tcBorders/>
            <w:shd w:fill="CEE8F6" w:val="clear"/>
            <w:vAlign w:val="center"/>
          </w:tcPr>
          <w:p>
            <w:pPr>
              <w:pStyle w:val="TableContents"/>
              <w:spacing w:lineRule="atLeast" w:line="240" w:before="0" w:after="0"/>
              <w:jc w:val="right"/>
              <w:rPr>
                <w:rFonts w:ascii="ARIAL" w:hAnsi="ARIAL"/>
                <w:sz w:val="16"/>
              </w:rPr>
            </w:pPr>
            <w:r>
              <w:rPr>
                <w:rFonts w:ascii="ARIAL" w:hAnsi="ARIAL"/>
                <w:sz w:val="16"/>
              </w:rPr>
              <w:t>10,062</w:t>
            </w:r>
          </w:p>
        </w:tc>
        <w:tc>
          <w:tcPr>
            <w:tcW w:w="60" w:type="dxa"/>
            <w:tcBorders/>
            <w:shd w:fill="CEE8F6" w:val="clear"/>
            <w:vAlign w:val="center"/>
          </w:tcPr>
          <w:p>
            <w:pPr>
              <w:pStyle w:val="TableContents"/>
              <w:spacing w:lineRule="atLeast" w:line="240" w:before="0" w:after="0"/>
              <w:rPr/>
            </w:pPr>
            <w:r>
              <w:rPr/>
              <w:t> </w:t>
            </w:r>
          </w:p>
        </w:tc>
        <w:tc>
          <w:tcPr>
            <w:tcW w:w="120" w:type="dxa"/>
            <w:tcBorders/>
            <w:shd w:fill="CEE8F6" w:val="clear"/>
            <w:vAlign w:val="center"/>
          </w:tcPr>
          <w:p>
            <w:pPr>
              <w:pStyle w:val="TableContents"/>
              <w:spacing w:before="0" w:after="283"/>
              <w:rPr/>
            </w:pPr>
            <w:r>
              <w:rPr/>
              <w:t>  </w:t>
            </w:r>
          </w:p>
        </w:tc>
        <w:tc>
          <w:tcPr>
            <w:tcW w:w="97" w:type="dxa"/>
            <w:tcBorders/>
            <w:shd w:fill="CEE8F6" w:val="clear"/>
            <w:vAlign w:val="center"/>
          </w:tcPr>
          <w:p>
            <w:pPr>
              <w:pStyle w:val="TableContents"/>
              <w:spacing w:lineRule="atLeast" w:line="240" w:before="0" w:after="0"/>
              <w:rPr/>
            </w:pPr>
            <w:r>
              <w:rPr/>
              <w:t> </w:t>
            </w:r>
          </w:p>
        </w:tc>
        <w:tc>
          <w:tcPr>
            <w:tcW w:w="988" w:type="dxa"/>
            <w:tcBorders/>
            <w:shd w:fill="CEE8F6" w:val="clear"/>
            <w:vAlign w:val="center"/>
          </w:tcPr>
          <w:p>
            <w:pPr>
              <w:pStyle w:val="TableContents"/>
              <w:spacing w:lineRule="atLeast" w:line="240" w:before="0" w:after="0"/>
              <w:jc w:val="right"/>
              <w:rPr>
                <w:rFonts w:ascii="ARIAL" w:hAnsi="ARIAL"/>
                <w:sz w:val="16"/>
              </w:rPr>
            </w:pPr>
            <w:r>
              <w:rPr>
                <w:rFonts w:ascii="ARIAL" w:hAnsi="ARIAL"/>
                <w:sz w:val="16"/>
              </w:rPr>
              <w:t>- </w:t>
            </w:r>
          </w:p>
        </w:tc>
        <w:tc>
          <w:tcPr>
            <w:tcW w:w="60" w:type="dxa"/>
            <w:tcBorders/>
            <w:shd w:fill="CEE8F6" w:val="clear"/>
            <w:vAlign w:val="center"/>
          </w:tcPr>
          <w:p>
            <w:pPr>
              <w:pStyle w:val="TableContents"/>
              <w:spacing w:before="0" w:after="283"/>
              <w:rPr>
                <w:sz w:val="4"/>
                <w:szCs w:val="4"/>
              </w:rPr>
            </w:pPr>
            <w:r>
              <w:rPr>
                <w:sz w:val="4"/>
                <w:szCs w:val="4"/>
              </w:rPr>
            </w:r>
          </w:p>
        </w:tc>
        <w:tc>
          <w:tcPr>
            <w:tcW w:w="120" w:type="dxa"/>
            <w:tcBorders/>
            <w:shd w:fill="CEE8F6" w:val="clear"/>
            <w:vAlign w:val="center"/>
          </w:tcPr>
          <w:p>
            <w:pPr>
              <w:pStyle w:val="TableContents"/>
              <w:spacing w:before="0" w:after="283"/>
              <w:rPr/>
            </w:pPr>
            <w:r>
              <w:rPr/>
              <w:t>  </w:t>
            </w:r>
          </w:p>
        </w:tc>
        <w:tc>
          <w:tcPr>
            <w:tcW w:w="169" w:type="dxa"/>
            <w:tcBorders/>
            <w:shd w:fill="CEE8F6" w:val="clear"/>
            <w:vAlign w:val="center"/>
          </w:tcPr>
          <w:p>
            <w:pPr>
              <w:pStyle w:val="TableContents"/>
              <w:spacing w:lineRule="atLeast" w:line="240" w:before="0" w:after="0"/>
              <w:rPr/>
            </w:pPr>
            <w:r>
              <w:rPr/>
              <w:t> </w:t>
            </w:r>
          </w:p>
        </w:tc>
        <w:tc>
          <w:tcPr>
            <w:tcW w:w="1201" w:type="dxa"/>
            <w:tcBorders/>
            <w:shd w:fill="CEE8F6" w:val="clear"/>
            <w:vAlign w:val="center"/>
          </w:tcPr>
          <w:p>
            <w:pPr>
              <w:pStyle w:val="TableContents"/>
              <w:spacing w:lineRule="atLeast" w:line="240" w:before="0" w:after="0"/>
              <w:jc w:val="right"/>
              <w:rPr>
                <w:rFonts w:ascii="ARIAL" w:hAnsi="ARIAL"/>
                <w:sz w:val="16"/>
              </w:rPr>
            </w:pPr>
            <w:r>
              <w:rPr>
                <w:rFonts w:ascii="ARIAL" w:hAnsi="ARIAL"/>
                <w:sz w:val="16"/>
              </w:rPr>
              <w:t>- </w:t>
            </w:r>
          </w:p>
        </w:tc>
        <w:tc>
          <w:tcPr>
            <w:tcW w:w="75" w:type="dxa"/>
            <w:tcBorders/>
            <w:shd w:fill="CEE8F6" w:val="clear"/>
            <w:vAlign w:val="center"/>
          </w:tcPr>
          <w:p>
            <w:pPr>
              <w:pStyle w:val="TableContents"/>
              <w:spacing w:before="0" w:after="283"/>
              <w:rPr>
                <w:sz w:val="4"/>
                <w:szCs w:val="4"/>
              </w:rPr>
            </w:pPr>
            <w:r>
              <w:rPr>
                <w:sz w:val="4"/>
                <w:szCs w:val="4"/>
              </w:rPr>
            </w:r>
          </w:p>
        </w:tc>
      </w:tr>
      <w:tr>
        <w:trPr/>
        <w:tc>
          <w:tcPr>
            <w:tcW w:w="1520" w:type="dxa"/>
            <w:tcBorders/>
            <w:shd w:fill="auto" w:val="clear"/>
            <w:vAlign w:val="center"/>
          </w:tcPr>
          <w:p>
            <w:pPr>
              <w:pStyle w:val="TableContents"/>
              <w:spacing w:lineRule="atLeast" w:line="240" w:before="0" w:after="0"/>
              <w:rPr>
                <w:rFonts w:ascii="ARIAL" w:hAnsi="ARIAL"/>
                <w:sz w:val="16"/>
              </w:rPr>
            </w:pPr>
            <w:r>
              <w:rPr>
                <w:rFonts w:ascii="ARIAL" w:hAnsi="ARIAL"/>
                <w:sz w:val="16"/>
              </w:rPr>
              <w:t>Lynn T. Simon, M.D.</w:t>
            </w:r>
          </w:p>
        </w:tc>
        <w:tc>
          <w:tcPr>
            <w:tcW w:w="120"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lineRule="atLeast" w:line="240" w:before="0" w:after="0"/>
              <w:rPr/>
            </w:pPr>
            <w:r>
              <w:rPr/>
              <w:t> </w:t>
            </w:r>
          </w:p>
        </w:tc>
        <w:tc>
          <w:tcPr>
            <w:tcW w:w="1056"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3,672</w:t>
            </w:r>
          </w:p>
        </w:tc>
        <w:tc>
          <w:tcPr>
            <w:tcW w:w="60" w:type="dxa"/>
            <w:tcBorders/>
            <w:shd w:fill="auto" w:val="clear"/>
            <w:vAlign w:val="center"/>
          </w:tcPr>
          <w:p>
            <w:pPr>
              <w:pStyle w:val="TableContents"/>
              <w:spacing w:lineRule="atLeast" w:line="240" w:before="0" w:after="0"/>
              <w:rPr/>
            </w:pPr>
            <w:r>
              <w:rPr/>
              <w:t> </w:t>
            </w:r>
          </w:p>
        </w:tc>
        <w:tc>
          <w:tcPr>
            <w:tcW w:w="120"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lineRule="atLeast" w:line="240" w:before="0" w:after="0"/>
              <w:rPr/>
            </w:pPr>
            <w:r>
              <w:rPr/>
              <w:t> </w:t>
            </w:r>
          </w:p>
        </w:tc>
        <w:tc>
          <w:tcPr>
            <w:tcW w:w="1267"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3,500</w:t>
            </w:r>
          </w:p>
        </w:tc>
        <w:tc>
          <w:tcPr>
            <w:tcW w:w="60" w:type="dxa"/>
            <w:tcBorders/>
            <w:shd w:fill="auto" w:val="clear"/>
            <w:vAlign w:val="center"/>
          </w:tcPr>
          <w:p>
            <w:pPr>
              <w:pStyle w:val="TableContents"/>
              <w:spacing w:lineRule="atLeast" w:line="240" w:before="0" w:after="0"/>
              <w:rPr/>
            </w:pPr>
            <w:r>
              <w:rPr/>
              <w:t> </w:t>
            </w:r>
          </w:p>
        </w:tc>
        <w:tc>
          <w:tcPr>
            <w:tcW w:w="12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lineRule="atLeast" w:line="240" w:before="0" w:after="0"/>
              <w:rPr/>
            </w:pPr>
            <w:r>
              <w:rPr/>
              <w:t> </w:t>
            </w:r>
          </w:p>
        </w:tc>
        <w:tc>
          <w:tcPr>
            <w:tcW w:w="945"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15,444</w:t>
            </w:r>
          </w:p>
        </w:tc>
        <w:tc>
          <w:tcPr>
            <w:tcW w:w="60" w:type="dxa"/>
            <w:tcBorders/>
            <w:shd w:fill="auto" w:val="clear"/>
            <w:vAlign w:val="center"/>
          </w:tcPr>
          <w:p>
            <w:pPr>
              <w:pStyle w:val="TableContents"/>
              <w:spacing w:lineRule="atLeast" w:line="240" w:before="0" w:after="0"/>
              <w:rPr/>
            </w:pPr>
            <w:r>
              <w:rPr/>
              <w:t> </w:t>
            </w:r>
          </w:p>
        </w:tc>
        <w:tc>
          <w:tcPr>
            <w:tcW w:w="120" w:type="dxa"/>
            <w:tcBorders/>
            <w:shd w:fill="auto" w:val="clear"/>
            <w:vAlign w:val="center"/>
          </w:tcPr>
          <w:p>
            <w:pPr>
              <w:pStyle w:val="TableContents"/>
              <w:spacing w:before="0" w:after="283"/>
              <w:rPr/>
            </w:pPr>
            <w:r>
              <w:rPr/>
              <w:t>  </w:t>
            </w:r>
          </w:p>
        </w:tc>
        <w:tc>
          <w:tcPr>
            <w:tcW w:w="97" w:type="dxa"/>
            <w:tcBorders/>
            <w:shd w:fill="auto" w:val="clear"/>
            <w:vAlign w:val="center"/>
          </w:tcPr>
          <w:p>
            <w:pPr>
              <w:pStyle w:val="TableContents"/>
              <w:spacing w:lineRule="atLeast" w:line="240" w:before="0" w:after="0"/>
              <w:rPr/>
            </w:pPr>
            <w:r>
              <w:rPr/>
              <w:t> </w:t>
            </w:r>
          </w:p>
        </w:tc>
        <w:tc>
          <w:tcPr>
            <w:tcW w:w="988"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 </w:t>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69" w:type="dxa"/>
            <w:tcBorders/>
            <w:shd w:fill="auto" w:val="clear"/>
            <w:vAlign w:val="center"/>
          </w:tcPr>
          <w:p>
            <w:pPr>
              <w:pStyle w:val="TableContents"/>
              <w:spacing w:lineRule="atLeast" w:line="240" w:before="0" w:after="0"/>
              <w:rPr/>
            </w:pPr>
            <w:r>
              <w:rPr/>
              <w:t> </w:t>
            </w:r>
          </w:p>
        </w:tc>
        <w:tc>
          <w:tcPr>
            <w:tcW w:w="1201"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 </w:t>
            </w:r>
          </w:p>
        </w:tc>
        <w:tc>
          <w:tcPr>
            <w:tcW w:w="75" w:type="dxa"/>
            <w:tcBorders/>
            <w:shd w:fill="auto" w:val="clear"/>
            <w:vAlign w:val="center"/>
          </w:tcPr>
          <w:p>
            <w:pPr>
              <w:pStyle w:val="TableContents"/>
              <w:spacing w:before="0" w:after="283"/>
              <w:rPr>
                <w:sz w:val="4"/>
                <w:szCs w:val="4"/>
              </w:rPr>
            </w:pPr>
            <w:r>
              <w:rPr>
                <w:sz w:val="4"/>
                <w:szCs w:val="4"/>
              </w:rPr>
            </w:r>
          </w:p>
        </w:tc>
      </w:tr>
      <w:tr>
        <w:trPr/>
        <w:tc>
          <w:tcPr>
            <w:tcW w:w="1520" w:type="dxa"/>
            <w:tcBorders/>
            <w:shd w:fill="CEE8F6" w:val="clear"/>
            <w:vAlign w:val="center"/>
          </w:tcPr>
          <w:p>
            <w:pPr>
              <w:pStyle w:val="TableContents"/>
              <w:spacing w:lineRule="atLeast" w:line="240" w:before="0" w:after="0"/>
              <w:rPr>
                <w:rFonts w:ascii="ARIAL" w:hAnsi="ARIAL"/>
                <w:sz w:val="16"/>
              </w:rPr>
            </w:pPr>
            <w:r>
              <w:rPr>
                <w:rFonts w:ascii="ARIAL" w:hAnsi="ARIAL"/>
                <w:sz w:val="16"/>
              </w:rPr>
              <w:t>Mark B. Medley</w:t>
            </w:r>
          </w:p>
        </w:tc>
        <w:tc>
          <w:tcPr>
            <w:tcW w:w="120" w:type="dxa"/>
            <w:tcBorders/>
            <w:shd w:fill="CEE8F6" w:val="clear"/>
            <w:vAlign w:val="center"/>
          </w:tcPr>
          <w:p>
            <w:pPr>
              <w:pStyle w:val="TableContents"/>
              <w:spacing w:before="0" w:after="283"/>
              <w:rPr/>
            </w:pPr>
            <w:r>
              <w:rPr/>
              <w:t>  </w:t>
            </w:r>
          </w:p>
        </w:tc>
        <w:tc>
          <w:tcPr>
            <w:tcW w:w="149" w:type="dxa"/>
            <w:tcBorders/>
            <w:shd w:fill="CEE8F6" w:val="clear"/>
            <w:vAlign w:val="center"/>
          </w:tcPr>
          <w:p>
            <w:pPr>
              <w:pStyle w:val="TableContents"/>
              <w:spacing w:lineRule="atLeast" w:line="240" w:before="0" w:after="0"/>
              <w:rPr/>
            </w:pPr>
            <w:r>
              <w:rPr/>
              <w:t> </w:t>
            </w:r>
          </w:p>
        </w:tc>
        <w:tc>
          <w:tcPr>
            <w:tcW w:w="1056" w:type="dxa"/>
            <w:tcBorders/>
            <w:shd w:fill="CEE8F6" w:val="clear"/>
            <w:vAlign w:val="center"/>
          </w:tcPr>
          <w:p>
            <w:pPr>
              <w:pStyle w:val="TableContents"/>
              <w:spacing w:lineRule="atLeast" w:line="240" w:before="0" w:after="0"/>
              <w:jc w:val="right"/>
              <w:rPr>
                <w:rFonts w:ascii="ARIAL" w:hAnsi="ARIAL"/>
                <w:sz w:val="16"/>
              </w:rPr>
            </w:pPr>
            <w:r>
              <w:rPr>
                <w:rFonts w:ascii="ARIAL" w:hAnsi="ARIAL"/>
                <w:sz w:val="16"/>
              </w:rPr>
              <w:t>4,036</w:t>
            </w:r>
          </w:p>
        </w:tc>
        <w:tc>
          <w:tcPr>
            <w:tcW w:w="60" w:type="dxa"/>
            <w:tcBorders/>
            <w:shd w:fill="CEE8F6" w:val="clear"/>
            <w:vAlign w:val="center"/>
          </w:tcPr>
          <w:p>
            <w:pPr>
              <w:pStyle w:val="TableContents"/>
              <w:spacing w:lineRule="atLeast" w:line="240" w:before="0" w:after="0"/>
              <w:rPr/>
            </w:pPr>
            <w:r>
              <w:rPr/>
              <w:t> </w:t>
            </w:r>
          </w:p>
        </w:tc>
        <w:tc>
          <w:tcPr>
            <w:tcW w:w="120" w:type="dxa"/>
            <w:tcBorders/>
            <w:shd w:fill="CEE8F6" w:val="clear"/>
            <w:vAlign w:val="center"/>
          </w:tcPr>
          <w:p>
            <w:pPr>
              <w:pStyle w:val="TableContents"/>
              <w:spacing w:before="0" w:after="283"/>
              <w:rPr/>
            </w:pPr>
            <w:r>
              <w:rPr/>
              <w:t>  </w:t>
            </w:r>
          </w:p>
        </w:tc>
        <w:tc>
          <w:tcPr>
            <w:tcW w:w="178" w:type="dxa"/>
            <w:tcBorders/>
            <w:shd w:fill="CEE8F6" w:val="clear"/>
            <w:vAlign w:val="center"/>
          </w:tcPr>
          <w:p>
            <w:pPr>
              <w:pStyle w:val="TableContents"/>
              <w:spacing w:lineRule="atLeast" w:line="240" w:before="0" w:after="0"/>
              <w:rPr/>
            </w:pPr>
            <w:r>
              <w:rPr/>
              <w:t> </w:t>
            </w:r>
          </w:p>
        </w:tc>
        <w:tc>
          <w:tcPr>
            <w:tcW w:w="1267" w:type="dxa"/>
            <w:tcBorders/>
            <w:shd w:fill="CEE8F6" w:val="clear"/>
            <w:vAlign w:val="center"/>
          </w:tcPr>
          <w:p>
            <w:pPr>
              <w:pStyle w:val="TableContents"/>
              <w:spacing w:lineRule="atLeast" w:line="240" w:before="0" w:after="0"/>
              <w:jc w:val="right"/>
              <w:rPr>
                <w:rFonts w:ascii="ARIAL" w:hAnsi="ARIAL"/>
                <w:sz w:val="16"/>
              </w:rPr>
            </w:pPr>
            <w:r>
              <w:rPr>
                <w:rFonts w:ascii="ARIAL" w:hAnsi="ARIAL"/>
                <w:sz w:val="16"/>
              </w:rPr>
              <w:t>2,908</w:t>
            </w:r>
          </w:p>
        </w:tc>
        <w:tc>
          <w:tcPr>
            <w:tcW w:w="60" w:type="dxa"/>
            <w:tcBorders/>
            <w:shd w:fill="CEE8F6" w:val="clear"/>
            <w:vAlign w:val="center"/>
          </w:tcPr>
          <w:p>
            <w:pPr>
              <w:pStyle w:val="TableContents"/>
              <w:spacing w:lineRule="atLeast" w:line="240" w:before="0" w:after="0"/>
              <w:rPr/>
            </w:pPr>
            <w:r>
              <w:rPr/>
              <w:t> </w:t>
            </w:r>
          </w:p>
        </w:tc>
        <w:tc>
          <w:tcPr>
            <w:tcW w:w="120" w:type="dxa"/>
            <w:tcBorders/>
            <w:shd w:fill="CEE8F6" w:val="clear"/>
            <w:vAlign w:val="center"/>
          </w:tcPr>
          <w:p>
            <w:pPr>
              <w:pStyle w:val="TableContents"/>
              <w:spacing w:before="0" w:after="283"/>
              <w:rPr/>
            </w:pPr>
            <w:r>
              <w:rPr/>
              <w:t>  </w:t>
            </w:r>
          </w:p>
        </w:tc>
        <w:tc>
          <w:tcPr>
            <w:tcW w:w="110" w:type="dxa"/>
            <w:tcBorders/>
            <w:shd w:fill="CEE8F6" w:val="clear"/>
            <w:vAlign w:val="center"/>
          </w:tcPr>
          <w:p>
            <w:pPr>
              <w:pStyle w:val="TableContents"/>
              <w:spacing w:lineRule="atLeast" w:line="240" w:before="0" w:after="0"/>
              <w:rPr/>
            </w:pPr>
            <w:r>
              <w:rPr/>
              <w:t> </w:t>
            </w:r>
          </w:p>
        </w:tc>
        <w:tc>
          <w:tcPr>
            <w:tcW w:w="945" w:type="dxa"/>
            <w:tcBorders/>
            <w:shd w:fill="CEE8F6" w:val="clear"/>
            <w:vAlign w:val="center"/>
          </w:tcPr>
          <w:p>
            <w:pPr>
              <w:pStyle w:val="TableContents"/>
              <w:spacing w:lineRule="atLeast" w:line="240" w:before="0" w:after="0"/>
              <w:jc w:val="right"/>
              <w:rPr>
                <w:rFonts w:ascii="ARIAL" w:hAnsi="ARIAL"/>
                <w:sz w:val="16"/>
              </w:rPr>
            </w:pPr>
            <w:r>
              <w:rPr>
                <w:rFonts w:ascii="ARIAL" w:hAnsi="ARIAL"/>
                <w:sz w:val="16"/>
              </w:rPr>
              <w:t>10,062</w:t>
            </w:r>
          </w:p>
        </w:tc>
        <w:tc>
          <w:tcPr>
            <w:tcW w:w="60" w:type="dxa"/>
            <w:tcBorders/>
            <w:shd w:fill="CEE8F6" w:val="clear"/>
            <w:vAlign w:val="center"/>
          </w:tcPr>
          <w:p>
            <w:pPr>
              <w:pStyle w:val="TableContents"/>
              <w:spacing w:lineRule="atLeast" w:line="240" w:before="0" w:after="0"/>
              <w:rPr/>
            </w:pPr>
            <w:r>
              <w:rPr/>
              <w:t> </w:t>
            </w:r>
          </w:p>
        </w:tc>
        <w:tc>
          <w:tcPr>
            <w:tcW w:w="120" w:type="dxa"/>
            <w:tcBorders/>
            <w:shd w:fill="CEE8F6" w:val="clear"/>
            <w:vAlign w:val="center"/>
          </w:tcPr>
          <w:p>
            <w:pPr>
              <w:pStyle w:val="TableContents"/>
              <w:spacing w:before="0" w:after="283"/>
              <w:rPr/>
            </w:pPr>
            <w:r>
              <w:rPr/>
              <w:t>  </w:t>
            </w:r>
          </w:p>
        </w:tc>
        <w:tc>
          <w:tcPr>
            <w:tcW w:w="97" w:type="dxa"/>
            <w:tcBorders/>
            <w:shd w:fill="CEE8F6" w:val="clear"/>
            <w:vAlign w:val="center"/>
          </w:tcPr>
          <w:p>
            <w:pPr>
              <w:pStyle w:val="TableContents"/>
              <w:spacing w:lineRule="atLeast" w:line="240" w:before="0" w:after="0"/>
              <w:rPr/>
            </w:pPr>
            <w:r>
              <w:rPr/>
              <w:t> </w:t>
            </w:r>
          </w:p>
        </w:tc>
        <w:tc>
          <w:tcPr>
            <w:tcW w:w="988" w:type="dxa"/>
            <w:tcBorders/>
            <w:shd w:fill="CEE8F6" w:val="clear"/>
            <w:vAlign w:val="center"/>
          </w:tcPr>
          <w:p>
            <w:pPr>
              <w:pStyle w:val="TableContents"/>
              <w:spacing w:lineRule="atLeast" w:line="240" w:before="0" w:after="0"/>
              <w:jc w:val="right"/>
              <w:rPr>
                <w:rFonts w:ascii="ARIAL" w:hAnsi="ARIAL"/>
                <w:sz w:val="16"/>
              </w:rPr>
            </w:pPr>
            <w:r>
              <w:rPr>
                <w:rFonts w:ascii="ARIAL" w:hAnsi="ARIAL"/>
                <w:sz w:val="16"/>
              </w:rPr>
              <w:t>- </w:t>
            </w:r>
          </w:p>
        </w:tc>
        <w:tc>
          <w:tcPr>
            <w:tcW w:w="60" w:type="dxa"/>
            <w:tcBorders/>
            <w:shd w:fill="CEE8F6" w:val="clear"/>
            <w:vAlign w:val="center"/>
          </w:tcPr>
          <w:p>
            <w:pPr>
              <w:pStyle w:val="TableContents"/>
              <w:spacing w:before="0" w:after="283"/>
              <w:rPr>
                <w:sz w:val="4"/>
                <w:szCs w:val="4"/>
              </w:rPr>
            </w:pPr>
            <w:r>
              <w:rPr>
                <w:sz w:val="4"/>
                <w:szCs w:val="4"/>
              </w:rPr>
            </w:r>
          </w:p>
        </w:tc>
        <w:tc>
          <w:tcPr>
            <w:tcW w:w="120" w:type="dxa"/>
            <w:tcBorders/>
            <w:shd w:fill="CEE8F6" w:val="clear"/>
            <w:vAlign w:val="center"/>
          </w:tcPr>
          <w:p>
            <w:pPr>
              <w:pStyle w:val="TableContents"/>
              <w:spacing w:before="0" w:after="283"/>
              <w:rPr/>
            </w:pPr>
            <w:r>
              <w:rPr/>
              <w:t>  </w:t>
            </w:r>
          </w:p>
        </w:tc>
        <w:tc>
          <w:tcPr>
            <w:tcW w:w="169" w:type="dxa"/>
            <w:tcBorders/>
            <w:shd w:fill="CEE8F6" w:val="clear"/>
            <w:vAlign w:val="center"/>
          </w:tcPr>
          <w:p>
            <w:pPr>
              <w:pStyle w:val="TableContents"/>
              <w:spacing w:lineRule="atLeast" w:line="240" w:before="0" w:after="0"/>
              <w:rPr/>
            </w:pPr>
            <w:r>
              <w:rPr/>
              <w:t> </w:t>
            </w:r>
          </w:p>
        </w:tc>
        <w:tc>
          <w:tcPr>
            <w:tcW w:w="1201" w:type="dxa"/>
            <w:tcBorders/>
            <w:shd w:fill="CEE8F6" w:val="clear"/>
            <w:vAlign w:val="center"/>
          </w:tcPr>
          <w:p>
            <w:pPr>
              <w:pStyle w:val="TableContents"/>
              <w:spacing w:lineRule="atLeast" w:line="240" w:before="0" w:after="0"/>
              <w:jc w:val="right"/>
              <w:rPr>
                <w:rFonts w:ascii="ARIAL" w:hAnsi="ARIAL"/>
                <w:sz w:val="16"/>
              </w:rPr>
            </w:pPr>
            <w:r>
              <w:rPr>
                <w:rFonts w:ascii="ARIAL" w:hAnsi="ARIAL"/>
                <w:sz w:val="16"/>
              </w:rPr>
              <w:t>- </w:t>
            </w:r>
          </w:p>
        </w:tc>
        <w:tc>
          <w:tcPr>
            <w:tcW w:w="75" w:type="dxa"/>
            <w:tcBorders/>
            <w:shd w:fill="CEE8F6" w:val="clear"/>
            <w:vAlign w:val="center"/>
          </w:tcPr>
          <w:p>
            <w:pPr>
              <w:pStyle w:val="TableContents"/>
              <w:spacing w:before="0" w:after="283"/>
              <w:rPr>
                <w:sz w:val="4"/>
                <w:szCs w:val="4"/>
              </w:rPr>
            </w:pPr>
            <w:r>
              <w:rPr>
                <w:sz w:val="4"/>
                <w:szCs w:val="4"/>
              </w:rPr>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85"/>
        <w:gridCol w:w="9920"/>
      </w:tblGrid>
      <w:tr>
        <w:trPr/>
        <w:tc>
          <w:tcPr>
            <w:tcW w:w="285" w:type="dxa"/>
            <w:tcBorders/>
            <w:shd w:fill="auto" w:val="clear"/>
            <w:vAlign w:val="center"/>
          </w:tcPr>
          <w:p>
            <w:pPr>
              <w:pStyle w:val="TableContents"/>
              <w:spacing w:before="0" w:after="283"/>
              <w:jc w:val="left"/>
              <w:rPr/>
            </w:pPr>
            <w:r>
              <w:rPr/>
              <w:t>(6)</w:t>
            </w:r>
          </w:p>
        </w:tc>
        <w:tc>
          <w:tcPr>
            <w:tcW w:w="9920" w:type="dxa"/>
            <w:tcBorders/>
            <w:shd w:fill="auto" w:val="clear"/>
            <w:vAlign w:val="center"/>
          </w:tcPr>
          <w:p>
            <w:pPr>
              <w:pStyle w:val="TableContents"/>
              <w:spacing w:before="0" w:after="0"/>
              <w:jc w:val="left"/>
              <w:rPr>
                <w:rFonts w:ascii="ARIAL" w:hAnsi="ARIAL"/>
                <w:sz w:val="20"/>
              </w:rPr>
            </w:pPr>
            <w:r>
              <w:rPr>
                <w:rFonts w:ascii="ARIAL" w:hAnsi="ARIAL"/>
                <w:sz w:val="20"/>
              </w:rPr>
              <w:t xml:space="preserve">Compensation information for Mr. Medley is not provided for 2021 and 2020 since Mr. Medley was not a named executive officer during those years. </w:t>
            </w:r>
          </w:p>
        </w:tc>
      </w:tr>
    </w:tbl>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65 </w:t>
      </w:r>
      <w:r>
        <w:br w:type="page"/>
      </w:r>
    </w:p>
    <w:p>
      <w:pPr>
        <w:pStyle w:val="HorizontalLine"/>
        <w:rPr/>
      </w:pPr>
      <w:r>
        <w:rPr/>
      </w:r>
    </w:p>
    <w:p>
      <w:pPr>
        <w:pStyle w:val="TextBody"/>
        <w:spacing w:before="0" w:after="0"/>
        <w:jc w:val="left"/>
        <w:rPr>
          <w:rFonts w:ascii="ARIAL" w:hAnsi="ARIAL"/>
          <w:b/>
          <w:sz w:val="20"/>
        </w:rPr>
      </w:pPr>
      <w:bookmarkStart w:id="19" w:name="toc360141_17"/>
      <w:bookmarkEnd w:id="19"/>
      <w:r>
        <w:rPr>
          <w:rFonts w:ascii="ARIAL" w:hAnsi="ARIAL"/>
          <w:b/>
          <w:sz w:val="20"/>
        </w:rPr>
        <w:t xml:space="preserve">Grants of Plan-Based Awards </w:t>
      </w:r>
    </w:p>
    <w:p>
      <w:pPr>
        <w:pStyle w:val="TextBody"/>
        <w:spacing w:before="240" w:after="0"/>
        <w:jc w:val="left"/>
        <w:rPr>
          <w:rFonts w:ascii="ARIAL" w:hAnsi="ARIAL"/>
          <w:sz w:val="20"/>
        </w:rPr>
      </w:pPr>
      <w:r>
        <w:rPr>
          <w:rFonts w:ascii="ARIAL" w:hAnsi="ARIAL"/>
          <w:sz w:val="20"/>
        </w:rPr>
        <w:t xml:space="preserve">The following table sets forth information regarding restricted stock awards granted under the 2009 Plan, including the grant date fair value of these awards, and the range of potential cash incentive payments under the 2019 Employee Performance Incentive Plan, for the named executive officers for the year ended December 31, 2022. There can be no assurance that the grant date fair value of stock awards will ever be realized. </w:t>
      </w:r>
    </w:p>
    <w:p>
      <w:pPr>
        <w:pStyle w:val="TextBody"/>
        <w:spacing w:before="0" w:after="0"/>
        <w:jc w:val="left"/>
        <w:rPr/>
      </w:pPr>
      <w:r>
        <w:rPr/>
        <w:t> </w:t>
      </w:r>
    </w:p>
    <w:tbl>
      <w:tblPr>
        <w:tblW w:w="11540" w:type="dxa"/>
        <w:jc w:val="left"/>
        <w:tblInd w:w="0" w:type="dxa"/>
        <w:tblCellMar>
          <w:top w:w="0" w:type="dxa"/>
          <w:left w:w="0" w:type="dxa"/>
          <w:bottom w:w="0" w:type="dxa"/>
          <w:right w:w="0" w:type="dxa"/>
        </w:tblCellMar>
      </w:tblPr>
      <w:tblGrid>
        <w:gridCol w:w="1295"/>
        <w:gridCol w:w="60"/>
        <w:gridCol w:w="60"/>
        <w:gridCol w:w="500"/>
        <w:gridCol w:w="215"/>
        <w:gridCol w:w="60"/>
        <w:gridCol w:w="590"/>
        <w:gridCol w:w="60"/>
        <w:gridCol w:w="60"/>
        <w:gridCol w:w="980"/>
        <w:gridCol w:w="60"/>
        <w:gridCol w:w="60"/>
        <w:gridCol w:w="60"/>
        <w:gridCol w:w="980"/>
        <w:gridCol w:w="60"/>
        <w:gridCol w:w="60"/>
        <w:gridCol w:w="30"/>
        <w:gridCol w:w="30"/>
        <w:gridCol w:w="60"/>
        <w:gridCol w:w="60"/>
        <w:gridCol w:w="590"/>
        <w:gridCol w:w="60"/>
        <w:gridCol w:w="800"/>
        <w:gridCol w:w="60"/>
        <w:gridCol w:w="800"/>
        <w:gridCol w:w="60"/>
        <w:gridCol w:w="30"/>
        <w:gridCol w:w="30"/>
        <w:gridCol w:w="60"/>
        <w:gridCol w:w="60"/>
        <w:gridCol w:w="830"/>
        <w:gridCol w:w="60"/>
        <w:gridCol w:w="905"/>
        <w:gridCol w:w="60"/>
        <w:gridCol w:w="620"/>
        <w:gridCol w:w="60"/>
        <w:gridCol w:w="60"/>
        <w:gridCol w:w="980"/>
        <w:gridCol w:w="75"/>
      </w:tblGrid>
      <w:tr>
        <w:trPr/>
        <w:tc>
          <w:tcPr>
            <w:tcW w:w="12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0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295" w:type="dxa"/>
            <w:vMerge w:val="restart"/>
            <w:tcBorders/>
            <w:shd w:fill="auto" w:val="clear"/>
            <w:vAlign w:val="center"/>
          </w:tcPr>
          <w:p>
            <w:pPr>
              <w:pStyle w:val="TableContents"/>
              <w:spacing w:before="0" w:after="0"/>
              <w:rPr>
                <w:rFonts w:ascii="ARIAL" w:hAnsi="ARIAL"/>
                <w:b/>
                <w:sz w:val="12"/>
              </w:rPr>
            </w:pPr>
            <w:r>
              <w:rPr>
                <w:rFonts w:ascii="ARIAL" w:hAnsi="ARIAL"/>
                <w:b/>
                <w:sz w:val="12"/>
              </w:rPr>
              <w:t>Name</w:t>
            </w:r>
          </w:p>
          <w:p>
            <w:pPr>
              <w:pStyle w:val="TableContents"/>
              <w:spacing w:before="0" w:after="20"/>
              <w:rPr/>
            </w:pPr>
            <w:r>
              <w:rPr/>
              <w:t> </w:t>
            </w:r>
          </w:p>
        </w:tc>
        <w:tc>
          <w:tcPr>
            <w:tcW w:w="60" w:type="dxa"/>
            <w:vMerge w:val="restart"/>
            <w:tcBorders/>
            <w:shd w:fill="auto" w:val="clear"/>
            <w:vAlign w:val="center"/>
          </w:tcPr>
          <w:p>
            <w:pPr>
              <w:pStyle w:val="TableContents"/>
              <w:spacing w:before="0" w:after="283"/>
              <w:rPr/>
            </w:pPr>
            <w:r>
              <w:rPr/>
              <w:t> </w:t>
            </w:r>
          </w:p>
        </w:tc>
        <w:tc>
          <w:tcPr>
            <w:tcW w:w="560" w:type="dxa"/>
            <w:gridSpan w:val="2"/>
            <w:vMerge w:val="restart"/>
            <w:tcBorders/>
            <w:shd w:fill="auto" w:val="clear"/>
            <w:vAlign w:val="center"/>
          </w:tcPr>
          <w:p>
            <w:pPr>
              <w:pStyle w:val="TableContents"/>
              <w:spacing w:before="0" w:after="0"/>
              <w:jc w:val="center"/>
              <w:rPr>
                <w:rFonts w:ascii="ARIAL" w:hAnsi="ARIAL"/>
                <w:b/>
                <w:sz w:val="12"/>
              </w:rPr>
            </w:pPr>
            <w:r>
              <w:rPr>
                <w:rFonts w:ascii="ARIAL" w:hAnsi="ARIAL"/>
                <w:b/>
                <w:sz w:val="12"/>
              </w:rPr>
              <w:t>Grant</w:t>
              <w:br/>
              <w:t>Date</w:t>
            </w:r>
          </w:p>
          <w:p>
            <w:pPr>
              <w:pStyle w:val="TableContents"/>
              <w:spacing w:before="0" w:after="20"/>
              <w:jc w:val="left"/>
              <w:rPr/>
            </w:pPr>
            <w:r>
              <w:rPr/>
              <w:t> </w:t>
            </w:r>
          </w:p>
        </w:tc>
        <w:tc>
          <w:tcPr>
            <w:tcW w:w="215" w:type="dxa"/>
            <w:vMerge w:val="restart"/>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850" w:type="dxa"/>
            <w:gridSpan w:val="8"/>
            <w:tcBorders>
              <w:bottom w:val="single" w:sz="2" w:space="0" w:color="000000"/>
            </w:tcBorders>
            <w:shd w:fill="auto" w:val="clear"/>
            <w:tcMar>
              <w:bottom w:w="28" w:type="dxa"/>
            </w:tcMar>
            <w:vAlign w:val="center"/>
          </w:tcPr>
          <w:p>
            <w:pPr>
              <w:pStyle w:val="TableContents"/>
              <w:spacing w:before="0" w:after="283"/>
              <w:jc w:val="center"/>
              <w:rPr/>
            </w:pPr>
            <w:r>
              <w:rPr>
                <w:b/>
              </w:rPr>
              <w:t>Estimated Future Payouts Under</w:t>
              <w:br/>
              <w:t>Non-Equity</w:t>
            </w:r>
            <w:r>
              <w:rPr/>
              <w:br/>
            </w:r>
            <w:r>
              <w:rPr>
                <w:b/>
              </w:rPr>
              <w:t>Incentive Plan Awards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10" w:type="dxa"/>
            <w:gridSpan w:val="5"/>
            <w:tcBorders>
              <w:bottom w:val="single" w:sz="2" w:space="0" w:color="000000"/>
            </w:tcBorders>
            <w:shd w:fill="auto" w:val="clear"/>
            <w:tcMar>
              <w:bottom w:w="28" w:type="dxa"/>
            </w:tcMar>
            <w:vAlign w:val="center"/>
          </w:tcPr>
          <w:p>
            <w:pPr>
              <w:pStyle w:val="TableContents"/>
              <w:spacing w:before="0" w:after="283"/>
              <w:jc w:val="center"/>
              <w:rPr/>
            </w:pPr>
            <w:r>
              <w:rPr>
                <w:b/>
              </w:rPr>
              <w:t>Estimated Future Payouts</w:t>
              <w:br/>
              <w:t>Under Equity</w:t>
            </w:r>
            <w:r>
              <w:rPr/>
              <w:br/>
            </w:r>
            <w:r>
              <w:rPr>
                <w:b/>
              </w:rPr>
              <w:t>Incentive Plan Awards</w:t>
            </w:r>
          </w:p>
        </w:tc>
        <w:tc>
          <w:tcPr>
            <w:tcW w:w="60" w:type="dxa"/>
            <w:tcBorders/>
            <w:shd w:fill="auto" w:val="clear"/>
            <w:vAlign w:val="center"/>
          </w:tcPr>
          <w:p>
            <w:pPr>
              <w:pStyle w:val="TableContents"/>
              <w:spacing w:before="0" w:after="283"/>
              <w:rPr/>
            </w:pPr>
            <w:r>
              <w:rPr/>
              <w:t> </w:t>
            </w:r>
          </w:p>
        </w:tc>
        <w:tc>
          <w:tcPr>
            <w:tcW w:w="60"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vMerge w:val="restart"/>
            <w:tcBorders/>
            <w:shd w:fill="auto" w:val="clear"/>
            <w:vAlign w:val="center"/>
          </w:tcPr>
          <w:p>
            <w:pPr>
              <w:pStyle w:val="TableContents"/>
              <w:spacing w:before="0" w:after="283"/>
              <w:rPr/>
            </w:pPr>
            <w:r>
              <w:rPr/>
              <w:t> </w:t>
            </w:r>
          </w:p>
        </w:tc>
        <w:tc>
          <w:tcPr>
            <w:tcW w:w="830" w:type="dxa"/>
            <w:vMerge w:val="restart"/>
            <w:tcBorders/>
            <w:shd w:fill="auto" w:val="clear"/>
            <w:vAlign w:val="center"/>
          </w:tcPr>
          <w:p>
            <w:pPr>
              <w:pStyle w:val="TableContents"/>
              <w:spacing w:before="0" w:after="0"/>
              <w:jc w:val="center"/>
              <w:rPr>
                <w:rFonts w:ascii="ARIAL" w:hAnsi="ARIAL"/>
                <w:b/>
                <w:sz w:val="12"/>
              </w:rPr>
            </w:pPr>
            <w:r>
              <w:rPr>
                <w:rFonts w:ascii="ARIAL" w:hAnsi="ARIAL"/>
                <w:b/>
                <w:sz w:val="12"/>
              </w:rPr>
              <w:t>All Other</w:t>
              <w:br/>
              <w:t>Stock Awards:</w:t>
              <w:br/>
              <w:t>Number of</w:t>
            </w:r>
          </w:p>
          <w:p>
            <w:pPr>
              <w:pStyle w:val="TableContents"/>
              <w:spacing w:before="0" w:after="0"/>
              <w:jc w:val="center"/>
              <w:rPr>
                <w:rFonts w:ascii="ARIAL" w:hAnsi="ARIAL"/>
                <w:b/>
                <w:sz w:val="12"/>
              </w:rPr>
            </w:pPr>
            <w:r>
              <w:rPr>
                <w:rFonts w:ascii="ARIAL" w:hAnsi="ARIAL"/>
                <w:b/>
                <w:sz w:val="12"/>
              </w:rPr>
              <w:t>Shares of</w:t>
              <w:br/>
              <w:t>Stock or Units</w:t>
              <w:br/>
              <w:t>(#)</w:t>
            </w:r>
          </w:p>
          <w:p>
            <w:pPr>
              <w:pStyle w:val="TableContents"/>
              <w:spacing w:before="0" w:after="20"/>
              <w:jc w:val="left"/>
              <w:rPr/>
            </w:pPr>
            <w:r>
              <w:rPr/>
              <w:t> </w:t>
            </w:r>
          </w:p>
        </w:tc>
        <w:tc>
          <w:tcPr>
            <w:tcW w:w="60" w:type="dxa"/>
            <w:vMerge w:val="restart"/>
            <w:tcBorders/>
            <w:shd w:fill="auto" w:val="clear"/>
            <w:vAlign w:val="center"/>
          </w:tcPr>
          <w:p>
            <w:pPr>
              <w:pStyle w:val="TableContents"/>
              <w:spacing w:before="0" w:after="283"/>
              <w:rPr/>
            </w:pPr>
            <w:r>
              <w:rPr/>
              <w:t> </w:t>
            </w:r>
          </w:p>
        </w:tc>
        <w:tc>
          <w:tcPr>
            <w:tcW w:w="905" w:type="dxa"/>
            <w:vMerge w:val="restart"/>
            <w:tcBorders/>
            <w:shd w:fill="auto" w:val="clear"/>
            <w:vAlign w:val="center"/>
          </w:tcPr>
          <w:p>
            <w:pPr>
              <w:pStyle w:val="TableContents"/>
              <w:spacing w:before="0" w:after="0"/>
              <w:jc w:val="center"/>
              <w:rPr>
                <w:rFonts w:ascii="ARIAL" w:hAnsi="ARIAL"/>
                <w:b/>
                <w:sz w:val="12"/>
              </w:rPr>
            </w:pPr>
            <w:r>
              <w:rPr>
                <w:rFonts w:ascii="ARIAL" w:hAnsi="ARIAL"/>
                <w:b/>
                <w:sz w:val="12"/>
              </w:rPr>
              <w:t>All Other</w:t>
              <w:br/>
              <w:t>Option Awards:</w:t>
              <w:br/>
              <w:t>Number of</w:t>
            </w:r>
          </w:p>
          <w:p>
            <w:pPr>
              <w:pStyle w:val="TableContents"/>
              <w:spacing w:before="0" w:after="0"/>
              <w:jc w:val="center"/>
              <w:rPr>
                <w:rFonts w:ascii="ARIAL" w:hAnsi="ARIAL"/>
                <w:b/>
                <w:sz w:val="12"/>
              </w:rPr>
            </w:pPr>
            <w:r>
              <w:rPr>
                <w:rFonts w:ascii="ARIAL" w:hAnsi="ARIAL"/>
                <w:b/>
                <w:sz w:val="12"/>
              </w:rPr>
              <w:t>Securities</w:t>
              <w:br/>
              <w:t>Underlying</w:t>
              <w:br/>
              <w:t>Options</w:t>
            </w:r>
          </w:p>
          <w:p>
            <w:pPr>
              <w:pStyle w:val="TableContents"/>
              <w:spacing w:before="0" w:after="0"/>
              <w:jc w:val="center"/>
              <w:rPr>
                <w:rFonts w:ascii="ARIAL" w:hAnsi="ARIAL"/>
                <w:b/>
                <w:sz w:val="12"/>
              </w:rPr>
            </w:pPr>
            <w:r>
              <w:rPr>
                <w:rFonts w:ascii="ARIAL" w:hAnsi="ARIAL"/>
                <w:b/>
                <w:sz w:val="12"/>
              </w:rPr>
              <w:t>(#)</w:t>
            </w:r>
          </w:p>
          <w:p>
            <w:pPr>
              <w:pStyle w:val="TableContents"/>
              <w:spacing w:before="0" w:after="20"/>
              <w:jc w:val="left"/>
              <w:rPr/>
            </w:pPr>
            <w:r>
              <w:rPr/>
              <w:t> </w:t>
            </w:r>
          </w:p>
        </w:tc>
        <w:tc>
          <w:tcPr>
            <w:tcW w:w="60" w:type="dxa"/>
            <w:vMerge w:val="restart"/>
            <w:tcBorders/>
            <w:shd w:fill="auto" w:val="clear"/>
            <w:vAlign w:val="center"/>
          </w:tcPr>
          <w:p>
            <w:pPr>
              <w:pStyle w:val="TableContents"/>
              <w:spacing w:before="0" w:after="283"/>
              <w:rPr/>
            </w:pPr>
            <w:r>
              <w:rPr/>
              <w:t> </w:t>
            </w:r>
          </w:p>
        </w:tc>
        <w:tc>
          <w:tcPr>
            <w:tcW w:w="620" w:type="dxa"/>
            <w:vMerge w:val="restart"/>
            <w:tcBorders/>
            <w:shd w:fill="auto" w:val="clear"/>
            <w:vAlign w:val="center"/>
          </w:tcPr>
          <w:p>
            <w:pPr>
              <w:pStyle w:val="TableContents"/>
              <w:spacing w:before="0" w:after="0"/>
              <w:jc w:val="center"/>
              <w:rPr>
                <w:rFonts w:ascii="ARIAL" w:hAnsi="ARIAL"/>
                <w:b/>
                <w:sz w:val="12"/>
              </w:rPr>
            </w:pPr>
            <w:r>
              <w:rPr>
                <w:rFonts w:ascii="ARIAL" w:hAnsi="ARIAL"/>
                <w:b/>
                <w:sz w:val="12"/>
              </w:rPr>
              <w:t>Exercise or</w:t>
              <w:br/>
              <w:t>Base Price</w:t>
              <w:br/>
              <w:t>of Option</w:t>
            </w:r>
          </w:p>
          <w:p>
            <w:pPr>
              <w:pStyle w:val="TableContents"/>
              <w:spacing w:before="0" w:after="0"/>
              <w:jc w:val="center"/>
              <w:rPr>
                <w:rFonts w:ascii="ARIAL" w:hAnsi="ARIAL"/>
                <w:b/>
                <w:sz w:val="12"/>
              </w:rPr>
            </w:pPr>
            <w:r>
              <w:rPr>
                <w:rFonts w:ascii="ARIAL" w:hAnsi="ARIAL"/>
                <w:b/>
                <w:sz w:val="12"/>
              </w:rPr>
              <w:t>Awards</w:t>
              <w:br/>
              <w:t>Per Share</w:t>
              <w:br/>
              <w:t>($)</w:t>
            </w:r>
          </w:p>
          <w:p>
            <w:pPr>
              <w:pStyle w:val="TableContents"/>
              <w:spacing w:before="0" w:after="20"/>
              <w:jc w:val="left"/>
              <w:rPr/>
            </w:pPr>
            <w:r>
              <w:rPr/>
              <w:t> </w:t>
            </w:r>
          </w:p>
        </w:tc>
        <w:tc>
          <w:tcPr>
            <w:tcW w:w="60" w:type="dxa"/>
            <w:vMerge w:val="restart"/>
            <w:tcBorders/>
            <w:shd w:fill="auto" w:val="clear"/>
            <w:vAlign w:val="center"/>
          </w:tcPr>
          <w:p>
            <w:pPr>
              <w:pStyle w:val="TableContents"/>
              <w:spacing w:before="0" w:after="283"/>
              <w:rPr/>
            </w:pPr>
            <w:r>
              <w:rPr/>
              <w:t> </w:t>
            </w:r>
          </w:p>
        </w:tc>
        <w:tc>
          <w:tcPr>
            <w:tcW w:w="1040" w:type="dxa"/>
            <w:gridSpan w:val="2"/>
            <w:vMerge w:val="restart"/>
            <w:tcBorders/>
            <w:shd w:fill="auto" w:val="clear"/>
            <w:vAlign w:val="center"/>
          </w:tcPr>
          <w:p>
            <w:pPr>
              <w:pStyle w:val="TableContents"/>
              <w:spacing w:before="0" w:after="0"/>
              <w:jc w:val="center"/>
              <w:rPr>
                <w:rFonts w:ascii="ARIAL" w:hAnsi="ARIAL"/>
                <w:b/>
                <w:sz w:val="12"/>
              </w:rPr>
            </w:pPr>
            <w:r>
              <w:rPr>
                <w:rFonts w:ascii="ARIAL" w:hAnsi="ARIAL"/>
                <w:b/>
                <w:sz w:val="12"/>
              </w:rPr>
              <w:t>Grant Date</w:t>
              <w:br/>
              <w:t>Fair Value</w:t>
              <w:br/>
              <w:t>of Stock</w:t>
            </w:r>
          </w:p>
          <w:p>
            <w:pPr>
              <w:pStyle w:val="TableContents"/>
              <w:spacing w:before="0" w:after="0"/>
              <w:jc w:val="center"/>
              <w:rPr>
                <w:rFonts w:ascii="ARIAL" w:hAnsi="ARIAL"/>
                <w:b/>
                <w:sz w:val="12"/>
              </w:rPr>
            </w:pPr>
            <w:r>
              <w:rPr>
                <w:rFonts w:ascii="ARIAL" w:hAnsi="ARIAL"/>
                <w:b/>
                <w:sz w:val="12"/>
              </w:rPr>
              <w:t>and Option</w:t>
              <w:br/>
              <w:t>Awards</w:t>
              <w:br/>
              <w:t>($)(4)</w:t>
            </w:r>
          </w:p>
          <w:p>
            <w:pPr>
              <w:pStyle w:val="TableContents"/>
              <w:spacing w:before="0" w:after="20"/>
              <w:jc w:val="left"/>
              <w:rPr/>
            </w:pPr>
            <w:r>
              <w:rPr/>
              <w:t> </w:t>
            </w:r>
          </w:p>
        </w:tc>
        <w:tc>
          <w:tcPr>
            <w:tcW w:w="75" w:type="dxa"/>
            <w:vMerge w:val="restart"/>
            <w:tcBorders/>
            <w:shd w:fill="auto" w:val="clear"/>
            <w:vAlign w:val="center"/>
          </w:tcPr>
          <w:p>
            <w:pPr>
              <w:pStyle w:val="TableContents"/>
              <w:spacing w:before="0" w:after="283"/>
              <w:rPr/>
            </w:pPr>
            <w:r>
              <w:rPr/>
              <w:t> </w:t>
            </w:r>
          </w:p>
        </w:tc>
      </w:tr>
      <w:tr>
        <w:trPr/>
        <w:tc>
          <w:tcPr>
            <w:tcW w:w="1295" w:type="dxa"/>
            <w:vMerge w:val="continue"/>
            <w:tcBorders/>
            <w:shd w:fill="auto" w:val="clear"/>
            <w:vAlign w:val="center"/>
          </w:tcPr>
          <w:p>
            <w:pPr>
              <w:pStyle w:val="Normal"/>
              <w:rPr/>
            </w:pPr>
            <w:r>
              <w:rPr/>
            </w:r>
          </w:p>
        </w:tc>
        <w:tc>
          <w:tcPr>
            <w:tcW w:w="60" w:type="dxa"/>
            <w:vMerge w:val="continue"/>
            <w:tcBorders/>
            <w:shd w:fill="auto" w:val="clear"/>
            <w:vAlign w:val="center"/>
          </w:tcPr>
          <w:p>
            <w:pPr>
              <w:pStyle w:val="Normal"/>
              <w:rPr/>
            </w:pPr>
            <w:r>
              <w:rPr/>
            </w:r>
          </w:p>
        </w:tc>
        <w:tc>
          <w:tcPr>
            <w:tcW w:w="560" w:type="dxa"/>
            <w:gridSpan w:val="2"/>
            <w:vMerge w:val="continue"/>
            <w:tcBorders/>
            <w:shd w:fill="auto" w:val="clear"/>
            <w:vAlign w:val="center"/>
          </w:tcPr>
          <w:p>
            <w:pPr>
              <w:pStyle w:val="Normal"/>
              <w:rPr/>
            </w:pPr>
            <w:r>
              <w:rPr/>
            </w:r>
          </w:p>
        </w:tc>
        <w:tc>
          <w:tcPr>
            <w:tcW w:w="215" w:type="dxa"/>
            <w:vMerge w:val="continue"/>
            <w:tcBorders/>
            <w:shd w:fill="auto" w:val="clear"/>
            <w:vAlign w:val="center"/>
          </w:tcPr>
          <w:p>
            <w:pPr>
              <w:pStyle w:val="Normal"/>
              <w:rPr/>
            </w:pPr>
            <w:r>
              <w:rPr/>
            </w:r>
          </w:p>
        </w:tc>
        <w:tc>
          <w:tcPr>
            <w:tcW w:w="60" w:type="dxa"/>
            <w:tcBorders/>
            <w:shd w:fill="auto" w:val="clear"/>
            <w:vAlign w:val="center"/>
          </w:tcPr>
          <w:p>
            <w:pPr>
              <w:pStyle w:val="TableContents"/>
              <w:spacing w:before="0" w:after="283"/>
              <w:rPr/>
            </w:pPr>
            <w:r>
              <w:rPr/>
              <w:t> </w:t>
            </w:r>
          </w:p>
        </w:tc>
        <w:tc>
          <w:tcPr>
            <w:tcW w:w="590" w:type="dxa"/>
            <w:tcBorders/>
            <w:shd w:fill="auto" w:val="clear"/>
            <w:vAlign w:val="center"/>
          </w:tcPr>
          <w:p>
            <w:pPr>
              <w:pStyle w:val="TableContents"/>
              <w:spacing w:before="0" w:after="0"/>
              <w:jc w:val="center"/>
              <w:rPr>
                <w:rFonts w:ascii="ARIAL" w:hAnsi="ARIAL"/>
                <w:b/>
                <w:sz w:val="12"/>
              </w:rPr>
            </w:pPr>
            <w:r>
              <w:rPr>
                <w:rFonts w:ascii="ARIAL" w:hAnsi="ARIAL"/>
                <w:b/>
                <w:sz w:val="12"/>
              </w:rPr>
              <w:t>Threshold</w:t>
              <w:br/>
              <w:t>($)</w:t>
            </w:r>
          </w:p>
          <w:p>
            <w:pPr>
              <w:pStyle w:val="TableContents"/>
              <w:spacing w:before="0" w:after="20"/>
              <w:jc w:val="left"/>
              <w:rPr/>
            </w:pPr>
            <w:r>
              <w:rPr/>
              <w:t> </w:t>
            </w:r>
          </w:p>
        </w:tc>
        <w:tc>
          <w:tcPr>
            <w:tcW w:w="60" w:type="dxa"/>
            <w:tcBorders/>
            <w:shd w:fill="auto" w:val="clear"/>
            <w:vAlign w:val="center"/>
          </w:tcPr>
          <w:p>
            <w:pPr>
              <w:pStyle w:val="TableContents"/>
              <w:spacing w:before="0" w:after="283"/>
              <w:rPr/>
            </w:pPr>
            <w:r>
              <w:rPr/>
              <w:t> </w:t>
            </w:r>
          </w:p>
        </w:tc>
        <w:tc>
          <w:tcPr>
            <w:tcW w:w="1040" w:type="dxa"/>
            <w:gridSpan w:val="2"/>
            <w:tcBorders/>
            <w:shd w:fill="auto" w:val="clear"/>
            <w:vAlign w:val="center"/>
          </w:tcPr>
          <w:p>
            <w:pPr>
              <w:pStyle w:val="TableContents"/>
              <w:spacing w:before="0" w:after="0"/>
              <w:jc w:val="center"/>
              <w:rPr>
                <w:rFonts w:ascii="ARIAL" w:hAnsi="ARIAL"/>
                <w:b/>
                <w:sz w:val="12"/>
              </w:rPr>
            </w:pPr>
            <w:r>
              <w:rPr>
                <w:rFonts w:ascii="ARIAL" w:hAnsi="ARIAL"/>
                <w:b/>
                <w:sz w:val="12"/>
              </w:rPr>
              <w:t>Target</w:t>
            </w:r>
          </w:p>
          <w:p>
            <w:pPr>
              <w:pStyle w:val="TableContents"/>
              <w:spacing w:before="0" w:after="0"/>
              <w:jc w:val="center"/>
              <w:rPr>
                <w:rFonts w:ascii="ARIAL" w:hAnsi="ARIAL"/>
                <w:b/>
                <w:sz w:val="12"/>
              </w:rPr>
            </w:pPr>
            <w:r>
              <w:rPr>
                <w:rFonts w:ascii="ARIAL" w:hAnsi="ARIAL"/>
                <w:b/>
                <w:sz w:val="12"/>
              </w:rPr>
              <w:t>($)</w:t>
            </w:r>
          </w:p>
          <w:p>
            <w:pPr>
              <w:pStyle w:val="TableContents"/>
              <w:spacing w:before="0" w:after="20"/>
              <w:jc w:val="lef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40" w:type="dxa"/>
            <w:gridSpan w:val="2"/>
            <w:tcBorders/>
            <w:shd w:fill="auto" w:val="clear"/>
            <w:vAlign w:val="center"/>
          </w:tcPr>
          <w:p>
            <w:pPr>
              <w:pStyle w:val="TableContents"/>
              <w:spacing w:before="0" w:after="0"/>
              <w:jc w:val="center"/>
              <w:rPr>
                <w:rFonts w:ascii="ARIAL" w:hAnsi="ARIAL"/>
                <w:b/>
                <w:sz w:val="12"/>
              </w:rPr>
            </w:pPr>
            <w:r>
              <w:rPr>
                <w:rFonts w:ascii="ARIAL" w:hAnsi="ARIAL"/>
                <w:b/>
                <w:sz w:val="12"/>
              </w:rPr>
              <w:t>Maximum</w:t>
              <w:br/>
              <w:t>($)</w:t>
            </w:r>
          </w:p>
          <w:p>
            <w:pPr>
              <w:pStyle w:val="TableContents"/>
              <w:spacing w:before="0" w:after="20"/>
              <w:jc w:val="lef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gridSpan w:val="2"/>
            <w:tcBorders/>
            <w:shd w:fill="auto" w:val="clear"/>
            <w:vAlign w:val="center"/>
          </w:tcPr>
          <w:p>
            <w:pPr>
              <w:pStyle w:val="TableContents"/>
              <w:rPr/>
            </w:pPr>
            <w:r>
              <w:rPr/>
              <w:t> </w:t>
            </w:r>
          </w:p>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90" w:type="dxa"/>
            <w:tcBorders/>
            <w:shd w:fill="auto" w:val="clear"/>
            <w:vAlign w:val="center"/>
          </w:tcPr>
          <w:p>
            <w:pPr>
              <w:pStyle w:val="TableContents"/>
              <w:spacing w:before="0" w:after="0"/>
              <w:jc w:val="center"/>
              <w:rPr>
                <w:rFonts w:ascii="ARIAL" w:hAnsi="ARIAL"/>
                <w:b/>
                <w:sz w:val="12"/>
              </w:rPr>
            </w:pPr>
            <w:r>
              <w:rPr>
                <w:rFonts w:ascii="ARIAL" w:hAnsi="ARIAL"/>
                <w:b/>
                <w:sz w:val="12"/>
              </w:rPr>
              <w:t>Threshold</w:t>
              <w:br/>
              <w:t>(#)</w:t>
            </w:r>
          </w:p>
          <w:p>
            <w:pPr>
              <w:pStyle w:val="TableContents"/>
              <w:spacing w:before="0" w:after="20"/>
              <w:jc w:val="left"/>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0"/>
              <w:jc w:val="center"/>
              <w:rPr>
                <w:rFonts w:ascii="ARIAL" w:hAnsi="ARIAL"/>
                <w:b/>
                <w:sz w:val="12"/>
              </w:rPr>
            </w:pPr>
            <w:r>
              <w:rPr>
                <w:rFonts w:ascii="ARIAL" w:hAnsi="ARIAL"/>
                <w:b/>
                <w:sz w:val="12"/>
              </w:rPr>
              <w:t>Target</w:t>
              <w:br/>
              <w:t>(#)(1)</w:t>
            </w:r>
          </w:p>
          <w:p>
            <w:pPr>
              <w:pStyle w:val="TableContents"/>
              <w:spacing w:before="0" w:after="20"/>
              <w:jc w:val="left"/>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0"/>
              <w:jc w:val="center"/>
              <w:rPr>
                <w:rFonts w:ascii="ARIAL" w:hAnsi="ARIAL"/>
                <w:b/>
                <w:sz w:val="12"/>
              </w:rPr>
            </w:pPr>
            <w:r>
              <w:rPr>
                <w:rFonts w:ascii="ARIAL" w:hAnsi="ARIAL"/>
                <w:b/>
                <w:sz w:val="12"/>
              </w:rPr>
              <w:t>Maximum</w:t>
              <w:br/>
              <w:t>(#)</w:t>
            </w:r>
          </w:p>
          <w:p>
            <w:pPr>
              <w:pStyle w:val="TableContents"/>
              <w:spacing w:before="0" w:after="20"/>
              <w:jc w:val="left"/>
              <w:rPr/>
            </w:pPr>
            <w:r>
              <w:rPr/>
              <w:t> </w:t>
            </w:r>
          </w:p>
        </w:tc>
        <w:tc>
          <w:tcPr>
            <w:tcW w:w="60" w:type="dxa"/>
            <w:tcBorders/>
            <w:shd w:fill="auto" w:val="clear"/>
            <w:vAlign w:val="center"/>
          </w:tcPr>
          <w:p>
            <w:pPr>
              <w:pStyle w:val="TableContents"/>
              <w:spacing w:before="0" w:after="283"/>
              <w:rPr/>
            </w:pPr>
            <w:r>
              <w:rPr/>
              <w:t> </w:t>
            </w:r>
          </w:p>
        </w:tc>
        <w:tc>
          <w:tcPr>
            <w:tcW w:w="60"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vMerge w:val="continue"/>
            <w:tcBorders/>
            <w:shd w:fill="auto" w:val="clear"/>
            <w:vAlign w:val="center"/>
          </w:tcPr>
          <w:p>
            <w:pPr>
              <w:pStyle w:val="Normal"/>
              <w:rPr/>
            </w:pPr>
            <w:r>
              <w:rPr/>
            </w:r>
          </w:p>
        </w:tc>
        <w:tc>
          <w:tcPr>
            <w:tcW w:w="830" w:type="dxa"/>
            <w:vMerge w:val="continue"/>
            <w:tcBorders/>
            <w:shd w:fill="auto" w:val="clear"/>
            <w:vAlign w:val="center"/>
          </w:tcPr>
          <w:p>
            <w:pPr>
              <w:pStyle w:val="Normal"/>
              <w:rPr/>
            </w:pPr>
            <w:r>
              <w:rPr/>
            </w:r>
          </w:p>
        </w:tc>
        <w:tc>
          <w:tcPr>
            <w:tcW w:w="60" w:type="dxa"/>
            <w:vMerge w:val="continue"/>
            <w:tcBorders/>
            <w:shd w:fill="auto" w:val="clear"/>
            <w:vAlign w:val="center"/>
          </w:tcPr>
          <w:p>
            <w:pPr>
              <w:pStyle w:val="Normal"/>
              <w:rPr/>
            </w:pPr>
            <w:r>
              <w:rPr/>
            </w:r>
          </w:p>
        </w:tc>
        <w:tc>
          <w:tcPr>
            <w:tcW w:w="905" w:type="dxa"/>
            <w:vMerge w:val="continue"/>
            <w:tcBorders/>
            <w:shd w:fill="auto" w:val="clear"/>
            <w:vAlign w:val="center"/>
          </w:tcPr>
          <w:p>
            <w:pPr>
              <w:pStyle w:val="Normal"/>
              <w:rPr/>
            </w:pPr>
            <w:r>
              <w:rPr/>
            </w:r>
          </w:p>
        </w:tc>
        <w:tc>
          <w:tcPr>
            <w:tcW w:w="60" w:type="dxa"/>
            <w:vMerge w:val="continue"/>
            <w:tcBorders/>
            <w:shd w:fill="auto" w:val="clear"/>
            <w:vAlign w:val="center"/>
          </w:tcPr>
          <w:p>
            <w:pPr>
              <w:pStyle w:val="Normal"/>
              <w:rPr/>
            </w:pPr>
            <w:r>
              <w:rPr/>
            </w:r>
          </w:p>
        </w:tc>
        <w:tc>
          <w:tcPr>
            <w:tcW w:w="620" w:type="dxa"/>
            <w:vMerge w:val="continue"/>
            <w:tcBorders/>
            <w:shd w:fill="auto" w:val="clear"/>
            <w:vAlign w:val="center"/>
          </w:tcPr>
          <w:p>
            <w:pPr>
              <w:pStyle w:val="Normal"/>
              <w:rPr/>
            </w:pPr>
            <w:r>
              <w:rPr/>
            </w:r>
          </w:p>
        </w:tc>
        <w:tc>
          <w:tcPr>
            <w:tcW w:w="60" w:type="dxa"/>
            <w:vMerge w:val="continue"/>
            <w:tcBorders/>
            <w:shd w:fill="auto" w:val="clear"/>
            <w:vAlign w:val="center"/>
          </w:tcPr>
          <w:p>
            <w:pPr>
              <w:pStyle w:val="Normal"/>
              <w:rPr/>
            </w:pPr>
            <w:r>
              <w:rPr/>
            </w:r>
          </w:p>
        </w:tc>
        <w:tc>
          <w:tcPr>
            <w:tcW w:w="1040" w:type="dxa"/>
            <w:gridSpan w:val="2"/>
            <w:vMerge w:val="continue"/>
            <w:tcBorders/>
            <w:shd w:fill="auto" w:val="clear"/>
            <w:vAlign w:val="center"/>
          </w:tcPr>
          <w:p>
            <w:pPr>
              <w:pStyle w:val="Normal"/>
              <w:rPr/>
            </w:pPr>
            <w:r>
              <w:rPr/>
            </w:r>
          </w:p>
        </w:tc>
        <w:tc>
          <w:tcPr>
            <w:tcW w:w="75" w:type="dxa"/>
            <w:vMerge w:val="continue"/>
            <w:tcBorders/>
            <w:shd w:fill="auto" w:val="clear"/>
            <w:vAlign w:val="center"/>
          </w:tcPr>
          <w:p>
            <w:pPr>
              <w:pStyle w:val="Normal"/>
              <w:rPr/>
            </w:pPr>
            <w:r>
              <w:rPr/>
            </w:r>
          </w:p>
        </w:tc>
      </w:tr>
      <w:tr>
        <w:trPr/>
        <w:tc>
          <w:tcPr>
            <w:tcW w:w="1295" w:type="dxa"/>
            <w:tcBorders>
              <w:top w:val="single" w:sz="6" w:space="0" w:color="000000"/>
            </w:tcBorders>
            <w:shd w:fill="CEE8F6" w:val="clear"/>
            <w:tcMar>
              <w:top w:w="28" w:type="dxa"/>
            </w:tcMar>
            <w:vAlign w:val="center"/>
          </w:tcPr>
          <w:p>
            <w:pPr>
              <w:pStyle w:val="TableContents"/>
              <w:spacing w:before="0" w:after="0"/>
              <w:rPr>
                <w:rFonts w:ascii="ARIAL" w:hAnsi="ARIAL"/>
                <w:sz w:val="14"/>
              </w:rPr>
            </w:pPr>
            <w:r>
              <w:rPr>
                <w:rFonts w:ascii="ARIAL" w:hAnsi="ARIAL"/>
                <w:sz w:val="14"/>
              </w:rPr>
              <w:t>Tim L. Hingtgen</w:t>
            </w:r>
          </w:p>
        </w:tc>
        <w:tc>
          <w:tcPr>
            <w:tcW w:w="60" w:type="dxa"/>
            <w:tcBorders>
              <w:top w:val="single" w:sz="6" w:space="0" w:color="000000"/>
            </w:tcBorders>
            <w:shd w:fill="CEE8F6" w:val="clear"/>
            <w:tcMar>
              <w:top w:w="28" w:type="dxa"/>
            </w:tcMar>
            <w:vAlign w:val="center"/>
          </w:tcPr>
          <w:p>
            <w:pPr>
              <w:pStyle w:val="TableContents"/>
              <w:spacing w:before="0" w:after="283"/>
              <w:rPr/>
            </w:pPr>
            <w:r>
              <w:rPr/>
              <w:t> </w:t>
            </w:r>
          </w:p>
        </w:tc>
        <w:tc>
          <w:tcPr>
            <w:tcW w:w="60" w:type="dxa"/>
            <w:tcBorders>
              <w:top w:val="single" w:sz="6" w:space="0" w:color="000000"/>
            </w:tcBorders>
            <w:shd w:fill="CEE8F6" w:val="clear"/>
            <w:tcMar>
              <w:top w:w="28" w:type="dxa"/>
            </w:tcMar>
            <w:vAlign w:val="center"/>
          </w:tcPr>
          <w:p>
            <w:pPr>
              <w:pStyle w:val="TableContents"/>
              <w:spacing w:before="0" w:after="283"/>
              <w:rPr/>
            </w:pPr>
            <w:r>
              <w:rPr/>
              <w:t> </w:t>
            </w:r>
          </w:p>
        </w:tc>
        <w:tc>
          <w:tcPr>
            <w:tcW w:w="500" w:type="dxa"/>
            <w:tcBorders>
              <w:top w:val="single" w:sz="6" w:space="0" w:color="000000"/>
            </w:tcBorders>
            <w:shd w:fill="CEE8F6" w:val="clear"/>
            <w:tcMar>
              <w:top w:w="28" w:type="dxa"/>
            </w:tcMar>
            <w:vAlign w:val="center"/>
          </w:tcPr>
          <w:p>
            <w:pPr>
              <w:pStyle w:val="TableContents"/>
              <w:spacing w:before="0" w:after="283"/>
              <w:rPr/>
            </w:pPr>
            <w:r>
              <w:rPr/>
              <w:t> </w:t>
            </w:r>
          </w:p>
        </w:tc>
        <w:tc>
          <w:tcPr>
            <w:tcW w:w="215" w:type="dxa"/>
            <w:tcBorders>
              <w:top w:val="single" w:sz="6" w:space="0" w:color="000000"/>
            </w:tcBorders>
            <w:shd w:fill="CEE8F6" w:val="clear"/>
            <w:tcMar>
              <w:top w:w="28" w:type="dxa"/>
            </w:tcMar>
            <w:vAlign w:val="center"/>
          </w:tcPr>
          <w:p>
            <w:pPr>
              <w:pStyle w:val="TableContents"/>
              <w:spacing w:before="0" w:after="283"/>
              <w:rPr/>
            </w:pPr>
            <w:r>
              <w:rPr/>
              <w:t> </w:t>
            </w:r>
          </w:p>
        </w:tc>
        <w:tc>
          <w:tcPr>
            <w:tcW w:w="60" w:type="dxa"/>
            <w:tcBorders>
              <w:top w:val="single" w:sz="6" w:space="0" w:color="000000"/>
            </w:tcBorders>
            <w:shd w:fill="CEE8F6" w:val="clear"/>
            <w:tcMar>
              <w:top w:w="28" w:type="dxa"/>
            </w:tcMar>
            <w:vAlign w:val="center"/>
          </w:tcPr>
          <w:p>
            <w:pPr>
              <w:pStyle w:val="TableContents"/>
              <w:spacing w:before="0" w:after="283"/>
              <w:rPr/>
            </w:pPr>
            <w:r>
              <w:rPr/>
              <w:t> </w:t>
            </w:r>
          </w:p>
        </w:tc>
        <w:tc>
          <w:tcPr>
            <w:tcW w:w="590" w:type="dxa"/>
            <w:tcBorders>
              <w:top w:val="single" w:sz="6" w:space="0" w:color="000000"/>
            </w:tcBorders>
            <w:shd w:fill="CEE8F6" w:val="clear"/>
            <w:tcMar>
              <w:top w:w="28" w:type="dxa"/>
            </w:tcMar>
            <w:vAlign w:val="center"/>
          </w:tcPr>
          <w:p>
            <w:pPr>
              <w:pStyle w:val="TableContents"/>
              <w:spacing w:before="0" w:after="283"/>
              <w:jc w:val="center"/>
              <w:rPr/>
            </w:pPr>
            <w:r>
              <w:rPr/>
              <w:t>-</w:t>
            </w:r>
          </w:p>
        </w:tc>
        <w:tc>
          <w:tcPr>
            <w:tcW w:w="60" w:type="dxa"/>
            <w:tcBorders>
              <w:top w:val="single" w:sz="6" w:space="0" w:color="000000"/>
            </w:tcBorders>
            <w:shd w:fill="CEE8F6" w:val="clear"/>
            <w:tcMar>
              <w:top w:w="28" w:type="dxa"/>
            </w:tcMar>
            <w:vAlign w:val="center"/>
          </w:tcPr>
          <w:p>
            <w:pPr>
              <w:pStyle w:val="TableContents"/>
              <w:spacing w:before="0" w:after="283"/>
              <w:rPr/>
            </w:pPr>
            <w:r>
              <w:rPr/>
              <w:t> </w:t>
            </w:r>
          </w:p>
        </w:tc>
        <w:tc>
          <w:tcPr>
            <w:tcW w:w="60" w:type="dxa"/>
            <w:tcBorders>
              <w:top w:val="single" w:sz="6" w:space="0" w:color="000000"/>
            </w:tcBorders>
            <w:shd w:fill="CEE8F6" w:val="clear"/>
            <w:tcMar>
              <w:top w:w="28" w:type="dxa"/>
            </w:tcMar>
            <w:vAlign w:val="center"/>
          </w:tcPr>
          <w:p>
            <w:pPr>
              <w:pStyle w:val="TableContents"/>
              <w:spacing w:before="0" w:after="283"/>
              <w:rPr/>
            </w:pPr>
            <w:r>
              <w:rPr/>
              <w:t> </w:t>
            </w:r>
          </w:p>
        </w:tc>
        <w:tc>
          <w:tcPr>
            <w:tcW w:w="980" w:type="dxa"/>
            <w:tcBorders>
              <w:top w:val="single" w:sz="6" w:space="0" w:color="000000"/>
            </w:tcBorders>
            <w:shd w:fill="CEE8F6" w:val="clear"/>
            <w:tcMar>
              <w:top w:w="28" w:type="dxa"/>
            </w:tcMar>
            <w:vAlign w:val="center"/>
          </w:tcPr>
          <w:p>
            <w:pPr>
              <w:pStyle w:val="TableContents"/>
              <w:spacing w:before="0" w:after="283"/>
              <w:jc w:val="right"/>
              <w:rPr/>
            </w:pPr>
            <w:r>
              <w:rPr/>
              <w:t>2,812,500</w:t>
            </w:r>
          </w:p>
        </w:tc>
        <w:tc>
          <w:tcPr>
            <w:tcW w:w="60" w:type="dxa"/>
            <w:tcBorders>
              <w:top w:val="single" w:sz="6" w:space="0" w:color="000000"/>
            </w:tcBorders>
            <w:shd w:fill="CEE8F6" w:val="clear"/>
            <w:tcMar>
              <w:top w:w="28" w:type="dxa"/>
            </w:tcMar>
            <w:vAlign w:val="center"/>
          </w:tcPr>
          <w:p>
            <w:pPr>
              <w:pStyle w:val="TableContents"/>
              <w:spacing w:before="0" w:after="283"/>
              <w:rPr/>
            </w:pPr>
            <w:r>
              <w:rPr/>
              <w:t> </w:t>
            </w:r>
          </w:p>
        </w:tc>
        <w:tc>
          <w:tcPr>
            <w:tcW w:w="60" w:type="dxa"/>
            <w:tcBorders>
              <w:top w:val="single" w:sz="6" w:space="0" w:color="000000"/>
            </w:tcBorders>
            <w:shd w:fill="CEE8F6" w:val="clear"/>
            <w:tcMar>
              <w:top w:w="28" w:type="dxa"/>
            </w:tcMar>
            <w:vAlign w:val="center"/>
          </w:tcPr>
          <w:p>
            <w:pPr>
              <w:pStyle w:val="TableContents"/>
              <w:spacing w:before="0" w:after="283"/>
              <w:rPr/>
            </w:pPr>
            <w:r>
              <w:rPr/>
              <w:t> </w:t>
            </w:r>
          </w:p>
        </w:tc>
        <w:tc>
          <w:tcPr>
            <w:tcW w:w="60" w:type="dxa"/>
            <w:tcBorders>
              <w:top w:val="single" w:sz="6" w:space="0" w:color="000000"/>
            </w:tcBorders>
            <w:shd w:fill="CEE8F6" w:val="clear"/>
            <w:tcMar>
              <w:top w:w="28" w:type="dxa"/>
            </w:tcMar>
            <w:vAlign w:val="center"/>
          </w:tcPr>
          <w:p>
            <w:pPr>
              <w:pStyle w:val="TableContents"/>
              <w:spacing w:before="0" w:after="283"/>
              <w:rPr/>
            </w:pPr>
            <w:r>
              <w:rPr/>
              <w:t> </w:t>
            </w:r>
          </w:p>
        </w:tc>
        <w:tc>
          <w:tcPr>
            <w:tcW w:w="980" w:type="dxa"/>
            <w:tcBorders>
              <w:top w:val="single" w:sz="6" w:space="0" w:color="000000"/>
            </w:tcBorders>
            <w:shd w:fill="CEE8F6" w:val="clear"/>
            <w:tcMar>
              <w:top w:w="28" w:type="dxa"/>
            </w:tcMar>
            <w:vAlign w:val="center"/>
          </w:tcPr>
          <w:p>
            <w:pPr>
              <w:pStyle w:val="TableContents"/>
              <w:spacing w:before="0" w:after="283"/>
              <w:jc w:val="right"/>
              <w:rPr/>
            </w:pPr>
            <w:r>
              <w:rPr/>
              <w:t>3,750,000</w:t>
            </w:r>
          </w:p>
        </w:tc>
        <w:tc>
          <w:tcPr>
            <w:tcW w:w="60" w:type="dxa"/>
            <w:tcBorders>
              <w:top w:val="single" w:sz="6" w:space="0" w:color="000000"/>
            </w:tcBorders>
            <w:shd w:fill="CEE8F6" w:val="clear"/>
            <w:tcMar>
              <w:top w:w="28" w:type="dxa"/>
            </w:tcMar>
            <w:vAlign w:val="center"/>
          </w:tcPr>
          <w:p>
            <w:pPr>
              <w:pStyle w:val="TableContents"/>
              <w:spacing w:before="0" w:after="283"/>
              <w:rPr/>
            </w:pPr>
            <w:r>
              <w:rPr/>
              <w:t> </w:t>
            </w:r>
          </w:p>
        </w:tc>
        <w:tc>
          <w:tcPr>
            <w:tcW w:w="60" w:type="dxa"/>
            <w:tcBorders/>
            <w:shd w:fill="CEE8F6" w:val="clear"/>
            <w:vAlign w:val="center"/>
          </w:tcPr>
          <w:p>
            <w:pPr>
              <w:pStyle w:val="TableContents"/>
              <w:spacing w:before="0" w:after="283"/>
              <w:rPr/>
            </w:pPr>
            <w:r>
              <w:rPr/>
              <w:t> </w:t>
            </w:r>
          </w:p>
        </w:tc>
        <w:tc>
          <w:tcPr>
            <w:tcW w:w="30" w:type="dxa"/>
            <w:tcBorders/>
            <w:shd w:fill="CEE8F6" w:val="clear"/>
            <w:vAlign w:val="center"/>
          </w:tcPr>
          <w:p>
            <w:pPr>
              <w:pStyle w:val="TableContents"/>
              <w:spacing w:before="0" w:after="283"/>
              <w:rPr>
                <w:sz w:val="4"/>
                <w:szCs w:val="4"/>
              </w:rPr>
            </w:pPr>
            <w:r>
              <w:rPr>
                <w:sz w:val="4"/>
                <w:szCs w:val="4"/>
              </w:rPr>
            </w:r>
          </w:p>
        </w:tc>
        <w:tc>
          <w:tcPr>
            <w:tcW w:w="3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sz w:val="4"/>
                <w:szCs w:val="4"/>
              </w:rPr>
            </w:pPr>
            <w:r>
              <w:rPr>
                <w:sz w:val="4"/>
                <w:szCs w:val="4"/>
              </w:rPr>
            </w:r>
          </w:p>
        </w:tc>
        <w:tc>
          <w:tcPr>
            <w:tcW w:w="60" w:type="dxa"/>
            <w:tcBorders>
              <w:top w:val="single" w:sz="6" w:space="0" w:color="000000"/>
            </w:tcBorders>
            <w:shd w:fill="CEE8F6" w:val="clear"/>
            <w:tcMar>
              <w:top w:w="28" w:type="dxa"/>
            </w:tcMar>
            <w:vAlign w:val="center"/>
          </w:tcPr>
          <w:p>
            <w:pPr>
              <w:pStyle w:val="TableContents"/>
              <w:spacing w:before="0" w:after="283"/>
              <w:rPr/>
            </w:pPr>
            <w:r>
              <w:rPr/>
              <w:t> </w:t>
            </w:r>
          </w:p>
        </w:tc>
        <w:tc>
          <w:tcPr>
            <w:tcW w:w="590" w:type="dxa"/>
            <w:tcBorders>
              <w:top w:val="single" w:sz="6" w:space="0" w:color="000000"/>
            </w:tcBorders>
            <w:shd w:fill="CEE8F6" w:val="clear"/>
            <w:tcMar>
              <w:top w:w="28" w:type="dxa"/>
            </w:tcMar>
            <w:vAlign w:val="center"/>
          </w:tcPr>
          <w:p>
            <w:pPr>
              <w:pStyle w:val="TableContents"/>
              <w:spacing w:before="0" w:after="283"/>
              <w:jc w:val="center"/>
              <w:rPr/>
            </w:pPr>
            <w:r>
              <w:rPr/>
              <w:t>-</w:t>
            </w:r>
          </w:p>
        </w:tc>
        <w:tc>
          <w:tcPr>
            <w:tcW w:w="60" w:type="dxa"/>
            <w:tcBorders>
              <w:top w:val="single" w:sz="6" w:space="0" w:color="000000"/>
            </w:tcBorders>
            <w:shd w:fill="CEE8F6" w:val="clear"/>
            <w:tcMar>
              <w:top w:w="28" w:type="dxa"/>
            </w:tcMar>
            <w:vAlign w:val="center"/>
          </w:tcPr>
          <w:p>
            <w:pPr>
              <w:pStyle w:val="TableContents"/>
              <w:spacing w:before="0" w:after="283"/>
              <w:rPr/>
            </w:pPr>
            <w:r>
              <w:rPr/>
              <w:t> </w:t>
            </w:r>
          </w:p>
        </w:tc>
        <w:tc>
          <w:tcPr>
            <w:tcW w:w="800" w:type="dxa"/>
            <w:tcBorders>
              <w:top w:val="single" w:sz="6" w:space="0" w:color="000000"/>
            </w:tcBorders>
            <w:shd w:fill="CEE8F6" w:val="clear"/>
            <w:tcMar>
              <w:top w:w="28" w:type="dxa"/>
            </w:tcMar>
            <w:vAlign w:val="center"/>
          </w:tcPr>
          <w:p>
            <w:pPr>
              <w:pStyle w:val="TableContents"/>
              <w:spacing w:before="0" w:after="283"/>
              <w:jc w:val="center"/>
              <w:rPr/>
            </w:pPr>
            <w:r>
              <w:rPr/>
              <w:t>-</w:t>
            </w:r>
          </w:p>
        </w:tc>
        <w:tc>
          <w:tcPr>
            <w:tcW w:w="60" w:type="dxa"/>
            <w:tcBorders>
              <w:top w:val="single" w:sz="6" w:space="0" w:color="000000"/>
            </w:tcBorders>
            <w:shd w:fill="CEE8F6" w:val="clear"/>
            <w:tcMar>
              <w:top w:w="28" w:type="dxa"/>
            </w:tcMar>
            <w:vAlign w:val="center"/>
          </w:tcPr>
          <w:p>
            <w:pPr>
              <w:pStyle w:val="TableContents"/>
              <w:spacing w:before="0" w:after="283"/>
              <w:rPr/>
            </w:pPr>
            <w:r>
              <w:rPr/>
              <w:t> </w:t>
            </w:r>
          </w:p>
        </w:tc>
        <w:tc>
          <w:tcPr>
            <w:tcW w:w="800" w:type="dxa"/>
            <w:tcBorders>
              <w:top w:val="single" w:sz="6" w:space="0" w:color="000000"/>
            </w:tcBorders>
            <w:shd w:fill="CEE8F6" w:val="clear"/>
            <w:tcMar>
              <w:top w:w="28" w:type="dxa"/>
            </w:tcMar>
            <w:vAlign w:val="center"/>
          </w:tcPr>
          <w:p>
            <w:pPr>
              <w:pStyle w:val="TableContents"/>
              <w:spacing w:before="0" w:after="283"/>
              <w:jc w:val="center"/>
              <w:rPr/>
            </w:pPr>
            <w:r>
              <w:rPr/>
              <w:t>-</w:t>
            </w:r>
          </w:p>
        </w:tc>
        <w:tc>
          <w:tcPr>
            <w:tcW w:w="60" w:type="dxa"/>
            <w:tcBorders/>
            <w:shd w:fill="CEE8F6" w:val="clear"/>
            <w:vAlign w:val="center"/>
          </w:tcPr>
          <w:p>
            <w:pPr>
              <w:pStyle w:val="TableContents"/>
              <w:spacing w:before="0" w:after="283"/>
              <w:rPr/>
            </w:pPr>
            <w:r>
              <w:rPr/>
              <w:t> </w:t>
            </w:r>
          </w:p>
        </w:tc>
        <w:tc>
          <w:tcPr>
            <w:tcW w:w="30" w:type="dxa"/>
            <w:tcBorders/>
            <w:shd w:fill="CEE8F6" w:val="clear"/>
            <w:vAlign w:val="center"/>
          </w:tcPr>
          <w:p>
            <w:pPr>
              <w:pStyle w:val="TableContents"/>
              <w:spacing w:before="0" w:after="283"/>
              <w:rPr>
                <w:sz w:val="4"/>
                <w:szCs w:val="4"/>
              </w:rPr>
            </w:pPr>
            <w:r>
              <w:rPr>
                <w:sz w:val="4"/>
                <w:szCs w:val="4"/>
              </w:rPr>
            </w:r>
          </w:p>
        </w:tc>
        <w:tc>
          <w:tcPr>
            <w:tcW w:w="3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sz w:val="4"/>
                <w:szCs w:val="4"/>
              </w:rPr>
            </w:pPr>
            <w:r>
              <w:rPr>
                <w:sz w:val="4"/>
                <w:szCs w:val="4"/>
              </w:rPr>
            </w:r>
          </w:p>
        </w:tc>
        <w:tc>
          <w:tcPr>
            <w:tcW w:w="60" w:type="dxa"/>
            <w:tcBorders>
              <w:top w:val="single" w:sz="6" w:space="0" w:color="000000"/>
            </w:tcBorders>
            <w:shd w:fill="CEE8F6" w:val="clear"/>
            <w:tcMar>
              <w:top w:w="28" w:type="dxa"/>
            </w:tcMar>
            <w:vAlign w:val="center"/>
          </w:tcPr>
          <w:p>
            <w:pPr>
              <w:pStyle w:val="TableContents"/>
              <w:spacing w:before="0" w:after="283"/>
              <w:rPr/>
            </w:pPr>
            <w:r>
              <w:rPr/>
              <w:t> </w:t>
            </w:r>
          </w:p>
        </w:tc>
        <w:tc>
          <w:tcPr>
            <w:tcW w:w="830" w:type="dxa"/>
            <w:tcBorders>
              <w:top w:val="single" w:sz="6" w:space="0" w:color="000000"/>
            </w:tcBorders>
            <w:shd w:fill="CEE8F6" w:val="clear"/>
            <w:tcMar>
              <w:top w:w="28" w:type="dxa"/>
            </w:tcMar>
            <w:vAlign w:val="center"/>
          </w:tcPr>
          <w:p>
            <w:pPr>
              <w:pStyle w:val="TableContents"/>
              <w:spacing w:before="0" w:after="283"/>
              <w:jc w:val="center"/>
              <w:rPr/>
            </w:pPr>
            <w:r>
              <w:rPr/>
              <w:t>-</w:t>
            </w:r>
          </w:p>
        </w:tc>
        <w:tc>
          <w:tcPr>
            <w:tcW w:w="60" w:type="dxa"/>
            <w:tcBorders>
              <w:top w:val="single" w:sz="6" w:space="0" w:color="000000"/>
            </w:tcBorders>
            <w:shd w:fill="CEE8F6" w:val="clear"/>
            <w:tcMar>
              <w:top w:w="28" w:type="dxa"/>
            </w:tcMar>
            <w:vAlign w:val="center"/>
          </w:tcPr>
          <w:p>
            <w:pPr>
              <w:pStyle w:val="TableContents"/>
              <w:spacing w:before="0" w:after="283"/>
              <w:rPr/>
            </w:pPr>
            <w:r>
              <w:rPr/>
              <w:t> </w:t>
            </w:r>
          </w:p>
        </w:tc>
        <w:tc>
          <w:tcPr>
            <w:tcW w:w="905" w:type="dxa"/>
            <w:tcBorders>
              <w:top w:val="single" w:sz="6" w:space="0" w:color="000000"/>
            </w:tcBorders>
            <w:shd w:fill="CEE8F6" w:val="clear"/>
            <w:tcMar>
              <w:top w:w="28" w:type="dxa"/>
            </w:tcMar>
            <w:vAlign w:val="center"/>
          </w:tcPr>
          <w:p>
            <w:pPr>
              <w:pStyle w:val="TableContents"/>
              <w:spacing w:before="0" w:after="283"/>
              <w:jc w:val="center"/>
              <w:rPr/>
            </w:pPr>
            <w:r>
              <w:rPr/>
              <w:t>-</w:t>
            </w:r>
          </w:p>
        </w:tc>
        <w:tc>
          <w:tcPr>
            <w:tcW w:w="60" w:type="dxa"/>
            <w:tcBorders>
              <w:top w:val="single" w:sz="6" w:space="0" w:color="000000"/>
            </w:tcBorders>
            <w:shd w:fill="CEE8F6" w:val="clear"/>
            <w:tcMar>
              <w:top w:w="28" w:type="dxa"/>
            </w:tcMar>
            <w:vAlign w:val="center"/>
          </w:tcPr>
          <w:p>
            <w:pPr>
              <w:pStyle w:val="TableContents"/>
              <w:spacing w:before="0" w:after="283"/>
              <w:rPr/>
            </w:pPr>
            <w:r>
              <w:rPr/>
              <w:t> </w:t>
            </w:r>
          </w:p>
        </w:tc>
        <w:tc>
          <w:tcPr>
            <w:tcW w:w="620" w:type="dxa"/>
            <w:tcBorders>
              <w:top w:val="single" w:sz="6" w:space="0" w:color="000000"/>
            </w:tcBorders>
            <w:shd w:fill="CEE8F6" w:val="clear"/>
            <w:tcMar>
              <w:top w:w="28" w:type="dxa"/>
            </w:tcMar>
            <w:vAlign w:val="center"/>
          </w:tcPr>
          <w:p>
            <w:pPr>
              <w:pStyle w:val="TableContents"/>
              <w:spacing w:before="0" w:after="283"/>
              <w:jc w:val="center"/>
              <w:rPr/>
            </w:pPr>
            <w:r>
              <w:rPr/>
              <w:t>-</w:t>
            </w:r>
          </w:p>
        </w:tc>
        <w:tc>
          <w:tcPr>
            <w:tcW w:w="60" w:type="dxa"/>
            <w:tcBorders>
              <w:top w:val="single" w:sz="6" w:space="0" w:color="000000"/>
            </w:tcBorders>
            <w:shd w:fill="CEE8F6" w:val="clear"/>
            <w:tcMar>
              <w:top w:w="28" w:type="dxa"/>
            </w:tcMar>
            <w:vAlign w:val="center"/>
          </w:tcPr>
          <w:p>
            <w:pPr>
              <w:pStyle w:val="TableContents"/>
              <w:spacing w:before="0" w:after="283"/>
              <w:rPr/>
            </w:pPr>
            <w:r>
              <w:rPr/>
              <w:t> </w:t>
            </w:r>
          </w:p>
        </w:tc>
        <w:tc>
          <w:tcPr>
            <w:tcW w:w="60" w:type="dxa"/>
            <w:tcBorders>
              <w:top w:val="single" w:sz="6" w:space="0" w:color="000000"/>
            </w:tcBorders>
            <w:shd w:fill="CEE8F6" w:val="clear"/>
            <w:tcMar>
              <w:top w:w="28" w:type="dxa"/>
            </w:tcMar>
            <w:vAlign w:val="center"/>
          </w:tcPr>
          <w:p>
            <w:pPr>
              <w:pStyle w:val="TableContents"/>
              <w:spacing w:before="0" w:after="283"/>
              <w:rPr/>
            </w:pPr>
            <w:r>
              <w:rPr/>
              <w:t> </w:t>
            </w:r>
          </w:p>
        </w:tc>
        <w:tc>
          <w:tcPr>
            <w:tcW w:w="980" w:type="dxa"/>
            <w:tcBorders>
              <w:top w:val="single" w:sz="6" w:space="0" w:color="000000"/>
            </w:tcBorders>
            <w:shd w:fill="CEE8F6" w:val="clear"/>
            <w:tcMar>
              <w:top w:w="28" w:type="dxa"/>
            </w:tcMar>
            <w:vAlign w:val="center"/>
          </w:tcPr>
          <w:p>
            <w:pPr>
              <w:pStyle w:val="TableContents"/>
              <w:spacing w:before="0" w:after="283"/>
              <w:jc w:val="center"/>
              <w:rPr/>
            </w:pPr>
            <w:r>
              <w:rPr/>
              <w:t>-</w:t>
            </w:r>
          </w:p>
        </w:tc>
        <w:tc>
          <w:tcPr>
            <w:tcW w:w="75" w:type="dxa"/>
            <w:tcBorders>
              <w:top w:val="single" w:sz="6" w:space="0" w:color="000000"/>
            </w:tcBorders>
            <w:shd w:fill="CEE8F6" w:val="clear"/>
            <w:tcMar>
              <w:top w:w="28" w:type="dxa"/>
            </w:tcMar>
            <w:vAlign w:val="center"/>
          </w:tcPr>
          <w:p>
            <w:pPr>
              <w:pStyle w:val="TableContents"/>
              <w:spacing w:before="0" w:after="283"/>
              <w:rPr/>
            </w:pPr>
            <w:r>
              <w:rPr/>
              <w:t> </w:t>
            </w:r>
          </w:p>
        </w:tc>
      </w:tr>
      <w:tr>
        <w:trPr/>
        <w:tc>
          <w:tcPr>
            <w:tcW w:w="1295"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before="0" w:after="283"/>
              <w:rPr/>
            </w:pPr>
            <w:r>
              <w:rPr/>
              <w:t> </w:t>
            </w:r>
          </w:p>
        </w:tc>
        <w:tc>
          <w:tcPr>
            <w:tcW w:w="500" w:type="dxa"/>
            <w:tcBorders/>
            <w:shd w:fill="CEE8F6" w:val="clear"/>
            <w:vAlign w:val="center"/>
          </w:tcPr>
          <w:p>
            <w:pPr>
              <w:pStyle w:val="TableContents"/>
              <w:spacing w:before="0" w:after="283"/>
              <w:jc w:val="right"/>
              <w:rPr/>
            </w:pPr>
            <w:r>
              <w:rPr/>
              <w:t>3/1/2022</w:t>
            </w:r>
          </w:p>
        </w:tc>
        <w:tc>
          <w:tcPr>
            <w:tcW w:w="215" w:type="dxa"/>
            <w:tcBorders/>
            <w:shd w:fill="CEE8F6" w:val="clear"/>
            <w:vAlign w:val="center"/>
          </w:tcPr>
          <w:p>
            <w:pPr>
              <w:pStyle w:val="TableContents"/>
              <w:spacing w:before="0" w:after="283"/>
              <w:rPr/>
            </w:pPr>
            <w:r>
              <w:rPr/>
              <w:t>(1) </w:t>
            </w:r>
          </w:p>
        </w:tc>
        <w:tc>
          <w:tcPr>
            <w:tcW w:w="60" w:type="dxa"/>
            <w:tcBorders/>
            <w:shd w:fill="CEE8F6" w:val="clear"/>
            <w:vAlign w:val="center"/>
          </w:tcPr>
          <w:p>
            <w:pPr>
              <w:pStyle w:val="TableContents"/>
              <w:spacing w:before="0" w:after="283"/>
              <w:rPr/>
            </w:pPr>
            <w:r>
              <w:rPr/>
              <w:t> </w:t>
            </w:r>
          </w:p>
        </w:tc>
        <w:tc>
          <w:tcPr>
            <w:tcW w:w="59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before="0" w:after="283"/>
              <w:rPr/>
            </w:pPr>
            <w:r>
              <w:rPr/>
              <w:t> </w:t>
            </w:r>
          </w:p>
        </w:tc>
        <w:tc>
          <w:tcPr>
            <w:tcW w:w="980" w:type="dxa"/>
            <w:tcBorders/>
            <w:shd w:fill="CEE8F6" w:val="clear"/>
            <w:vAlign w:val="center"/>
          </w:tcPr>
          <w:p>
            <w:pPr>
              <w:pStyle w:val="TableContents"/>
              <w:spacing w:before="0" w:after="283"/>
              <w:jc w:val="center"/>
              <w:rPr/>
            </w:pPr>
            <w:r>
              <w:rPr/>
              <w:t>-</w:t>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before="0" w:after="283"/>
              <w:rPr/>
            </w:pPr>
            <w:r>
              <w:rPr/>
              <w:t> </w:t>
            </w:r>
          </w:p>
        </w:tc>
        <w:tc>
          <w:tcPr>
            <w:tcW w:w="980" w:type="dxa"/>
            <w:tcBorders/>
            <w:shd w:fill="CEE8F6" w:val="clear"/>
            <w:vAlign w:val="center"/>
          </w:tcPr>
          <w:p>
            <w:pPr>
              <w:pStyle w:val="TableContents"/>
              <w:spacing w:before="0" w:after="283"/>
              <w:jc w:val="center"/>
              <w:rPr/>
            </w:pPr>
            <w:r>
              <w:rPr/>
              <w:t>-</w:t>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before="0" w:after="283"/>
              <w:rPr/>
            </w:pPr>
            <w:r>
              <w:rPr/>
              <w:t> </w:t>
            </w:r>
          </w:p>
        </w:tc>
        <w:tc>
          <w:tcPr>
            <w:tcW w:w="30" w:type="dxa"/>
            <w:tcBorders/>
            <w:shd w:fill="CEE8F6" w:val="clear"/>
            <w:vAlign w:val="center"/>
          </w:tcPr>
          <w:p>
            <w:pPr>
              <w:pStyle w:val="TableContents"/>
              <w:spacing w:before="0" w:after="283"/>
              <w:rPr>
                <w:sz w:val="4"/>
                <w:szCs w:val="4"/>
              </w:rPr>
            </w:pPr>
            <w:r>
              <w:rPr>
                <w:sz w:val="4"/>
                <w:szCs w:val="4"/>
              </w:rPr>
            </w:r>
          </w:p>
        </w:tc>
        <w:tc>
          <w:tcPr>
            <w:tcW w:w="3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pPr>
            <w:r>
              <w:rPr/>
              <w:t> </w:t>
            </w:r>
          </w:p>
        </w:tc>
        <w:tc>
          <w:tcPr>
            <w:tcW w:w="59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pPr>
            <w:r>
              <w:rPr/>
              <w:t> </w:t>
            </w:r>
          </w:p>
        </w:tc>
        <w:tc>
          <w:tcPr>
            <w:tcW w:w="800" w:type="dxa"/>
            <w:tcBorders/>
            <w:shd w:fill="CEE8F6" w:val="clear"/>
            <w:vAlign w:val="center"/>
          </w:tcPr>
          <w:p>
            <w:pPr>
              <w:pStyle w:val="TableContents"/>
              <w:spacing w:before="0" w:after="283"/>
              <w:jc w:val="center"/>
              <w:rPr/>
            </w:pPr>
            <w:r>
              <w:rPr/>
              <w:t>200,000</w:t>
            </w:r>
          </w:p>
        </w:tc>
        <w:tc>
          <w:tcPr>
            <w:tcW w:w="60" w:type="dxa"/>
            <w:tcBorders/>
            <w:shd w:fill="CEE8F6" w:val="clear"/>
            <w:vAlign w:val="center"/>
          </w:tcPr>
          <w:p>
            <w:pPr>
              <w:pStyle w:val="TableContents"/>
              <w:spacing w:before="0" w:after="283"/>
              <w:rPr/>
            </w:pPr>
            <w:r>
              <w:rPr/>
              <w:t> </w:t>
            </w:r>
          </w:p>
        </w:tc>
        <w:tc>
          <w:tcPr>
            <w:tcW w:w="800" w:type="dxa"/>
            <w:tcBorders/>
            <w:shd w:fill="CEE8F6" w:val="clear"/>
            <w:vAlign w:val="center"/>
          </w:tcPr>
          <w:p>
            <w:pPr>
              <w:pStyle w:val="TableContents"/>
              <w:spacing w:before="0" w:after="283"/>
              <w:jc w:val="center"/>
              <w:rPr/>
            </w:pPr>
            <w:r>
              <w:rPr/>
              <w:t>400,000</w:t>
            </w:r>
          </w:p>
        </w:tc>
        <w:tc>
          <w:tcPr>
            <w:tcW w:w="60" w:type="dxa"/>
            <w:tcBorders/>
            <w:shd w:fill="CEE8F6" w:val="clear"/>
            <w:vAlign w:val="center"/>
          </w:tcPr>
          <w:p>
            <w:pPr>
              <w:pStyle w:val="TableContents"/>
              <w:spacing w:before="0" w:after="283"/>
              <w:rPr/>
            </w:pPr>
            <w:r>
              <w:rPr/>
              <w:t> </w:t>
            </w:r>
          </w:p>
        </w:tc>
        <w:tc>
          <w:tcPr>
            <w:tcW w:w="30" w:type="dxa"/>
            <w:tcBorders/>
            <w:shd w:fill="CEE8F6" w:val="clear"/>
            <w:vAlign w:val="center"/>
          </w:tcPr>
          <w:p>
            <w:pPr>
              <w:pStyle w:val="TableContents"/>
              <w:spacing w:before="0" w:after="283"/>
              <w:rPr>
                <w:sz w:val="4"/>
                <w:szCs w:val="4"/>
              </w:rPr>
            </w:pPr>
            <w:r>
              <w:rPr>
                <w:sz w:val="4"/>
                <w:szCs w:val="4"/>
              </w:rPr>
            </w:r>
          </w:p>
        </w:tc>
        <w:tc>
          <w:tcPr>
            <w:tcW w:w="3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pPr>
            <w:r>
              <w:rPr/>
              <w:t> </w:t>
            </w:r>
          </w:p>
        </w:tc>
        <w:tc>
          <w:tcPr>
            <w:tcW w:w="830" w:type="dxa"/>
            <w:tcBorders/>
            <w:shd w:fill="CEE8F6" w:val="clear"/>
            <w:vAlign w:val="center"/>
          </w:tcPr>
          <w:p>
            <w:pPr>
              <w:pStyle w:val="TableContents"/>
              <w:spacing w:before="0" w:after="283"/>
              <w:jc w:val="center"/>
              <w:rPr/>
            </w:pPr>
            <w:r>
              <w:rPr/>
              <w:t>-</w:t>
            </w:r>
          </w:p>
        </w:tc>
        <w:tc>
          <w:tcPr>
            <w:tcW w:w="60" w:type="dxa"/>
            <w:tcBorders/>
            <w:shd w:fill="CEE8F6" w:val="clear"/>
            <w:vAlign w:val="center"/>
          </w:tcPr>
          <w:p>
            <w:pPr>
              <w:pStyle w:val="TableContents"/>
              <w:spacing w:before="0" w:after="283"/>
              <w:rPr/>
            </w:pPr>
            <w:r>
              <w:rPr/>
              <w:t> </w:t>
            </w:r>
          </w:p>
        </w:tc>
        <w:tc>
          <w:tcPr>
            <w:tcW w:w="905" w:type="dxa"/>
            <w:tcBorders/>
            <w:shd w:fill="CEE8F6" w:val="clear"/>
            <w:vAlign w:val="center"/>
          </w:tcPr>
          <w:p>
            <w:pPr>
              <w:pStyle w:val="TableContents"/>
              <w:spacing w:before="0" w:after="283"/>
              <w:jc w:val="center"/>
              <w:rPr/>
            </w:pPr>
            <w:r>
              <w:rPr/>
              <w:t>-</w:t>
            </w:r>
          </w:p>
        </w:tc>
        <w:tc>
          <w:tcPr>
            <w:tcW w:w="60" w:type="dxa"/>
            <w:tcBorders/>
            <w:shd w:fill="CEE8F6" w:val="clear"/>
            <w:vAlign w:val="center"/>
          </w:tcPr>
          <w:p>
            <w:pPr>
              <w:pStyle w:val="TableContents"/>
              <w:spacing w:before="0" w:after="283"/>
              <w:rPr/>
            </w:pPr>
            <w:r>
              <w:rPr/>
              <w:t> </w:t>
            </w:r>
          </w:p>
        </w:tc>
        <w:tc>
          <w:tcPr>
            <w:tcW w:w="620" w:type="dxa"/>
            <w:tcBorders/>
            <w:shd w:fill="CEE8F6" w:val="clear"/>
            <w:vAlign w:val="center"/>
          </w:tcPr>
          <w:p>
            <w:pPr>
              <w:pStyle w:val="TableContents"/>
              <w:spacing w:before="0" w:after="283"/>
              <w:jc w:val="center"/>
              <w:rPr/>
            </w:pPr>
            <w:r>
              <w:rPr/>
              <w:t>-</w:t>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before="0" w:after="283"/>
              <w:rPr/>
            </w:pPr>
            <w:r>
              <w:rPr/>
              <w:t> </w:t>
            </w:r>
          </w:p>
        </w:tc>
        <w:tc>
          <w:tcPr>
            <w:tcW w:w="980" w:type="dxa"/>
            <w:tcBorders/>
            <w:shd w:fill="CEE8F6" w:val="clear"/>
            <w:vAlign w:val="center"/>
          </w:tcPr>
          <w:p>
            <w:pPr>
              <w:pStyle w:val="TableContents"/>
              <w:spacing w:before="0" w:after="283"/>
              <w:jc w:val="right"/>
              <w:rPr/>
            </w:pPr>
            <w:r>
              <w:rPr/>
              <w:t>2,036,000</w:t>
            </w:r>
          </w:p>
        </w:tc>
        <w:tc>
          <w:tcPr>
            <w:tcW w:w="75" w:type="dxa"/>
            <w:tcBorders/>
            <w:shd w:fill="CEE8F6" w:val="clear"/>
            <w:vAlign w:val="center"/>
          </w:tcPr>
          <w:p>
            <w:pPr>
              <w:pStyle w:val="TableContents"/>
              <w:spacing w:before="0" w:after="283"/>
              <w:rPr/>
            </w:pPr>
            <w:r>
              <w:rPr/>
              <w:t> </w:t>
            </w:r>
          </w:p>
        </w:tc>
      </w:tr>
      <w:tr>
        <w:trPr/>
        <w:tc>
          <w:tcPr>
            <w:tcW w:w="1295"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before="0" w:after="283"/>
              <w:rPr/>
            </w:pPr>
            <w:r>
              <w:rPr/>
              <w:t> </w:t>
            </w:r>
          </w:p>
        </w:tc>
        <w:tc>
          <w:tcPr>
            <w:tcW w:w="500" w:type="dxa"/>
            <w:tcBorders/>
            <w:shd w:fill="CEE8F6" w:val="clear"/>
            <w:vAlign w:val="center"/>
          </w:tcPr>
          <w:p>
            <w:pPr>
              <w:pStyle w:val="TableContents"/>
              <w:spacing w:before="0" w:after="283"/>
              <w:jc w:val="right"/>
              <w:rPr/>
            </w:pPr>
            <w:r>
              <w:rPr/>
              <w:t>3/1/2022</w:t>
            </w:r>
          </w:p>
        </w:tc>
        <w:tc>
          <w:tcPr>
            <w:tcW w:w="215" w:type="dxa"/>
            <w:tcBorders/>
            <w:shd w:fill="CEE8F6" w:val="clear"/>
            <w:vAlign w:val="center"/>
          </w:tcPr>
          <w:p>
            <w:pPr>
              <w:pStyle w:val="TableContents"/>
              <w:spacing w:before="0" w:after="283"/>
              <w:rPr/>
            </w:pPr>
            <w:r>
              <w:rPr/>
              <w:t>(2) </w:t>
            </w:r>
          </w:p>
        </w:tc>
        <w:tc>
          <w:tcPr>
            <w:tcW w:w="60" w:type="dxa"/>
            <w:tcBorders/>
            <w:shd w:fill="CEE8F6" w:val="clear"/>
            <w:vAlign w:val="center"/>
          </w:tcPr>
          <w:p>
            <w:pPr>
              <w:pStyle w:val="TableContents"/>
              <w:spacing w:before="0" w:after="283"/>
              <w:rPr/>
            </w:pPr>
            <w:r>
              <w:rPr/>
              <w:t> </w:t>
            </w:r>
          </w:p>
        </w:tc>
        <w:tc>
          <w:tcPr>
            <w:tcW w:w="59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before="0" w:after="283"/>
              <w:rPr/>
            </w:pPr>
            <w:r>
              <w:rPr/>
              <w:t> </w:t>
            </w:r>
          </w:p>
        </w:tc>
        <w:tc>
          <w:tcPr>
            <w:tcW w:w="980" w:type="dxa"/>
            <w:tcBorders/>
            <w:shd w:fill="CEE8F6" w:val="clear"/>
            <w:vAlign w:val="center"/>
          </w:tcPr>
          <w:p>
            <w:pPr>
              <w:pStyle w:val="TableContents"/>
              <w:spacing w:before="0" w:after="283"/>
              <w:jc w:val="center"/>
              <w:rPr/>
            </w:pPr>
            <w:r>
              <w:rPr/>
              <w:t>-</w:t>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before="0" w:after="283"/>
              <w:rPr/>
            </w:pPr>
            <w:r>
              <w:rPr/>
              <w:t> </w:t>
            </w:r>
          </w:p>
        </w:tc>
        <w:tc>
          <w:tcPr>
            <w:tcW w:w="980" w:type="dxa"/>
            <w:tcBorders/>
            <w:shd w:fill="CEE8F6" w:val="clear"/>
            <w:vAlign w:val="center"/>
          </w:tcPr>
          <w:p>
            <w:pPr>
              <w:pStyle w:val="TableContents"/>
              <w:spacing w:before="0" w:after="283"/>
              <w:jc w:val="center"/>
              <w:rPr/>
            </w:pPr>
            <w:r>
              <w:rPr/>
              <w:t>-</w:t>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before="0" w:after="283"/>
              <w:rPr/>
            </w:pPr>
            <w:r>
              <w:rPr/>
              <w:t> </w:t>
            </w:r>
          </w:p>
        </w:tc>
        <w:tc>
          <w:tcPr>
            <w:tcW w:w="30" w:type="dxa"/>
            <w:tcBorders/>
            <w:shd w:fill="CEE8F6" w:val="clear"/>
            <w:vAlign w:val="center"/>
          </w:tcPr>
          <w:p>
            <w:pPr>
              <w:pStyle w:val="TableContents"/>
              <w:spacing w:before="0" w:after="283"/>
              <w:rPr>
                <w:sz w:val="4"/>
                <w:szCs w:val="4"/>
              </w:rPr>
            </w:pPr>
            <w:r>
              <w:rPr>
                <w:sz w:val="4"/>
                <w:szCs w:val="4"/>
              </w:rPr>
            </w:r>
          </w:p>
        </w:tc>
        <w:tc>
          <w:tcPr>
            <w:tcW w:w="3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pPr>
            <w:r>
              <w:rPr/>
              <w:t> </w:t>
            </w:r>
          </w:p>
        </w:tc>
        <w:tc>
          <w:tcPr>
            <w:tcW w:w="59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pPr>
            <w:r>
              <w:rPr/>
              <w:t> </w:t>
            </w:r>
          </w:p>
        </w:tc>
        <w:tc>
          <w:tcPr>
            <w:tcW w:w="800" w:type="dxa"/>
            <w:tcBorders/>
            <w:shd w:fill="CEE8F6" w:val="clear"/>
            <w:vAlign w:val="center"/>
          </w:tcPr>
          <w:p>
            <w:pPr>
              <w:pStyle w:val="TableContents"/>
              <w:spacing w:before="0" w:after="283"/>
              <w:jc w:val="center"/>
              <w:rPr/>
            </w:pPr>
            <w:r>
              <w:rPr/>
              <w:t>-</w:t>
            </w:r>
          </w:p>
        </w:tc>
        <w:tc>
          <w:tcPr>
            <w:tcW w:w="60" w:type="dxa"/>
            <w:tcBorders/>
            <w:shd w:fill="CEE8F6" w:val="clear"/>
            <w:vAlign w:val="center"/>
          </w:tcPr>
          <w:p>
            <w:pPr>
              <w:pStyle w:val="TableContents"/>
              <w:spacing w:before="0" w:after="283"/>
              <w:rPr/>
            </w:pPr>
            <w:r>
              <w:rPr/>
              <w:t> </w:t>
            </w:r>
          </w:p>
        </w:tc>
        <w:tc>
          <w:tcPr>
            <w:tcW w:w="800" w:type="dxa"/>
            <w:tcBorders/>
            <w:shd w:fill="CEE8F6" w:val="clear"/>
            <w:vAlign w:val="center"/>
          </w:tcPr>
          <w:p>
            <w:pPr>
              <w:pStyle w:val="TableContents"/>
              <w:spacing w:before="0" w:after="283"/>
              <w:jc w:val="center"/>
              <w:rPr/>
            </w:pPr>
            <w:r>
              <w:rPr/>
              <w:t>-</w:t>
            </w:r>
          </w:p>
        </w:tc>
        <w:tc>
          <w:tcPr>
            <w:tcW w:w="60" w:type="dxa"/>
            <w:tcBorders/>
            <w:shd w:fill="CEE8F6" w:val="clear"/>
            <w:vAlign w:val="center"/>
          </w:tcPr>
          <w:p>
            <w:pPr>
              <w:pStyle w:val="TableContents"/>
              <w:spacing w:before="0" w:after="283"/>
              <w:rPr/>
            </w:pPr>
            <w:r>
              <w:rPr/>
              <w:t> </w:t>
            </w:r>
          </w:p>
        </w:tc>
        <w:tc>
          <w:tcPr>
            <w:tcW w:w="30" w:type="dxa"/>
            <w:tcBorders/>
            <w:shd w:fill="CEE8F6" w:val="clear"/>
            <w:vAlign w:val="center"/>
          </w:tcPr>
          <w:p>
            <w:pPr>
              <w:pStyle w:val="TableContents"/>
              <w:spacing w:before="0" w:after="283"/>
              <w:rPr>
                <w:sz w:val="4"/>
                <w:szCs w:val="4"/>
              </w:rPr>
            </w:pPr>
            <w:r>
              <w:rPr>
                <w:sz w:val="4"/>
                <w:szCs w:val="4"/>
              </w:rPr>
            </w:r>
          </w:p>
        </w:tc>
        <w:tc>
          <w:tcPr>
            <w:tcW w:w="3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pPr>
            <w:r>
              <w:rPr/>
              <w:t> </w:t>
            </w:r>
          </w:p>
        </w:tc>
        <w:tc>
          <w:tcPr>
            <w:tcW w:w="830" w:type="dxa"/>
            <w:tcBorders/>
            <w:shd w:fill="CEE8F6" w:val="clear"/>
            <w:vAlign w:val="center"/>
          </w:tcPr>
          <w:p>
            <w:pPr>
              <w:pStyle w:val="TableContents"/>
              <w:spacing w:before="0" w:after="283"/>
              <w:jc w:val="center"/>
              <w:rPr/>
            </w:pPr>
            <w:r>
              <w:rPr/>
              <w:t>100,000</w:t>
            </w:r>
          </w:p>
        </w:tc>
        <w:tc>
          <w:tcPr>
            <w:tcW w:w="60" w:type="dxa"/>
            <w:tcBorders/>
            <w:shd w:fill="CEE8F6" w:val="clear"/>
            <w:vAlign w:val="center"/>
          </w:tcPr>
          <w:p>
            <w:pPr>
              <w:pStyle w:val="TableContents"/>
              <w:spacing w:before="0" w:after="283"/>
              <w:rPr/>
            </w:pPr>
            <w:r>
              <w:rPr/>
              <w:t> </w:t>
            </w:r>
          </w:p>
        </w:tc>
        <w:tc>
          <w:tcPr>
            <w:tcW w:w="905" w:type="dxa"/>
            <w:tcBorders/>
            <w:shd w:fill="CEE8F6" w:val="clear"/>
            <w:vAlign w:val="center"/>
          </w:tcPr>
          <w:p>
            <w:pPr>
              <w:pStyle w:val="TableContents"/>
              <w:spacing w:before="0" w:after="283"/>
              <w:jc w:val="center"/>
              <w:rPr/>
            </w:pPr>
            <w:r>
              <w:rPr/>
              <w:t>-</w:t>
            </w:r>
          </w:p>
        </w:tc>
        <w:tc>
          <w:tcPr>
            <w:tcW w:w="60" w:type="dxa"/>
            <w:tcBorders/>
            <w:shd w:fill="CEE8F6" w:val="clear"/>
            <w:vAlign w:val="center"/>
          </w:tcPr>
          <w:p>
            <w:pPr>
              <w:pStyle w:val="TableContents"/>
              <w:spacing w:before="0" w:after="283"/>
              <w:rPr/>
            </w:pPr>
            <w:r>
              <w:rPr/>
              <w:t> </w:t>
            </w:r>
          </w:p>
        </w:tc>
        <w:tc>
          <w:tcPr>
            <w:tcW w:w="620" w:type="dxa"/>
            <w:tcBorders/>
            <w:shd w:fill="CEE8F6" w:val="clear"/>
            <w:vAlign w:val="center"/>
          </w:tcPr>
          <w:p>
            <w:pPr>
              <w:pStyle w:val="TableContents"/>
              <w:spacing w:before="0" w:after="283"/>
              <w:jc w:val="center"/>
              <w:rPr/>
            </w:pPr>
            <w:r>
              <w:rPr/>
              <w:t>-</w:t>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before="0" w:after="283"/>
              <w:rPr/>
            </w:pPr>
            <w:r>
              <w:rPr/>
              <w:t> </w:t>
            </w:r>
          </w:p>
        </w:tc>
        <w:tc>
          <w:tcPr>
            <w:tcW w:w="980" w:type="dxa"/>
            <w:tcBorders/>
            <w:shd w:fill="CEE8F6" w:val="clear"/>
            <w:vAlign w:val="center"/>
          </w:tcPr>
          <w:p>
            <w:pPr>
              <w:pStyle w:val="TableContents"/>
              <w:spacing w:before="0" w:after="283"/>
              <w:jc w:val="right"/>
              <w:rPr/>
            </w:pPr>
            <w:r>
              <w:rPr/>
              <w:t>1,018,000</w:t>
            </w:r>
          </w:p>
        </w:tc>
        <w:tc>
          <w:tcPr>
            <w:tcW w:w="75" w:type="dxa"/>
            <w:tcBorders/>
            <w:shd w:fill="CEE8F6" w:val="clear"/>
            <w:vAlign w:val="center"/>
          </w:tcPr>
          <w:p>
            <w:pPr>
              <w:pStyle w:val="TableContents"/>
              <w:spacing w:before="0" w:after="283"/>
              <w:rPr/>
            </w:pPr>
            <w:r>
              <w:rPr/>
              <w:t> </w:t>
            </w:r>
          </w:p>
        </w:tc>
      </w:tr>
      <w:tr>
        <w:trPr/>
        <w:tc>
          <w:tcPr>
            <w:tcW w:w="1295"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before="0" w:after="283"/>
              <w:rPr/>
            </w:pPr>
            <w:r>
              <w:rPr/>
              <w:t> </w:t>
            </w:r>
          </w:p>
        </w:tc>
        <w:tc>
          <w:tcPr>
            <w:tcW w:w="500" w:type="dxa"/>
            <w:tcBorders/>
            <w:shd w:fill="CEE8F6" w:val="clear"/>
            <w:vAlign w:val="center"/>
          </w:tcPr>
          <w:p>
            <w:pPr>
              <w:pStyle w:val="TableContents"/>
              <w:spacing w:before="0" w:after="283"/>
              <w:jc w:val="right"/>
              <w:rPr/>
            </w:pPr>
            <w:r>
              <w:rPr/>
              <w:t>3/1/2022</w:t>
            </w:r>
          </w:p>
        </w:tc>
        <w:tc>
          <w:tcPr>
            <w:tcW w:w="215" w:type="dxa"/>
            <w:tcBorders/>
            <w:shd w:fill="CEE8F6" w:val="clear"/>
            <w:vAlign w:val="center"/>
          </w:tcPr>
          <w:p>
            <w:pPr>
              <w:pStyle w:val="TableContents"/>
              <w:spacing w:before="0" w:after="283"/>
              <w:rPr/>
            </w:pPr>
            <w:r>
              <w:rPr/>
              <w:t>(3) </w:t>
            </w:r>
          </w:p>
        </w:tc>
        <w:tc>
          <w:tcPr>
            <w:tcW w:w="60" w:type="dxa"/>
            <w:tcBorders/>
            <w:shd w:fill="CEE8F6" w:val="clear"/>
            <w:vAlign w:val="center"/>
          </w:tcPr>
          <w:p>
            <w:pPr>
              <w:pStyle w:val="TableContents"/>
              <w:spacing w:before="0" w:after="283"/>
              <w:rPr/>
            </w:pPr>
            <w:r>
              <w:rPr/>
              <w:t> </w:t>
            </w:r>
          </w:p>
        </w:tc>
        <w:tc>
          <w:tcPr>
            <w:tcW w:w="59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before="0" w:after="283"/>
              <w:rPr/>
            </w:pPr>
            <w:r>
              <w:rPr/>
              <w:t> </w:t>
            </w:r>
          </w:p>
        </w:tc>
        <w:tc>
          <w:tcPr>
            <w:tcW w:w="980" w:type="dxa"/>
            <w:tcBorders/>
            <w:shd w:fill="CEE8F6" w:val="clear"/>
            <w:vAlign w:val="center"/>
          </w:tcPr>
          <w:p>
            <w:pPr>
              <w:pStyle w:val="TableContents"/>
              <w:spacing w:before="0" w:after="283"/>
              <w:jc w:val="center"/>
              <w:rPr/>
            </w:pPr>
            <w:r>
              <w:rPr/>
              <w:t>-</w:t>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before="0" w:after="283"/>
              <w:rPr/>
            </w:pPr>
            <w:r>
              <w:rPr/>
              <w:t> </w:t>
            </w:r>
          </w:p>
        </w:tc>
        <w:tc>
          <w:tcPr>
            <w:tcW w:w="980" w:type="dxa"/>
            <w:tcBorders/>
            <w:shd w:fill="CEE8F6" w:val="clear"/>
            <w:vAlign w:val="center"/>
          </w:tcPr>
          <w:p>
            <w:pPr>
              <w:pStyle w:val="TableContents"/>
              <w:spacing w:before="0" w:after="283"/>
              <w:jc w:val="center"/>
              <w:rPr/>
            </w:pPr>
            <w:r>
              <w:rPr/>
              <w:t>-</w:t>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before="0" w:after="283"/>
              <w:rPr/>
            </w:pPr>
            <w:r>
              <w:rPr/>
              <w:t> </w:t>
            </w:r>
          </w:p>
        </w:tc>
        <w:tc>
          <w:tcPr>
            <w:tcW w:w="30" w:type="dxa"/>
            <w:tcBorders/>
            <w:shd w:fill="CEE8F6" w:val="clear"/>
            <w:vAlign w:val="center"/>
          </w:tcPr>
          <w:p>
            <w:pPr>
              <w:pStyle w:val="TableContents"/>
              <w:spacing w:before="0" w:after="283"/>
              <w:rPr>
                <w:sz w:val="4"/>
                <w:szCs w:val="4"/>
              </w:rPr>
            </w:pPr>
            <w:r>
              <w:rPr>
                <w:sz w:val="4"/>
                <w:szCs w:val="4"/>
              </w:rPr>
            </w:r>
          </w:p>
        </w:tc>
        <w:tc>
          <w:tcPr>
            <w:tcW w:w="3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pPr>
            <w:r>
              <w:rPr/>
              <w:t> </w:t>
            </w:r>
          </w:p>
        </w:tc>
        <w:tc>
          <w:tcPr>
            <w:tcW w:w="59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pPr>
            <w:r>
              <w:rPr/>
              <w:t> </w:t>
            </w:r>
          </w:p>
        </w:tc>
        <w:tc>
          <w:tcPr>
            <w:tcW w:w="800" w:type="dxa"/>
            <w:tcBorders/>
            <w:shd w:fill="CEE8F6" w:val="clear"/>
            <w:vAlign w:val="center"/>
          </w:tcPr>
          <w:p>
            <w:pPr>
              <w:pStyle w:val="TableContents"/>
              <w:spacing w:before="0" w:after="283"/>
              <w:jc w:val="center"/>
              <w:rPr/>
            </w:pPr>
            <w:r>
              <w:rPr/>
              <w:t>-</w:t>
            </w:r>
          </w:p>
        </w:tc>
        <w:tc>
          <w:tcPr>
            <w:tcW w:w="60" w:type="dxa"/>
            <w:tcBorders/>
            <w:shd w:fill="CEE8F6" w:val="clear"/>
            <w:vAlign w:val="center"/>
          </w:tcPr>
          <w:p>
            <w:pPr>
              <w:pStyle w:val="TableContents"/>
              <w:spacing w:before="0" w:after="283"/>
              <w:rPr/>
            </w:pPr>
            <w:r>
              <w:rPr/>
              <w:t> </w:t>
            </w:r>
          </w:p>
        </w:tc>
        <w:tc>
          <w:tcPr>
            <w:tcW w:w="800" w:type="dxa"/>
            <w:tcBorders/>
            <w:shd w:fill="CEE8F6" w:val="clear"/>
            <w:vAlign w:val="center"/>
          </w:tcPr>
          <w:p>
            <w:pPr>
              <w:pStyle w:val="TableContents"/>
              <w:spacing w:before="0" w:after="283"/>
              <w:jc w:val="center"/>
              <w:rPr/>
            </w:pPr>
            <w:r>
              <w:rPr/>
              <w:t>-</w:t>
            </w:r>
          </w:p>
        </w:tc>
        <w:tc>
          <w:tcPr>
            <w:tcW w:w="60" w:type="dxa"/>
            <w:tcBorders/>
            <w:shd w:fill="CEE8F6" w:val="clear"/>
            <w:vAlign w:val="center"/>
          </w:tcPr>
          <w:p>
            <w:pPr>
              <w:pStyle w:val="TableContents"/>
              <w:spacing w:before="0" w:after="283"/>
              <w:rPr/>
            </w:pPr>
            <w:r>
              <w:rPr/>
              <w:t> </w:t>
            </w:r>
          </w:p>
        </w:tc>
        <w:tc>
          <w:tcPr>
            <w:tcW w:w="30" w:type="dxa"/>
            <w:tcBorders/>
            <w:shd w:fill="CEE8F6" w:val="clear"/>
            <w:vAlign w:val="center"/>
          </w:tcPr>
          <w:p>
            <w:pPr>
              <w:pStyle w:val="TableContents"/>
              <w:spacing w:before="0" w:after="283"/>
              <w:rPr>
                <w:sz w:val="4"/>
                <w:szCs w:val="4"/>
              </w:rPr>
            </w:pPr>
            <w:r>
              <w:rPr>
                <w:sz w:val="4"/>
                <w:szCs w:val="4"/>
              </w:rPr>
            </w:r>
          </w:p>
        </w:tc>
        <w:tc>
          <w:tcPr>
            <w:tcW w:w="3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pPr>
            <w:r>
              <w:rPr/>
              <w:t> </w:t>
            </w:r>
          </w:p>
        </w:tc>
        <w:tc>
          <w:tcPr>
            <w:tcW w:w="830" w:type="dxa"/>
            <w:tcBorders/>
            <w:shd w:fill="CEE8F6" w:val="clear"/>
            <w:vAlign w:val="center"/>
          </w:tcPr>
          <w:p>
            <w:pPr>
              <w:pStyle w:val="TableContents"/>
              <w:spacing w:before="0" w:after="283"/>
              <w:jc w:val="center"/>
              <w:rPr/>
            </w:pPr>
            <w:r>
              <w:rPr/>
              <w:t>-</w:t>
            </w:r>
          </w:p>
        </w:tc>
        <w:tc>
          <w:tcPr>
            <w:tcW w:w="60" w:type="dxa"/>
            <w:tcBorders/>
            <w:shd w:fill="CEE8F6" w:val="clear"/>
            <w:vAlign w:val="center"/>
          </w:tcPr>
          <w:p>
            <w:pPr>
              <w:pStyle w:val="TableContents"/>
              <w:spacing w:before="0" w:after="283"/>
              <w:rPr/>
            </w:pPr>
            <w:r>
              <w:rPr/>
              <w:t> </w:t>
            </w:r>
          </w:p>
        </w:tc>
        <w:tc>
          <w:tcPr>
            <w:tcW w:w="905" w:type="dxa"/>
            <w:tcBorders/>
            <w:shd w:fill="CEE8F6" w:val="clear"/>
            <w:vAlign w:val="center"/>
          </w:tcPr>
          <w:p>
            <w:pPr>
              <w:pStyle w:val="TableContents"/>
              <w:spacing w:before="0" w:after="283"/>
              <w:jc w:val="center"/>
              <w:rPr/>
            </w:pPr>
            <w:r>
              <w:rPr/>
              <w:t>100,000</w:t>
            </w:r>
          </w:p>
        </w:tc>
        <w:tc>
          <w:tcPr>
            <w:tcW w:w="60" w:type="dxa"/>
            <w:tcBorders/>
            <w:shd w:fill="CEE8F6" w:val="clear"/>
            <w:vAlign w:val="center"/>
          </w:tcPr>
          <w:p>
            <w:pPr>
              <w:pStyle w:val="TableContents"/>
              <w:spacing w:before="0" w:after="283"/>
              <w:rPr/>
            </w:pPr>
            <w:r>
              <w:rPr/>
              <w:t> </w:t>
            </w:r>
          </w:p>
        </w:tc>
        <w:tc>
          <w:tcPr>
            <w:tcW w:w="620" w:type="dxa"/>
            <w:tcBorders/>
            <w:shd w:fill="CEE8F6" w:val="clear"/>
            <w:vAlign w:val="center"/>
          </w:tcPr>
          <w:p>
            <w:pPr>
              <w:pStyle w:val="TableContents"/>
              <w:spacing w:before="0" w:after="283"/>
              <w:jc w:val="center"/>
              <w:rPr/>
            </w:pPr>
            <w:r>
              <w:rPr/>
              <w:t>10.18</w:t>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before="0" w:after="283"/>
              <w:rPr/>
            </w:pPr>
            <w:r>
              <w:rPr/>
              <w:t> </w:t>
            </w:r>
          </w:p>
        </w:tc>
        <w:tc>
          <w:tcPr>
            <w:tcW w:w="980" w:type="dxa"/>
            <w:tcBorders/>
            <w:shd w:fill="CEE8F6" w:val="clear"/>
            <w:vAlign w:val="center"/>
          </w:tcPr>
          <w:p>
            <w:pPr>
              <w:pStyle w:val="TableContents"/>
              <w:spacing w:before="0" w:after="283"/>
              <w:jc w:val="right"/>
              <w:rPr/>
            </w:pPr>
            <w:r>
              <w:rPr/>
              <w:t>725,000</w:t>
            </w:r>
          </w:p>
        </w:tc>
        <w:tc>
          <w:tcPr>
            <w:tcW w:w="75" w:type="dxa"/>
            <w:tcBorders/>
            <w:shd w:fill="CEE8F6" w:val="clear"/>
            <w:vAlign w:val="center"/>
          </w:tcPr>
          <w:p>
            <w:pPr>
              <w:pStyle w:val="TableContents"/>
              <w:spacing w:before="0" w:after="283"/>
              <w:rPr/>
            </w:pPr>
            <w:r>
              <w:rPr/>
              <w:t> </w:t>
            </w:r>
          </w:p>
        </w:tc>
      </w:tr>
      <w:tr>
        <w:trPr/>
        <w:tc>
          <w:tcPr>
            <w:tcW w:w="1295" w:type="dxa"/>
            <w:tcBorders/>
            <w:shd w:fill="auto" w:val="clear"/>
            <w:vAlign w:val="center"/>
          </w:tcPr>
          <w:p>
            <w:pPr>
              <w:pStyle w:val="TableContents"/>
              <w:spacing w:before="0" w:after="0"/>
              <w:rPr/>
            </w:pPr>
            <w:r>
              <w:rPr/>
              <w:t> </w:t>
            </w:r>
          </w:p>
          <w:p>
            <w:pPr>
              <w:pStyle w:val="TableContents"/>
              <w:spacing w:lineRule="atLeast" w:line="240" w:before="0" w:after="20"/>
              <w:rPr>
                <w:rFonts w:ascii="ARIAL" w:hAnsi="ARIAL"/>
                <w:sz w:val="14"/>
              </w:rPr>
            </w:pPr>
            <w:r>
              <w:rPr>
                <w:rFonts w:ascii="ARIAL" w:hAnsi="ARIAL"/>
                <w:sz w:val="14"/>
              </w:rPr>
              <w:t>Wayne T. Smith</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lineRule="atLeast" w:line="240" w:before="0" w:after="0"/>
              <w:rPr/>
            </w:pPr>
            <w:r>
              <w:rPr/>
              <w:t> </w:t>
            </w:r>
          </w:p>
        </w:tc>
        <w:tc>
          <w:tcPr>
            <w:tcW w:w="500" w:type="dxa"/>
            <w:tcBorders/>
            <w:shd w:fill="auto" w:val="clear"/>
            <w:vAlign w:val="center"/>
          </w:tcPr>
          <w:p>
            <w:pPr>
              <w:pStyle w:val="TableContents"/>
              <w:spacing w:lineRule="atLeast" w:line="240" w:before="0" w:after="0"/>
              <w:jc w:val="center"/>
              <w:rPr>
                <w:rFonts w:ascii="ARIAL" w:hAnsi="ARIAL"/>
                <w:sz w:val="14"/>
              </w:rPr>
            </w:pPr>
            <w:r>
              <w:rPr>
                <w:rFonts w:ascii="ARIAL" w:hAnsi="ARIAL"/>
                <w:sz w:val="14"/>
              </w:rPr>
              <w:t>-</w:t>
            </w:r>
          </w:p>
        </w:tc>
        <w:tc>
          <w:tcPr>
            <w:tcW w:w="215"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590" w:type="dxa"/>
            <w:tcBorders/>
            <w:shd w:fill="auto" w:val="clear"/>
            <w:vAlign w:val="center"/>
          </w:tcPr>
          <w:p>
            <w:pPr>
              <w:pStyle w:val="TableContents"/>
              <w:spacing w:lineRule="atLeast" w:line="240" w:before="0" w:after="0"/>
              <w:jc w:val="center"/>
              <w:rPr>
                <w:rFonts w:ascii="ARIAL" w:hAnsi="ARIAL"/>
                <w:sz w:val="14"/>
              </w:rPr>
            </w:pPr>
            <w:r>
              <w:rPr>
                <w:rFonts w:ascii="ARIAL" w:hAnsi="ARIAL"/>
                <w:sz w:val="14"/>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lineRule="atLeast" w:line="240" w:before="0" w:after="0"/>
              <w:rPr/>
            </w:pPr>
            <w:r>
              <w:rPr/>
              <w:t> </w:t>
            </w:r>
          </w:p>
        </w:tc>
        <w:tc>
          <w:tcPr>
            <w:tcW w:w="980" w:type="dxa"/>
            <w:tcBorders/>
            <w:shd w:fill="auto" w:val="clear"/>
            <w:vAlign w:val="center"/>
          </w:tcPr>
          <w:p>
            <w:pPr>
              <w:pStyle w:val="TableContents"/>
              <w:spacing w:lineRule="atLeast" w:line="240" w:before="0" w:after="0"/>
              <w:jc w:val="right"/>
              <w:rPr>
                <w:rFonts w:ascii="ARIAL" w:hAnsi="ARIAL"/>
                <w:sz w:val="14"/>
              </w:rPr>
            </w:pPr>
            <w:r>
              <w:rPr>
                <w:rFonts w:ascii="ARIAL" w:hAnsi="ARIAL"/>
                <w:sz w:val="14"/>
              </w:rPr>
              <w:t>2,250,000</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lineRule="atLeast" w:line="240" w:before="0" w:after="0"/>
              <w:rPr/>
            </w:pPr>
            <w:r>
              <w:rPr/>
              <w:t> </w:t>
            </w:r>
          </w:p>
        </w:tc>
        <w:tc>
          <w:tcPr>
            <w:tcW w:w="980" w:type="dxa"/>
            <w:tcBorders/>
            <w:shd w:fill="auto" w:val="clear"/>
            <w:vAlign w:val="center"/>
          </w:tcPr>
          <w:p>
            <w:pPr>
              <w:pStyle w:val="TableContents"/>
              <w:spacing w:lineRule="atLeast" w:line="240" w:before="0" w:after="0"/>
              <w:jc w:val="right"/>
              <w:rPr>
                <w:rFonts w:ascii="ARIAL" w:hAnsi="ARIAL"/>
                <w:sz w:val="14"/>
              </w:rPr>
            </w:pPr>
            <w:r>
              <w:rPr>
                <w:rFonts w:ascii="ARIAL" w:hAnsi="ARIAL"/>
                <w:sz w:val="14"/>
              </w:rPr>
              <w:t>3,000,000</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30"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590" w:type="dxa"/>
            <w:tcBorders/>
            <w:shd w:fill="auto" w:val="clear"/>
            <w:vAlign w:val="center"/>
          </w:tcPr>
          <w:p>
            <w:pPr>
              <w:pStyle w:val="TableContents"/>
              <w:spacing w:lineRule="atLeast" w:line="240" w:before="0" w:after="0"/>
              <w:jc w:val="center"/>
              <w:rPr>
                <w:rFonts w:ascii="ARIAL" w:hAnsi="ARIAL"/>
                <w:sz w:val="14"/>
              </w:rPr>
            </w:pPr>
            <w:r>
              <w:rPr>
                <w:rFonts w:ascii="ARIAL" w:hAnsi="ARIAL"/>
                <w:sz w:val="14"/>
              </w:rPr>
              <w:t>-</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lineRule="atLeast" w:line="240" w:before="0" w:after="0"/>
              <w:jc w:val="center"/>
              <w:rPr>
                <w:rFonts w:ascii="ARIAL" w:hAnsi="ARIAL"/>
                <w:sz w:val="14"/>
              </w:rPr>
            </w:pPr>
            <w:r>
              <w:rPr>
                <w:rFonts w:ascii="ARIAL" w:hAnsi="ARIAL"/>
                <w:sz w:val="14"/>
              </w:rPr>
              <w:t>-</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lineRule="atLeast" w:line="240" w:before="0" w:after="0"/>
              <w:jc w:val="center"/>
              <w:rPr>
                <w:rFonts w:ascii="ARIAL" w:hAnsi="ARIAL"/>
                <w:sz w:val="14"/>
              </w:rPr>
            </w:pPr>
            <w:r>
              <w:rPr>
                <w:rFonts w:ascii="ARIAL" w:hAnsi="ARIAL"/>
                <w:sz w:val="14"/>
              </w:rPr>
              <w:t>-</w:t>
            </w:r>
          </w:p>
        </w:tc>
        <w:tc>
          <w:tcPr>
            <w:tcW w:w="60" w:type="dxa"/>
            <w:tcBorders/>
            <w:shd w:fill="auto" w:val="clear"/>
            <w:vAlign w:val="center"/>
          </w:tcPr>
          <w:p>
            <w:pPr>
              <w:pStyle w:val="TableContents"/>
              <w:spacing w:before="0" w:after="283"/>
              <w:rPr/>
            </w:pPr>
            <w:r>
              <w:rPr/>
              <w:t> </w:t>
            </w:r>
          </w:p>
        </w:tc>
        <w:tc>
          <w:tcPr>
            <w:tcW w:w="30"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830" w:type="dxa"/>
            <w:tcBorders/>
            <w:shd w:fill="auto" w:val="clear"/>
            <w:vAlign w:val="center"/>
          </w:tcPr>
          <w:p>
            <w:pPr>
              <w:pStyle w:val="TableContents"/>
              <w:spacing w:lineRule="atLeast" w:line="240" w:before="0" w:after="0"/>
              <w:jc w:val="center"/>
              <w:rPr>
                <w:rFonts w:ascii="ARIAL" w:hAnsi="ARIAL"/>
                <w:sz w:val="14"/>
              </w:rPr>
            </w:pPr>
            <w:r>
              <w:rPr>
                <w:rFonts w:ascii="ARIAL" w:hAnsi="ARIAL"/>
                <w:sz w:val="14"/>
              </w:rPr>
              <w:t>-</w:t>
            </w:r>
          </w:p>
        </w:tc>
        <w:tc>
          <w:tcPr>
            <w:tcW w:w="60" w:type="dxa"/>
            <w:tcBorders/>
            <w:shd w:fill="auto" w:val="clear"/>
            <w:vAlign w:val="center"/>
          </w:tcPr>
          <w:p>
            <w:pPr>
              <w:pStyle w:val="TableContents"/>
              <w:spacing w:before="0" w:after="283"/>
              <w:rPr/>
            </w:pPr>
            <w:r>
              <w:rPr/>
              <w:t> </w:t>
            </w:r>
          </w:p>
        </w:tc>
        <w:tc>
          <w:tcPr>
            <w:tcW w:w="905" w:type="dxa"/>
            <w:tcBorders/>
            <w:shd w:fill="auto" w:val="clear"/>
            <w:vAlign w:val="center"/>
          </w:tcPr>
          <w:p>
            <w:pPr>
              <w:pStyle w:val="TableContents"/>
              <w:spacing w:lineRule="atLeast" w:line="240" w:before="0" w:after="0"/>
              <w:jc w:val="center"/>
              <w:rPr>
                <w:rFonts w:ascii="ARIAL" w:hAnsi="ARIAL"/>
                <w:sz w:val="14"/>
              </w:rPr>
            </w:pPr>
            <w:r>
              <w:rPr>
                <w:rFonts w:ascii="ARIAL" w:hAnsi="ARIAL"/>
                <w:sz w:val="14"/>
              </w:rPr>
              <w:t>-</w:t>
            </w:r>
          </w:p>
        </w:tc>
        <w:tc>
          <w:tcPr>
            <w:tcW w:w="60" w:type="dxa"/>
            <w:tcBorders/>
            <w:shd w:fill="auto" w:val="clear"/>
            <w:vAlign w:val="center"/>
          </w:tcPr>
          <w:p>
            <w:pPr>
              <w:pStyle w:val="TableContents"/>
              <w:spacing w:before="0" w:after="283"/>
              <w:rPr/>
            </w:pPr>
            <w:r>
              <w:rPr/>
              <w:t> </w:t>
            </w:r>
          </w:p>
        </w:tc>
        <w:tc>
          <w:tcPr>
            <w:tcW w:w="620" w:type="dxa"/>
            <w:tcBorders/>
            <w:shd w:fill="auto" w:val="clear"/>
            <w:vAlign w:val="center"/>
          </w:tcPr>
          <w:p>
            <w:pPr>
              <w:pStyle w:val="TableContents"/>
              <w:spacing w:lineRule="atLeast" w:line="240" w:before="0" w:after="0"/>
              <w:jc w:val="center"/>
              <w:rPr>
                <w:rFonts w:ascii="ARIAL" w:hAnsi="ARIAL"/>
                <w:sz w:val="14"/>
              </w:rPr>
            </w:pPr>
            <w:r>
              <w:rPr>
                <w:rFonts w:ascii="ARIAL" w:hAnsi="ARIAL"/>
                <w:sz w:val="14"/>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lineRule="atLeast" w:line="240" w:before="0" w:after="0"/>
              <w:rPr/>
            </w:pPr>
            <w:r>
              <w:rPr/>
              <w:t> </w:t>
            </w:r>
          </w:p>
        </w:tc>
        <w:tc>
          <w:tcPr>
            <w:tcW w:w="980" w:type="dxa"/>
            <w:tcBorders/>
            <w:shd w:fill="auto" w:val="clear"/>
            <w:vAlign w:val="center"/>
          </w:tcPr>
          <w:p>
            <w:pPr>
              <w:pStyle w:val="TableContents"/>
              <w:spacing w:lineRule="atLeast" w:line="240" w:before="0" w:after="0"/>
              <w:jc w:val="center"/>
              <w:rPr>
                <w:rFonts w:ascii="ARIAL" w:hAnsi="ARIAL"/>
                <w:sz w:val="14"/>
              </w:rPr>
            </w:pPr>
            <w:r>
              <w:rPr>
                <w:rFonts w:ascii="ARIAL" w:hAnsi="ARIAL"/>
                <w:sz w:val="14"/>
              </w:rPr>
              <w:t>-</w:t>
            </w:r>
          </w:p>
        </w:tc>
        <w:tc>
          <w:tcPr>
            <w:tcW w:w="75" w:type="dxa"/>
            <w:tcBorders/>
            <w:shd w:fill="auto" w:val="clear"/>
            <w:vAlign w:val="center"/>
          </w:tcPr>
          <w:p>
            <w:pPr>
              <w:pStyle w:val="TableContents"/>
              <w:spacing w:lineRule="atLeast" w:line="240" w:before="0" w:after="0"/>
              <w:rPr/>
            </w:pPr>
            <w:r>
              <w:rPr/>
              <w:t> </w:t>
            </w:r>
          </w:p>
        </w:tc>
      </w:tr>
      <w:tr>
        <w:trPr/>
        <w:tc>
          <w:tcPr>
            <w:tcW w:w="12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00" w:type="dxa"/>
            <w:tcBorders/>
            <w:shd w:fill="auto" w:val="clear"/>
            <w:vAlign w:val="center"/>
          </w:tcPr>
          <w:p>
            <w:pPr>
              <w:pStyle w:val="TableContents"/>
              <w:spacing w:before="0" w:after="283"/>
              <w:jc w:val="right"/>
              <w:rPr/>
            </w:pPr>
            <w:r>
              <w:rPr/>
              <w:t>3/1/2022</w:t>
            </w:r>
          </w:p>
        </w:tc>
        <w:tc>
          <w:tcPr>
            <w:tcW w:w="215" w:type="dxa"/>
            <w:tcBorders/>
            <w:shd w:fill="auto" w:val="clear"/>
            <w:vAlign w:val="center"/>
          </w:tcPr>
          <w:p>
            <w:pPr>
              <w:pStyle w:val="TableContents"/>
              <w:spacing w:before="0" w:after="283"/>
              <w:rPr/>
            </w:pPr>
            <w:r>
              <w:rPr/>
              <w:t>(1) </w:t>
            </w:r>
          </w:p>
        </w:tc>
        <w:tc>
          <w:tcPr>
            <w:tcW w:w="60" w:type="dxa"/>
            <w:tcBorders/>
            <w:shd w:fill="auto" w:val="clear"/>
            <w:vAlign w:val="center"/>
          </w:tcPr>
          <w:p>
            <w:pPr>
              <w:pStyle w:val="TableContents"/>
              <w:spacing w:before="0" w:after="283"/>
              <w:rPr/>
            </w:pPr>
            <w:r>
              <w:rPr/>
              <w:t> </w:t>
            </w:r>
          </w:p>
        </w:tc>
        <w:tc>
          <w:tcPr>
            <w:tcW w:w="5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center"/>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center"/>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0"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5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center"/>
              <w:rPr/>
            </w:pPr>
            <w:r>
              <w:rPr/>
              <w:t>180,000</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center"/>
              <w:rPr/>
            </w:pPr>
            <w:r>
              <w:rPr/>
              <w:t>360,000</w:t>
            </w:r>
          </w:p>
        </w:tc>
        <w:tc>
          <w:tcPr>
            <w:tcW w:w="60" w:type="dxa"/>
            <w:tcBorders/>
            <w:shd w:fill="auto" w:val="clear"/>
            <w:vAlign w:val="center"/>
          </w:tcPr>
          <w:p>
            <w:pPr>
              <w:pStyle w:val="TableContents"/>
              <w:spacing w:before="0" w:after="283"/>
              <w:rPr/>
            </w:pPr>
            <w:r>
              <w:rPr/>
              <w:t> </w:t>
            </w:r>
          </w:p>
        </w:tc>
        <w:tc>
          <w:tcPr>
            <w:tcW w:w="30"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830" w:type="dxa"/>
            <w:tcBorders/>
            <w:shd w:fill="auto" w:val="clear"/>
            <w:vAlign w:val="center"/>
          </w:tcPr>
          <w:p>
            <w:pPr>
              <w:pStyle w:val="TableContents"/>
              <w:spacing w:before="0" w:after="283"/>
              <w:jc w:val="center"/>
              <w:rPr/>
            </w:pPr>
            <w:r>
              <w:rPr/>
              <w:t>-</w:t>
            </w:r>
          </w:p>
        </w:tc>
        <w:tc>
          <w:tcPr>
            <w:tcW w:w="60" w:type="dxa"/>
            <w:tcBorders/>
            <w:shd w:fill="auto" w:val="clear"/>
            <w:vAlign w:val="center"/>
          </w:tcPr>
          <w:p>
            <w:pPr>
              <w:pStyle w:val="TableContents"/>
              <w:spacing w:before="0" w:after="283"/>
              <w:rPr/>
            </w:pPr>
            <w:r>
              <w:rPr/>
              <w:t> </w:t>
            </w:r>
          </w:p>
        </w:tc>
        <w:tc>
          <w:tcPr>
            <w:tcW w:w="905" w:type="dxa"/>
            <w:tcBorders/>
            <w:shd w:fill="auto" w:val="clear"/>
            <w:vAlign w:val="center"/>
          </w:tcPr>
          <w:p>
            <w:pPr>
              <w:pStyle w:val="TableContents"/>
              <w:spacing w:before="0" w:after="283"/>
              <w:jc w:val="center"/>
              <w:rPr/>
            </w:pPr>
            <w:r>
              <w:rPr/>
              <w:t>-</w:t>
            </w:r>
          </w:p>
        </w:tc>
        <w:tc>
          <w:tcPr>
            <w:tcW w:w="60" w:type="dxa"/>
            <w:tcBorders/>
            <w:shd w:fill="auto" w:val="clear"/>
            <w:vAlign w:val="center"/>
          </w:tcPr>
          <w:p>
            <w:pPr>
              <w:pStyle w:val="TableContents"/>
              <w:spacing w:before="0" w:after="283"/>
              <w:rPr/>
            </w:pPr>
            <w:r>
              <w:rPr/>
              <w:t> </w:t>
            </w:r>
          </w:p>
        </w:tc>
        <w:tc>
          <w:tcPr>
            <w:tcW w:w="620" w:type="dxa"/>
            <w:tcBorders/>
            <w:shd w:fill="auto" w:val="clear"/>
            <w:vAlign w:val="center"/>
          </w:tcPr>
          <w:p>
            <w:pPr>
              <w:pStyle w:val="TableContents"/>
              <w:spacing w:before="0" w:after="283"/>
              <w:jc w:val="center"/>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1,832,400</w:t>
            </w:r>
          </w:p>
        </w:tc>
        <w:tc>
          <w:tcPr>
            <w:tcW w:w="75" w:type="dxa"/>
            <w:tcBorders/>
            <w:shd w:fill="auto" w:val="clear"/>
            <w:vAlign w:val="center"/>
          </w:tcPr>
          <w:p>
            <w:pPr>
              <w:pStyle w:val="TableContents"/>
              <w:spacing w:before="0" w:after="283"/>
              <w:rPr/>
            </w:pPr>
            <w:r>
              <w:rPr/>
              <w:t> </w:t>
            </w:r>
          </w:p>
        </w:tc>
      </w:tr>
      <w:tr>
        <w:trPr/>
        <w:tc>
          <w:tcPr>
            <w:tcW w:w="12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00" w:type="dxa"/>
            <w:tcBorders/>
            <w:shd w:fill="auto" w:val="clear"/>
            <w:vAlign w:val="center"/>
          </w:tcPr>
          <w:p>
            <w:pPr>
              <w:pStyle w:val="TableContents"/>
              <w:spacing w:before="0" w:after="283"/>
              <w:jc w:val="right"/>
              <w:rPr/>
            </w:pPr>
            <w:r>
              <w:rPr/>
              <w:t>3/1/2022</w:t>
            </w:r>
          </w:p>
        </w:tc>
        <w:tc>
          <w:tcPr>
            <w:tcW w:w="215" w:type="dxa"/>
            <w:tcBorders/>
            <w:shd w:fill="auto" w:val="clear"/>
            <w:vAlign w:val="center"/>
          </w:tcPr>
          <w:p>
            <w:pPr>
              <w:pStyle w:val="TableContents"/>
              <w:spacing w:before="0" w:after="283"/>
              <w:rPr/>
            </w:pPr>
            <w:r>
              <w:rPr/>
              <w:t>(2) </w:t>
            </w:r>
          </w:p>
        </w:tc>
        <w:tc>
          <w:tcPr>
            <w:tcW w:w="60" w:type="dxa"/>
            <w:tcBorders/>
            <w:shd w:fill="auto" w:val="clear"/>
            <w:vAlign w:val="center"/>
          </w:tcPr>
          <w:p>
            <w:pPr>
              <w:pStyle w:val="TableContents"/>
              <w:spacing w:before="0" w:after="283"/>
              <w:rPr/>
            </w:pPr>
            <w:r>
              <w:rPr/>
              <w:t> </w:t>
            </w:r>
          </w:p>
        </w:tc>
        <w:tc>
          <w:tcPr>
            <w:tcW w:w="5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center"/>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center"/>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0"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5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center"/>
              <w:rPr/>
            </w:pPr>
            <w:r>
              <w:rPr/>
              <w:t>-</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center"/>
              <w:rPr/>
            </w:pPr>
            <w:r>
              <w:rPr/>
              <w:t>-</w:t>
            </w:r>
          </w:p>
        </w:tc>
        <w:tc>
          <w:tcPr>
            <w:tcW w:w="60" w:type="dxa"/>
            <w:tcBorders/>
            <w:shd w:fill="auto" w:val="clear"/>
            <w:vAlign w:val="center"/>
          </w:tcPr>
          <w:p>
            <w:pPr>
              <w:pStyle w:val="TableContents"/>
              <w:spacing w:before="0" w:after="283"/>
              <w:rPr/>
            </w:pPr>
            <w:r>
              <w:rPr/>
              <w:t> </w:t>
            </w:r>
          </w:p>
        </w:tc>
        <w:tc>
          <w:tcPr>
            <w:tcW w:w="30"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830" w:type="dxa"/>
            <w:tcBorders/>
            <w:shd w:fill="auto" w:val="clear"/>
            <w:vAlign w:val="center"/>
          </w:tcPr>
          <w:p>
            <w:pPr>
              <w:pStyle w:val="TableContents"/>
              <w:spacing w:before="0" w:after="283"/>
              <w:jc w:val="center"/>
              <w:rPr/>
            </w:pPr>
            <w:r>
              <w:rPr/>
              <w:t>90,000</w:t>
            </w:r>
          </w:p>
        </w:tc>
        <w:tc>
          <w:tcPr>
            <w:tcW w:w="60" w:type="dxa"/>
            <w:tcBorders/>
            <w:shd w:fill="auto" w:val="clear"/>
            <w:vAlign w:val="center"/>
          </w:tcPr>
          <w:p>
            <w:pPr>
              <w:pStyle w:val="TableContents"/>
              <w:spacing w:before="0" w:after="283"/>
              <w:rPr/>
            </w:pPr>
            <w:r>
              <w:rPr/>
              <w:t> </w:t>
            </w:r>
          </w:p>
        </w:tc>
        <w:tc>
          <w:tcPr>
            <w:tcW w:w="905" w:type="dxa"/>
            <w:tcBorders/>
            <w:shd w:fill="auto" w:val="clear"/>
            <w:vAlign w:val="center"/>
          </w:tcPr>
          <w:p>
            <w:pPr>
              <w:pStyle w:val="TableContents"/>
              <w:spacing w:before="0" w:after="283"/>
              <w:jc w:val="center"/>
              <w:rPr/>
            </w:pPr>
            <w:r>
              <w:rPr/>
              <w:t>-</w:t>
            </w:r>
          </w:p>
        </w:tc>
        <w:tc>
          <w:tcPr>
            <w:tcW w:w="60" w:type="dxa"/>
            <w:tcBorders/>
            <w:shd w:fill="auto" w:val="clear"/>
            <w:vAlign w:val="center"/>
          </w:tcPr>
          <w:p>
            <w:pPr>
              <w:pStyle w:val="TableContents"/>
              <w:spacing w:before="0" w:after="283"/>
              <w:rPr/>
            </w:pPr>
            <w:r>
              <w:rPr/>
              <w:t> </w:t>
            </w:r>
          </w:p>
        </w:tc>
        <w:tc>
          <w:tcPr>
            <w:tcW w:w="620" w:type="dxa"/>
            <w:tcBorders/>
            <w:shd w:fill="auto" w:val="clear"/>
            <w:vAlign w:val="center"/>
          </w:tcPr>
          <w:p>
            <w:pPr>
              <w:pStyle w:val="TableContents"/>
              <w:spacing w:before="0" w:after="283"/>
              <w:jc w:val="center"/>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916,200</w:t>
            </w:r>
          </w:p>
        </w:tc>
        <w:tc>
          <w:tcPr>
            <w:tcW w:w="75" w:type="dxa"/>
            <w:tcBorders/>
            <w:shd w:fill="auto" w:val="clear"/>
            <w:vAlign w:val="center"/>
          </w:tcPr>
          <w:p>
            <w:pPr>
              <w:pStyle w:val="TableContents"/>
              <w:spacing w:before="0" w:after="283"/>
              <w:rPr/>
            </w:pPr>
            <w:r>
              <w:rPr/>
              <w:t> </w:t>
            </w:r>
          </w:p>
        </w:tc>
      </w:tr>
      <w:tr>
        <w:trPr/>
        <w:tc>
          <w:tcPr>
            <w:tcW w:w="12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00" w:type="dxa"/>
            <w:tcBorders/>
            <w:shd w:fill="auto" w:val="clear"/>
            <w:vAlign w:val="center"/>
          </w:tcPr>
          <w:p>
            <w:pPr>
              <w:pStyle w:val="TableContents"/>
              <w:spacing w:before="0" w:after="283"/>
              <w:jc w:val="right"/>
              <w:rPr/>
            </w:pPr>
            <w:r>
              <w:rPr/>
              <w:t>3/1/2022</w:t>
            </w:r>
          </w:p>
        </w:tc>
        <w:tc>
          <w:tcPr>
            <w:tcW w:w="215" w:type="dxa"/>
            <w:tcBorders/>
            <w:shd w:fill="auto" w:val="clear"/>
            <w:vAlign w:val="center"/>
          </w:tcPr>
          <w:p>
            <w:pPr>
              <w:pStyle w:val="TableContents"/>
              <w:spacing w:before="0" w:after="283"/>
              <w:rPr/>
            </w:pPr>
            <w:r>
              <w:rPr/>
              <w:t>(3) </w:t>
            </w:r>
          </w:p>
        </w:tc>
        <w:tc>
          <w:tcPr>
            <w:tcW w:w="60" w:type="dxa"/>
            <w:tcBorders/>
            <w:shd w:fill="auto" w:val="clear"/>
            <w:vAlign w:val="center"/>
          </w:tcPr>
          <w:p>
            <w:pPr>
              <w:pStyle w:val="TableContents"/>
              <w:spacing w:before="0" w:after="283"/>
              <w:rPr/>
            </w:pPr>
            <w:r>
              <w:rPr/>
              <w:t> </w:t>
            </w:r>
          </w:p>
        </w:tc>
        <w:tc>
          <w:tcPr>
            <w:tcW w:w="5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center"/>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center"/>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0"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5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center"/>
              <w:rPr/>
            </w:pPr>
            <w:r>
              <w:rPr/>
              <w:t>-</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center"/>
              <w:rPr/>
            </w:pPr>
            <w:r>
              <w:rPr/>
              <w:t>-</w:t>
            </w:r>
          </w:p>
        </w:tc>
        <w:tc>
          <w:tcPr>
            <w:tcW w:w="60" w:type="dxa"/>
            <w:tcBorders/>
            <w:shd w:fill="auto" w:val="clear"/>
            <w:vAlign w:val="center"/>
          </w:tcPr>
          <w:p>
            <w:pPr>
              <w:pStyle w:val="TableContents"/>
              <w:spacing w:before="0" w:after="283"/>
              <w:rPr/>
            </w:pPr>
            <w:r>
              <w:rPr/>
              <w:t> </w:t>
            </w:r>
          </w:p>
        </w:tc>
        <w:tc>
          <w:tcPr>
            <w:tcW w:w="30"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830" w:type="dxa"/>
            <w:tcBorders/>
            <w:shd w:fill="auto" w:val="clear"/>
            <w:vAlign w:val="center"/>
          </w:tcPr>
          <w:p>
            <w:pPr>
              <w:pStyle w:val="TableContents"/>
              <w:spacing w:before="0" w:after="283"/>
              <w:jc w:val="center"/>
              <w:rPr/>
            </w:pPr>
            <w:r>
              <w:rPr/>
              <w:t>-</w:t>
            </w:r>
          </w:p>
        </w:tc>
        <w:tc>
          <w:tcPr>
            <w:tcW w:w="60" w:type="dxa"/>
            <w:tcBorders/>
            <w:shd w:fill="auto" w:val="clear"/>
            <w:vAlign w:val="center"/>
          </w:tcPr>
          <w:p>
            <w:pPr>
              <w:pStyle w:val="TableContents"/>
              <w:spacing w:before="0" w:after="283"/>
              <w:rPr/>
            </w:pPr>
            <w:r>
              <w:rPr/>
              <w:t> </w:t>
            </w:r>
          </w:p>
        </w:tc>
        <w:tc>
          <w:tcPr>
            <w:tcW w:w="905" w:type="dxa"/>
            <w:tcBorders/>
            <w:shd w:fill="auto" w:val="clear"/>
            <w:vAlign w:val="center"/>
          </w:tcPr>
          <w:p>
            <w:pPr>
              <w:pStyle w:val="TableContents"/>
              <w:spacing w:before="0" w:after="283"/>
              <w:jc w:val="center"/>
              <w:rPr/>
            </w:pPr>
            <w:r>
              <w:rPr/>
              <w:t>90,000</w:t>
            </w:r>
          </w:p>
        </w:tc>
        <w:tc>
          <w:tcPr>
            <w:tcW w:w="60" w:type="dxa"/>
            <w:tcBorders/>
            <w:shd w:fill="auto" w:val="clear"/>
            <w:vAlign w:val="center"/>
          </w:tcPr>
          <w:p>
            <w:pPr>
              <w:pStyle w:val="TableContents"/>
              <w:spacing w:before="0" w:after="283"/>
              <w:rPr/>
            </w:pPr>
            <w:r>
              <w:rPr/>
              <w:t> </w:t>
            </w:r>
          </w:p>
        </w:tc>
        <w:tc>
          <w:tcPr>
            <w:tcW w:w="620" w:type="dxa"/>
            <w:tcBorders/>
            <w:shd w:fill="auto" w:val="clear"/>
            <w:vAlign w:val="center"/>
          </w:tcPr>
          <w:p>
            <w:pPr>
              <w:pStyle w:val="TableContents"/>
              <w:spacing w:before="0" w:after="283"/>
              <w:jc w:val="center"/>
              <w:rPr/>
            </w:pPr>
            <w:r>
              <w:rPr/>
              <w:t>10.18</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514,800</w:t>
            </w:r>
          </w:p>
        </w:tc>
        <w:tc>
          <w:tcPr>
            <w:tcW w:w="75" w:type="dxa"/>
            <w:tcBorders/>
            <w:shd w:fill="auto" w:val="clear"/>
            <w:vAlign w:val="center"/>
          </w:tcPr>
          <w:p>
            <w:pPr>
              <w:pStyle w:val="TableContents"/>
              <w:spacing w:before="0" w:after="283"/>
              <w:rPr/>
            </w:pPr>
            <w:r>
              <w:rPr/>
              <w:t> </w:t>
            </w:r>
          </w:p>
        </w:tc>
      </w:tr>
      <w:tr>
        <w:trPr/>
        <w:tc>
          <w:tcPr>
            <w:tcW w:w="1295" w:type="dxa"/>
            <w:tcBorders/>
            <w:shd w:fill="CEE8F6" w:val="clear"/>
            <w:vAlign w:val="center"/>
          </w:tcPr>
          <w:p>
            <w:pPr>
              <w:pStyle w:val="TableContents"/>
              <w:spacing w:before="0" w:after="0"/>
              <w:rPr/>
            </w:pPr>
            <w:r>
              <w:rPr/>
              <w:t> </w:t>
            </w:r>
          </w:p>
          <w:p>
            <w:pPr>
              <w:pStyle w:val="TableContents"/>
              <w:spacing w:before="0" w:after="20"/>
              <w:rPr>
                <w:rFonts w:ascii="ARIAL" w:hAnsi="ARIAL"/>
                <w:sz w:val="14"/>
              </w:rPr>
            </w:pPr>
            <w:r>
              <w:rPr>
                <w:rFonts w:ascii="ARIAL" w:hAnsi="ARIAL"/>
                <w:sz w:val="14"/>
              </w:rPr>
              <w:t>Kevin J. Hammons</w:t>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before="0" w:after="283"/>
              <w:rPr>
                <w:sz w:val="4"/>
                <w:szCs w:val="4"/>
              </w:rPr>
            </w:pPr>
            <w:r>
              <w:rPr>
                <w:sz w:val="4"/>
                <w:szCs w:val="4"/>
              </w:rPr>
            </w:r>
          </w:p>
        </w:tc>
        <w:tc>
          <w:tcPr>
            <w:tcW w:w="500" w:type="dxa"/>
            <w:tcBorders/>
            <w:shd w:fill="CEE8F6" w:val="clear"/>
            <w:vAlign w:val="center"/>
          </w:tcPr>
          <w:p>
            <w:pPr>
              <w:pStyle w:val="TableContents"/>
              <w:spacing w:before="0" w:after="283"/>
              <w:rPr>
                <w:sz w:val="4"/>
                <w:szCs w:val="4"/>
              </w:rPr>
            </w:pPr>
            <w:r>
              <w:rPr>
                <w:sz w:val="4"/>
                <w:szCs w:val="4"/>
              </w:rPr>
            </w:r>
          </w:p>
        </w:tc>
        <w:tc>
          <w:tcPr>
            <w:tcW w:w="215"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pPr>
            <w:r>
              <w:rPr/>
              <w:t> </w:t>
            </w:r>
          </w:p>
        </w:tc>
        <w:tc>
          <w:tcPr>
            <w:tcW w:w="590" w:type="dxa"/>
            <w:tcBorders/>
            <w:shd w:fill="CEE8F6" w:val="clear"/>
            <w:vAlign w:val="center"/>
          </w:tcPr>
          <w:p>
            <w:pPr>
              <w:pStyle w:val="TableContents"/>
              <w:spacing w:before="0" w:after="283"/>
              <w:jc w:val="center"/>
              <w:rPr/>
            </w:pPr>
            <w:r>
              <w:rPr/>
              <w:t>-</w:t>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before="0" w:after="283"/>
              <w:rPr/>
            </w:pPr>
            <w:r>
              <w:rPr/>
              <w:t> </w:t>
            </w:r>
          </w:p>
        </w:tc>
        <w:tc>
          <w:tcPr>
            <w:tcW w:w="980" w:type="dxa"/>
            <w:tcBorders/>
            <w:shd w:fill="CEE8F6" w:val="clear"/>
            <w:vAlign w:val="center"/>
          </w:tcPr>
          <w:p>
            <w:pPr>
              <w:pStyle w:val="TableContents"/>
              <w:spacing w:before="0" w:after="283"/>
              <w:jc w:val="right"/>
              <w:rPr/>
            </w:pPr>
            <w:r>
              <w:rPr/>
              <w:t>937,500</w:t>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before="0" w:after="283"/>
              <w:rPr/>
            </w:pPr>
            <w:r>
              <w:rPr/>
              <w:t> </w:t>
            </w:r>
          </w:p>
        </w:tc>
        <w:tc>
          <w:tcPr>
            <w:tcW w:w="980" w:type="dxa"/>
            <w:tcBorders/>
            <w:shd w:fill="CEE8F6" w:val="clear"/>
            <w:vAlign w:val="center"/>
          </w:tcPr>
          <w:p>
            <w:pPr>
              <w:pStyle w:val="TableContents"/>
              <w:spacing w:before="0" w:after="283"/>
              <w:jc w:val="right"/>
              <w:rPr/>
            </w:pPr>
            <w:r>
              <w:rPr/>
              <w:t>1,312,500</w:t>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before="0" w:after="283"/>
              <w:rPr/>
            </w:pPr>
            <w:r>
              <w:rPr/>
              <w:t> </w:t>
            </w:r>
          </w:p>
        </w:tc>
        <w:tc>
          <w:tcPr>
            <w:tcW w:w="30" w:type="dxa"/>
            <w:tcBorders/>
            <w:shd w:fill="CEE8F6" w:val="clear"/>
            <w:vAlign w:val="center"/>
          </w:tcPr>
          <w:p>
            <w:pPr>
              <w:pStyle w:val="TableContents"/>
              <w:spacing w:before="0" w:after="283"/>
              <w:rPr>
                <w:sz w:val="4"/>
                <w:szCs w:val="4"/>
              </w:rPr>
            </w:pPr>
            <w:r>
              <w:rPr>
                <w:sz w:val="4"/>
                <w:szCs w:val="4"/>
              </w:rPr>
            </w:r>
          </w:p>
        </w:tc>
        <w:tc>
          <w:tcPr>
            <w:tcW w:w="3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pPr>
            <w:r>
              <w:rPr/>
              <w:t> </w:t>
            </w:r>
          </w:p>
        </w:tc>
        <w:tc>
          <w:tcPr>
            <w:tcW w:w="590" w:type="dxa"/>
            <w:tcBorders/>
            <w:shd w:fill="CEE8F6" w:val="clear"/>
            <w:vAlign w:val="center"/>
          </w:tcPr>
          <w:p>
            <w:pPr>
              <w:pStyle w:val="TableContents"/>
              <w:spacing w:before="0" w:after="283"/>
              <w:jc w:val="center"/>
              <w:rPr/>
            </w:pPr>
            <w:r>
              <w:rPr/>
              <w:t>-</w:t>
            </w:r>
          </w:p>
        </w:tc>
        <w:tc>
          <w:tcPr>
            <w:tcW w:w="60" w:type="dxa"/>
            <w:tcBorders/>
            <w:shd w:fill="CEE8F6" w:val="clear"/>
            <w:vAlign w:val="center"/>
          </w:tcPr>
          <w:p>
            <w:pPr>
              <w:pStyle w:val="TableContents"/>
              <w:spacing w:before="0" w:after="283"/>
              <w:rPr/>
            </w:pPr>
            <w:r>
              <w:rPr/>
              <w:t> </w:t>
            </w:r>
          </w:p>
        </w:tc>
        <w:tc>
          <w:tcPr>
            <w:tcW w:w="800" w:type="dxa"/>
            <w:tcBorders/>
            <w:shd w:fill="CEE8F6" w:val="clear"/>
            <w:vAlign w:val="center"/>
          </w:tcPr>
          <w:p>
            <w:pPr>
              <w:pStyle w:val="TableContents"/>
              <w:spacing w:before="0" w:after="283"/>
              <w:jc w:val="center"/>
              <w:rPr/>
            </w:pPr>
            <w:r>
              <w:rPr/>
              <w:t>-</w:t>
            </w:r>
          </w:p>
        </w:tc>
        <w:tc>
          <w:tcPr>
            <w:tcW w:w="60" w:type="dxa"/>
            <w:tcBorders/>
            <w:shd w:fill="CEE8F6" w:val="clear"/>
            <w:vAlign w:val="center"/>
          </w:tcPr>
          <w:p>
            <w:pPr>
              <w:pStyle w:val="TableContents"/>
              <w:spacing w:before="0" w:after="283"/>
              <w:rPr/>
            </w:pPr>
            <w:r>
              <w:rPr/>
              <w:t> </w:t>
            </w:r>
          </w:p>
        </w:tc>
        <w:tc>
          <w:tcPr>
            <w:tcW w:w="800" w:type="dxa"/>
            <w:tcBorders/>
            <w:shd w:fill="CEE8F6" w:val="clear"/>
            <w:vAlign w:val="center"/>
          </w:tcPr>
          <w:p>
            <w:pPr>
              <w:pStyle w:val="TableContents"/>
              <w:spacing w:before="0" w:after="283"/>
              <w:jc w:val="center"/>
              <w:rPr/>
            </w:pPr>
            <w:r>
              <w:rPr/>
              <w:t>-</w:t>
            </w:r>
          </w:p>
        </w:tc>
        <w:tc>
          <w:tcPr>
            <w:tcW w:w="60" w:type="dxa"/>
            <w:tcBorders/>
            <w:shd w:fill="CEE8F6" w:val="clear"/>
            <w:vAlign w:val="center"/>
          </w:tcPr>
          <w:p>
            <w:pPr>
              <w:pStyle w:val="TableContents"/>
              <w:spacing w:before="0" w:after="283"/>
              <w:rPr/>
            </w:pPr>
            <w:r>
              <w:rPr/>
              <w:t> </w:t>
            </w:r>
          </w:p>
        </w:tc>
        <w:tc>
          <w:tcPr>
            <w:tcW w:w="30" w:type="dxa"/>
            <w:tcBorders/>
            <w:shd w:fill="CEE8F6" w:val="clear"/>
            <w:vAlign w:val="center"/>
          </w:tcPr>
          <w:p>
            <w:pPr>
              <w:pStyle w:val="TableContents"/>
              <w:spacing w:before="0" w:after="283"/>
              <w:rPr>
                <w:sz w:val="4"/>
                <w:szCs w:val="4"/>
              </w:rPr>
            </w:pPr>
            <w:r>
              <w:rPr>
                <w:sz w:val="4"/>
                <w:szCs w:val="4"/>
              </w:rPr>
            </w:r>
          </w:p>
        </w:tc>
        <w:tc>
          <w:tcPr>
            <w:tcW w:w="3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pPr>
            <w:r>
              <w:rPr/>
              <w:t> </w:t>
            </w:r>
          </w:p>
        </w:tc>
        <w:tc>
          <w:tcPr>
            <w:tcW w:w="830" w:type="dxa"/>
            <w:tcBorders/>
            <w:shd w:fill="CEE8F6" w:val="clear"/>
            <w:vAlign w:val="center"/>
          </w:tcPr>
          <w:p>
            <w:pPr>
              <w:pStyle w:val="TableContents"/>
              <w:spacing w:before="0" w:after="283"/>
              <w:jc w:val="center"/>
              <w:rPr/>
            </w:pPr>
            <w:r>
              <w:rPr/>
              <w:t>-</w:t>
            </w:r>
          </w:p>
        </w:tc>
        <w:tc>
          <w:tcPr>
            <w:tcW w:w="60" w:type="dxa"/>
            <w:tcBorders/>
            <w:shd w:fill="CEE8F6" w:val="clear"/>
            <w:vAlign w:val="center"/>
          </w:tcPr>
          <w:p>
            <w:pPr>
              <w:pStyle w:val="TableContents"/>
              <w:spacing w:before="0" w:after="283"/>
              <w:rPr/>
            </w:pPr>
            <w:r>
              <w:rPr/>
              <w:t> </w:t>
            </w:r>
          </w:p>
        </w:tc>
        <w:tc>
          <w:tcPr>
            <w:tcW w:w="905" w:type="dxa"/>
            <w:tcBorders/>
            <w:shd w:fill="CEE8F6" w:val="clear"/>
            <w:vAlign w:val="center"/>
          </w:tcPr>
          <w:p>
            <w:pPr>
              <w:pStyle w:val="TableContents"/>
              <w:spacing w:before="0" w:after="283"/>
              <w:jc w:val="center"/>
              <w:rPr/>
            </w:pPr>
            <w:r>
              <w:rPr/>
              <w:t>-</w:t>
            </w:r>
          </w:p>
        </w:tc>
        <w:tc>
          <w:tcPr>
            <w:tcW w:w="60" w:type="dxa"/>
            <w:tcBorders/>
            <w:shd w:fill="CEE8F6" w:val="clear"/>
            <w:vAlign w:val="center"/>
          </w:tcPr>
          <w:p>
            <w:pPr>
              <w:pStyle w:val="TableContents"/>
              <w:spacing w:before="0" w:after="283"/>
              <w:rPr/>
            </w:pPr>
            <w:r>
              <w:rPr/>
              <w:t> </w:t>
            </w:r>
          </w:p>
        </w:tc>
        <w:tc>
          <w:tcPr>
            <w:tcW w:w="620" w:type="dxa"/>
            <w:tcBorders/>
            <w:shd w:fill="CEE8F6" w:val="clear"/>
            <w:vAlign w:val="center"/>
          </w:tcPr>
          <w:p>
            <w:pPr>
              <w:pStyle w:val="TableContents"/>
              <w:spacing w:before="0" w:after="283"/>
              <w:jc w:val="center"/>
              <w:rPr/>
            </w:pPr>
            <w:r>
              <w:rPr/>
              <w:t>-</w:t>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before="0" w:after="283"/>
              <w:rPr/>
            </w:pPr>
            <w:r>
              <w:rPr/>
              <w:t> </w:t>
            </w:r>
          </w:p>
        </w:tc>
        <w:tc>
          <w:tcPr>
            <w:tcW w:w="980" w:type="dxa"/>
            <w:tcBorders/>
            <w:shd w:fill="CEE8F6" w:val="clear"/>
            <w:vAlign w:val="center"/>
          </w:tcPr>
          <w:p>
            <w:pPr>
              <w:pStyle w:val="TableContents"/>
              <w:spacing w:before="0" w:after="283"/>
              <w:jc w:val="center"/>
              <w:rPr/>
            </w:pPr>
            <w:r>
              <w:rPr/>
              <w:t>-</w:t>
            </w:r>
          </w:p>
        </w:tc>
        <w:tc>
          <w:tcPr>
            <w:tcW w:w="75" w:type="dxa"/>
            <w:tcBorders/>
            <w:shd w:fill="CEE8F6" w:val="clear"/>
            <w:vAlign w:val="center"/>
          </w:tcPr>
          <w:p>
            <w:pPr>
              <w:pStyle w:val="TableContents"/>
              <w:spacing w:before="0" w:after="283"/>
              <w:rPr/>
            </w:pPr>
            <w:r>
              <w:rPr/>
              <w:t> </w:t>
            </w:r>
          </w:p>
        </w:tc>
      </w:tr>
      <w:tr>
        <w:trPr/>
        <w:tc>
          <w:tcPr>
            <w:tcW w:w="1295"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before="0" w:after="283"/>
              <w:rPr/>
            </w:pPr>
            <w:r>
              <w:rPr/>
              <w:t> </w:t>
            </w:r>
          </w:p>
        </w:tc>
        <w:tc>
          <w:tcPr>
            <w:tcW w:w="500" w:type="dxa"/>
            <w:tcBorders/>
            <w:shd w:fill="CEE8F6" w:val="clear"/>
            <w:vAlign w:val="center"/>
          </w:tcPr>
          <w:p>
            <w:pPr>
              <w:pStyle w:val="TableContents"/>
              <w:spacing w:before="0" w:after="283"/>
              <w:jc w:val="right"/>
              <w:rPr/>
            </w:pPr>
            <w:r>
              <w:rPr/>
              <w:t>3/1/2022</w:t>
            </w:r>
          </w:p>
        </w:tc>
        <w:tc>
          <w:tcPr>
            <w:tcW w:w="215" w:type="dxa"/>
            <w:tcBorders/>
            <w:shd w:fill="CEE8F6" w:val="clear"/>
            <w:vAlign w:val="center"/>
          </w:tcPr>
          <w:p>
            <w:pPr>
              <w:pStyle w:val="TableContents"/>
              <w:spacing w:before="0" w:after="283"/>
              <w:rPr/>
            </w:pPr>
            <w:r>
              <w:rPr/>
              <w:t>(1) </w:t>
            </w:r>
          </w:p>
        </w:tc>
        <w:tc>
          <w:tcPr>
            <w:tcW w:w="60" w:type="dxa"/>
            <w:tcBorders/>
            <w:shd w:fill="CEE8F6" w:val="clear"/>
            <w:vAlign w:val="center"/>
          </w:tcPr>
          <w:p>
            <w:pPr>
              <w:pStyle w:val="TableContents"/>
              <w:spacing w:before="0" w:after="283"/>
              <w:rPr/>
            </w:pPr>
            <w:r>
              <w:rPr/>
              <w:t> </w:t>
            </w:r>
          </w:p>
        </w:tc>
        <w:tc>
          <w:tcPr>
            <w:tcW w:w="59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before="0" w:after="283"/>
              <w:rPr/>
            </w:pPr>
            <w:r>
              <w:rPr/>
              <w:t> </w:t>
            </w:r>
          </w:p>
        </w:tc>
        <w:tc>
          <w:tcPr>
            <w:tcW w:w="980" w:type="dxa"/>
            <w:tcBorders/>
            <w:shd w:fill="CEE8F6" w:val="clear"/>
            <w:vAlign w:val="center"/>
          </w:tcPr>
          <w:p>
            <w:pPr>
              <w:pStyle w:val="TableContents"/>
              <w:spacing w:before="0" w:after="283"/>
              <w:jc w:val="center"/>
              <w:rPr/>
            </w:pPr>
            <w:r>
              <w:rPr/>
              <w:t>-</w:t>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before="0" w:after="283"/>
              <w:rPr/>
            </w:pPr>
            <w:r>
              <w:rPr/>
              <w:t> </w:t>
            </w:r>
          </w:p>
        </w:tc>
        <w:tc>
          <w:tcPr>
            <w:tcW w:w="980" w:type="dxa"/>
            <w:tcBorders/>
            <w:shd w:fill="CEE8F6" w:val="clear"/>
            <w:vAlign w:val="center"/>
          </w:tcPr>
          <w:p>
            <w:pPr>
              <w:pStyle w:val="TableContents"/>
              <w:spacing w:before="0" w:after="283"/>
              <w:jc w:val="center"/>
              <w:rPr/>
            </w:pPr>
            <w:r>
              <w:rPr/>
              <w:t>-</w:t>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before="0" w:after="283"/>
              <w:rPr/>
            </w:pPr>
            <w:r>
              <w:rPr/>
              <w:t> </w:t>
            </w:r>
          </w:p>
        </w:tc>
        <w:tc>
          <w:tcPr>
            <w:tcW w:w="30" w:type="dxa"/>
            <w:tcBorders/>
            <w:shd w:fill="CEE8F6" w:val="clear"/>
            <w:vAlign w:val="center"/>
          </w:tcPr>
          <w:p>
            <w:pPr>
              <w:pStyle w:val="TableContents"/>
              <w:spacing w:before="0" w:after="283"/>
              <w:rPr>
                <w:sz w:val="4"/>
                <w:szCs w:val="4"/>
              </w:rPr>
            </w:pPr>
            <w:r>
              <w:rPr>
                <w:sz w:val="4"/>
                <w:szCs w:val="4"/>
              </w:rPr>
            </w:r>
          </w:p>
        </w:tc>
        <w:tc>
          <w:tcPr>
            <w:tcW w:w="3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pPr>
            <w:r>
              <w:rPr/>
              <w:t> </w:t>
            </w:r>
          </w:p>
        </w:tc>
        <w:tc>
          <w:tcPr>
            <w:tcW w:w="59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pPr>
            <w:r>
              <w:rPr/>
              <w:t> </w:t>
            </w:r>
          </w:p>
        </w:tc>
        <w:tc>
          <w:tcPr>
            <w:tcW w:w="800" w:type="dxa"/>
            <w:tcBorders/>
            <w:shd w:fill="CEE8F6" w:val="clear"/>
            <w:vAlign w:val="center"/>
          </w:tcPr>
          <w:p>
            <w:pPr>
              <w:pStyle w:val="TableContents"/>
              <w:spacing w:before="0" w:after="283"/>
              <w:jc w:val="center"/>
              <w:rPr/>
            </w:pPr>
            <w:r>
              <w:rPr/>
              <w:t>150,000</w:t>
            </w:r>
          </w:p>
        </w:tc>
        <w:tc>
          <w:tcPr>
            <w:tcW w:w="60" w:type="dxa"/>
            <w:tcBorders/>
            <w:shd w:fill="CEE8F6" w:val="clear"/>
            <w:vAlign w:val="center"/>
          </w:tcPr>
          <w:p>
            <w:pPr>
              <w:pStyle w:val="TableContents"/>
              <w:spacing w:before="0" w:after="283"/>
              <w:rPr/>
            </w:pPr>
            <w:r>
              <w:rPr/>
              <w:t> </w:t>
            </w:r>
          </w:p>
        </w:tc>
        <w:tc>
          <w:tcPr>
            <w:tcW w:w="800" w:type="dxa"/>
            <w:tcBorders/>
            <w:shd w:fill="CEE8F6" w:val="clear"/>
            <w:vAlign w:val="center"/>
          </w:tcPr>
          <w:p>
            <w:pPr>
              <w:pStyle w:val="TableContents"/>
              <w:spacing w:before="0" w:after="283"/>
              <w:jc w:val="center"/>
              <w:rPr/>
            </w:pPr>
            <w:r>
              <w:rPr/>
              <w:t>300,000</w:t>
            </w:r>
          </w:p>
        </w:tc>
        <w:tc>
          <w:tcPr>
            <w:tcW w:w="60" w:type="dxa"/>
            <w:tcBorders/>
            <w:shd w:fill="CEE8F6" w:val="clear"/>
            <w:vAlign w:val="center"/>
          </w:tcPr>
          <w:p>
            <w:pPr>
              <w:pStyle w:val="TableContents"/>
              <w:spacing w:before="0" w:after="283"/>
              <w:rPr/>
            </w:pPr>
            <w:r>
              <w:rPr/>
              <w:t> </w:t>
            </w:r>
          </w:p>
        </w:tc>
        <w:tc>
          <w:tcPr>
            <w:tcW w:w="30" w:type="dxa"/>
            <w:tcBorders/>
            <w:shd w:fill="CEE8F6" w:val="clear"/>
            <w:vAlign w:val="center"/>
          </w:tcPr>
          <w:p>
            <w:pPr>
              <w:pStyle w:val="TableContents"/>
              <w:spacing w:before="0" w:after="283"/>
              <w:rPr>
                <w:sz w:val="4"/>
                <w:szCs w:val="4"/>
              </w:rPr>
            </w:pPr>
            <w:r>
              <w:rPr>
                <w:sz w:val="4"/>
                <w:szCs w:val="4"/>
              </w:rPr>
            </w:r>
          </w:p>
        </w:tc>
        <w:tc>
          <w:tcPr>
            <w:tcW w:w="3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pPr>
            <w:r>
              <w:rPr/>
              <w:t> </w:t>
            </w:r>
          </w:p>
        </w:tc>
        <w:tc>
          <w:tcPr>
            <w:tcW w:w="830" w:type="dxa"/>
            <w:tcBorders/>
            <w:shd w:fill="CEE8F6" w:val="clear"/>
            <w:vAlign w:val="center"/>
          </w:tcPr>
          <w:p>
            <w:pPr>
              <w:pStyle w:val="TableContents"/>
              <w:spacing w:before="0" w:after="283"/>
              <w:jc w:val="center"/>
              <w:rPr/>
            </w:pPr>
            <w:r>
              <w:rPr/>
              <w:t>-</w:t>
            </w:r>
          </w:p>
        </w:tc>
        <w:tc>
          <w:tcPr>
            <w:tcW w:w="60" w:type="dxa"/>
            <w:tcBorders/>
            <w:shd w:fill="CEE8F6" w:val="clear"/>
            <w:vAlign w:val="center"/>
          </w:tcPr>
          <w:p>
            <w:pPr>
              <w:pStyle w:val="TableContents"/>
              <w:spacing w:before="0" w:after="283"/>
              <w:rPr/>
            </w:pPr>
            <w:r>
              <w:rPr/>
              <w:t> </w:t>
            </w:r>
          </w:p>
        </w:tc>
        <w:tc>
          <w:tcPr>
            <w:tcW w:w="905" w:type="dxa"/>
            <w:tcBorders/>
            <w:shd w:fill="CEE8F6" w:val="clear"/>
            <w:vAlign w:val="center"/>
          </w:tcPr>
          <w:p>
            <w:pPr>
              <w:pStyle w:val="TableContents"/>
              <w:spacing w:before="0" w:after="283"/>
              <w:jc w:val="center"/>
              <w:rPr/>
            </w:pPr>
            <w:r>
              <w:rPr/>
              <w:t>-</w:t>
            </w:r>
          </w:p>
        </w:tc>
        <w:tc>
          <w:tcPr>
            <w:tcW w:w="60" w:type="dxa"/>
            <w:tcBorders/>
            <w:shd w:fill="CEE8F6" w:val="clear"/>
            <w:vAlign w:val="center"/>
          </w:tcPr>
          <w:p>
            <w:pPr>
              <w:pStyle w:val="TableContents"/>
              <w:spacing w:before="0" w:after="283"/>
              <w:rPr/>
            </w:pPr>
            <w:r>
              <w:rPr/>
              <w:t> </w:t>
            </w:r>
          </w:p>
        </w:tc>
        <w:tc>
          <w:tcPr>
            <w:tcW w:w="620" w:type="dxa"/>
            <w:tcBorders/>
            <w:shd w:fill="CEE8F6" w:val="clear"/>
            <w:vAlign w:val="center"/>
          </w:tcPr>
          <w:p>
            <w:pPr>
              <w:pStyle w:val="TableContents"/>
              <w:spacing w:before="0" w:after="283"/>
              <w:jc w:val="center"/>
              <w:rPr/>
            </w:pPr>
            <w:r>
              <w:rPr/>
              <w:t>-</w:t>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before="0" w:after="283"/>
              <w:rPr/>
            </w:pPr>
            <w:r>
              <w:rPr/>
              <w:t> </w:t>
            </w:r>
          </w:p>
        </w:tc>
        <w:tc>
          <w:tcPr>
            <w:tcW w:w="980" w:type="dxa"/>
            <w:tcBorders/>
            <w:shd w:fill="CEE8F6" w:val="clear"/>
            <w:vAlign w:val="center"/>
          </w:tcPr>
          <w:p>
            <w:pPr>
              <w:pStyle w:val="TableContents"/>
              <w:spacing w:before="0" w:after="283"/>
              <w:jc w:val="right"/>
              <w:rPr/>
            </w:pPr>
            <w:r>
              <w:rPr/>
              <w:t>1,527,000</w:t>
            </w:r>
          </w:p>
        </w:tc>
        <w:tc>
          <w:tcPr>
            <w:tcW w:w="75" w:type="dxa"/>
            <w:tcBorders/>
            <w:shd w:fill="CEE8F6" w:val="clear"/>
            <w:vAlign w:val="center"/>
          </w:tcPr>
          <w:p>
            <w:pPr>
              <w:pStyle w:val="TableContents"/>
              <w:spacing w:before="0" w:after="283"/>
              <w:rPr/>
            </w:pPr>
            <w:r>
              <w:rPr/>
              <w:t> </w:t>
            </w:r>
          </w:p>
        </w:tc>
      </w:tr>
      <w:tr>
        <w:trPr/>
        <w:tc>
          <w:tcPr>
            <w:tcW w:w="1295"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before="0" w:after="283"/>
              <w:rPr/>
            </w:pPr>
            <w:r>
              <w:rPr/>
              <w:t> </w:t>
            </w:r>
          </w:p>
        </w:tc>
        <w:tc>
          <w:tcPr>
            <w:tcW w:w="500" w:type="dxa"/>
            <w:tcBorders/>
            <w:shd w:fill="CEE8F6" w:val="clear"/>
            <w:vAlign w:val="center"/>
          </w:tcPr>
          <w:p>
            <w:pPr>
              <w:pStyle w:val="TableContents"/>
              <w:spacing w:before="0" w:after="283"/>
              <w:jc w:val="right"/>
              <w:rPr/>
            </w:pPr>
            <w:r>
              <w:rPr/>
              <w:t>3/1/2022</w:t>
            </w:r>
          </w:p>
        </w:tc>
        <w:tc>
          <w:tcPr>
            <w:tcW w:w="215" w:type="dxa"/>
            <w:tcBorders/>
            <w:shd w:fill="CEE8F6" w:val="clear"/>
            <w:vAlign w:val="center"/>
          </w:tcPr>
          <w:p>
            <w:pPr>
              <w:pStyle w:val="TableContents"/>
              <w:spacing w:before="0" w:after="283"/>
              <w:rPr/>
            </w:pPr>
            <w:r>
              <w:rPr/>
              <w:t>(2) </w:t>
            </w:r>
          </w:p>
        </w:tc>
        <w:tc>
          <w:tcPr>
            <w:tcW w:w="60" w:type="dxa"/>
            <w:tcBorders/>
            <w:shd w:fill="CEE8F6" w:val="clear"/>
            <w:vAlign w:val="center"/>
          </w:tcPr>
          <w:p>
            <w:pPr>
              <w:pStyle w:val="TableContents"/>
              <w:spacing w:before="0" w:after="283"/>
              <w:rPr/>
            </w:pPr>
            <w:r>
              <w:rPr/>
              <w:t> </w:t>
            </w:r>
          </w:p>
        </w:tc>
        <w:tc>
          <w:tcPr>
            <w:tcW w:w="59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before="0" w:after="283"/>
              <w:rPr/>
            </w:pPr>
            <w:r>
              <w:rPr/>
              <w:t> </w:t>
            </w:r>
          </w:p>
        </w:tc>
        <w:tc>
          <w:tcPr>
            <w:tcW w:w="980" w:type="dxa"/>
            <w:tcBorders/>
            <w:shd w:fill="CEE8F6" w:val="clear"/>
            <w:vAlign w:val="center"/>
          </w:tcPr>
          <w:p>
            <w:pPr>
              <w:pStyle w:val="TableContents"/>
              <w:spacing w:before="0" w:after="283"/>
              <w:jc w:val="center"/>
              <w:rPr/>
            </w:pPr>
            <w:r>
              <w:rPr/>
              <w:t>-</w:t>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before="0" w:after="283"/>
              <w:rPr/>
            </w:pPr>
            <w:r>
              <w:rPr/>
              <w:t> </w:t>
            </w:r>
          </w:p>
        </w:tc>
        <w:tc>
          <w:tcPr>
            <w:tcW w:w="980" w:type="dxa"/>
            <w:tcBorders/>
            <w:shd w:fill="CEE8F6" w:val="clear"/>
            <w:vAlign w:val="center"/>
          </w:tcPr>
          <w:p>
            <w:pPr>
              <w:pStyle w:val="TableContents"/>
              <w:spacing w:before="0" w:after="283"/>
              <w:jc w:val="center"/>
              <w:rPr/>
            </w:pPr>
            <w:r>
              <w:rPr/>
              <w:t>-</w:t>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before="0" w:after="283"/>
              <w:rPr/>
            </w:pPr>
            <w:r>
              <w:rPr/>
              <w:t> </w:t>
            </w:r>
          </w:p>
        </w:tc>
        <w:tc>
          <w:tcPr>
            <w:tcW w:w="30" w:type="dxa"/>
            <w:tcBorders/>
            <w:shd w:fill="CEE8F6" w:val="clear"/>
            <w:vAlign w:val="center"/>
          </w:tcPr>
          <w:p>
            <w:pPr>
              <w:pStyle w:val="TableContents"/>
              <w:spacing w:before="0" w:after="283"/>
              <w:rPr>
                <w:sz w:val="4"/>
                <w:szCs w:val="4"/>
              </w:rPr>
            </w:pPr>
            <w:r>
              <w:rPr>
                <w:sz w:val="4"/>
                <w:szCs w:val="4"/>
              </w:rPr>
            </w:r>
          </w:p>
        </w:tc>
        <w:tc>
          <w:tcPr>
            <w:tcW w:w="3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pPr>
            <w:r>
              <w:rPr/>
              <w:t> </w:t>
            </w:r>
          </w:p>
        </w:tc>
        <w:tc>
          <w:tcPr>
            <w:tcW w:w="59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pPr>
            <w:r>
              <w:rPr/>
              <w:t> </w:t>
            </w:r>
          </w:p>
        </w:tc>
        <w:tc>
          <w:tcPr>
            <w:tcW w:w="800" w:type="dxa"/>
            <w:tcBorders/>
            <w:shd w:fill="CEE8F6" w:val="clear"/>
            <w:vAlign w:val="center"/>
          </w:tcPr>
          <w:p>
            <w:pPr>
              <w:pStyle w:val="TableContents"/>
              <w:spacing w:before="0" w:after="283"/>
              <w:jc w:val="center"/>
              <w:rPr/>
            </w:pPr>
            <w:r>
              <w:rPr/>
              <w:t>-</w:t>
            </w:r>
          </w:p>
        </w:tc>
        <w:tc>
          <w:tcPr>
            <w:tcW w:w="60" w:type="dxa"/>
            <w:tcBorders/>
            <w:shd w:fill="CEE8F6" w:val="clear"/>
            <w:vAlign w:val="center"/>
          </w:tcPr>
          <w:p>
            <w:pPr>
              <w:pStyle w:val="TableContents"/>
              <w:spacing w:before="0" w:after="283"/>
              <w:rPr/>
            </w:pPr>
            <w:r>
              <w:rPr/>
              <w:t> </w:t>
            </w:r>
          </w:p>
        </w:tc>
        <w:tc>
          <w:tcPr>
            <w:tcW w:w="800" w:type="dxa"/>
            <w:tcBorders/>
            <w:shd w:fill="CEE8F6" w:val="clear"/>
            <w:vAlign w:val="center"/>
          </w:tcPr>
          <w:p>
            <w:pPr>
              <w:pStyle w:val="TableContents"/>
              <w:spacing w:before="0" w:after="283"/>
              <w:jc w:val="center"/>
              <w:rPr/>
            </w:pPr>
            <w:r>
              <w:rPr/>
              <w:t>-</w:t>
            </w:r>
          </w:p>
        </w:tc>
        <w:tc>
          <w:tcPr>
            <w:tcW w:w="60" w:type="dxa"/>
            <w:tcBorders/>
            <w:shd w:fill="CEE8F6" w:val="clear"/>
            <w:vAlign w:val="center"/>
          </w:tcPr>
          <w:p>
            <w:pPr>
              <w:pStyle w:val="TableContents"/>
              <w:spacing w:before="0" w:after="283"/>
              <w:rPr/>
            </w:pPr>
            <w:r>
              <w:rPr/>
              <w:t> </w:t>
            </w:r>
          </w:p>
        </w:tc>
        <w:tc>
          <w:tcPr>
            <w:tcW w:w="30" w:type="dxa"/>
            <w:tcBorders/>
            <w:shd w:fill="CEE8F6" w:val="clear"/>
            <w:vAlign w:val="center"/>
          </w:tcPr>
          <w:p>
            <w:pPr>
              <w:pStyle w:val="TableContents"/>
              <w:spacing w:before="0" w:after="283"/>
              <w:rPr>
                <w:sz w:val="4"/>
                <w:szCs w:val="4"/>
              </w:rPr>
            </w:pPr>
            <w:r>
              <w:rPr>
                <w:sz w:val="4"/>
                <w:szCs w:val="4"/>
              </w:rPr>
            </w:r>
          </w:p>
        </w:tc>
        <w:tc>
          <w:tcPr>
            <w:tcW w:w="3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pPr>
            <w:r>
              <w:rPr/>
              <w:t> </w:t>
            </w:r>
          </w:p>
        </w:tc>
        <w:tc>
          <w:tcPr>
            <w:tcW w:w="830" w:type="dxa"/>
            <w:tcBorders/>
            <w:shd w:fill="CEE8F6" w:val="clear"/>
            <w:vAlign w:val="center"/>
          </w:tcPr>
          <w:p>
            <w:pPr>
              <w:pStyle w:val="TableContents"/>
              <w:spacing w:before="0" w:after="283"/>
              <w:jc w:val="center"/>
              <w:rPr/>
            </w:pPr>
            <w:r>
              <w:rPr/>
              <w:t>75,000</w:t>
            </w:r>
          </w:p>
        </w:tc>
        <w:tc>
          <w:tcPr>
            <w:tcW w:w="60" w:type="dxa"/>
            <w:tcBorders/>
            <w:shd w:fill="CEE8F6" w:val="clear"/>
            <w:vAlign w:val="center"/>
          </w:tcPr>
          <w:p>
            <w:pPr>
              <w:pStyle w:val="TableContents"/>
              <w:spacing w:before="0" w:after="283"/>
              <w:rPr/>
            </w:pPr>
            <w:r>
              <w:rPr/>
              <w:t> </w:t>
            </w:r>
          </w:p>
        </w:tc>
        <w:tc>
          <w:tcPr>
            <w:tcW w:w="905" w:type="dxa"/>
            <w:tcBorders/>
            <w:shd w:fill="CEE8F6" w:val="clear"/>
            <w:vAlign w:val="center"/>
          </w:tcPr>
          <w:p>
            <w:pPr>
              <w:pStyle w:val="TableContents"/>
              <w:spacing w:before="0" w:after="283"/>
              <w:jc w:val="center"/>
              <w:rPr/>
            </w:pPr>
            <w:r>
              <w:rPr/>
              <w:t>-</w:t>
            </w:r>
          </w:p>
        </w:tc>
        <w:tc>
          <w:tcPr>
            <w:tcW w:w="60" w:type="dxa"/>
            <w:tcBorders/>
            <w:shd w:fill="CEE8F6" w:val="clear"/>
            <w:vAlign w:val="center"/>
          </w:tcPr>
          <w:p>
            <w:pPr>
              <w:pStyle w:val="TableContents"/>
              <w:spacing w:before="0" w:after="283"/>
              <w:rPr/>
            </w:pPr>
            <w:r>
              <w:rPr/>
              <w:t> </w:t>
            </w:r>
          </w:p>
        </w:tc>
        <w:tc>
          <w:tcPr>
            <w:tcW w:w="620" w:type="dxa"/>
            <w:tcBorders/>
            <w:shd w:fill="CEE8F6" w:val="clear"/>
            <w:vAlign w:val="center"/>
          </w:tcPr>
          <w:p>
            <w:pPr>
              <w:pStyle w:val="TableContents"/>
              <w:spacing w:before="0" w:after="283"/>
              <w:jc w:val="center"/>
              <w:rPr/>
            </w:pPr>
            <w:r>
              <w:rPr/>
              <w:t>-</w:t>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before="0" w:after="283"/>
              <w:rPr/>
            </w:pPr>
            <w:r>
              <w:rPr/>
              <w:t> </w:t>
            </w:r>
          </w:p>
        </w:tc>
        <w:tc>
          <w:tcPr>
            <w:tcW w:w="980" w:type="dxa"/>
            <w:tcBorders/>
            <w:shd w:fill="CEE8F6" w:val="clear"/>
            <w:vAlign w:val="center"/>
          </w:tcPr>
          <w:p>
            <w:pPr>
              <w:pStyle w:val="TableContents"/>
              <w:spacing w:before="0" w:after="283"/>
              <w:jc w:val="right"/>
              <w:rPr/>
            </w:pPr>
            <w:r>
              <w:rPr/>
              <w:t>763,500</w:t>
            </w:r>
          </w:p>
        </w:tc>
        <w:tc>
          <w:tcPr>
            <w:tcW w:w="75" w:type="dxa"/>
            <w:tcBorders/>
            <w:shd w:fill="CEE8F6" w:val="clear"/>
            <w:vAlign w:val="center"/>
          </w:tcPr>
          <w:p>
            <w:pPr>
              <w:pStyle w:val="TableContents"/>
              <w:spacing w:before="0" w:after="283"/>
              <w:rPr/>
            </w:pPr>
            <w:r>
              <w:rPr/>
              <w:t> </w:t>
            </w:r>
          </w:p>
        </w:tc>
      </w:tr>
      <w:tr>
        <w:trPr/>
        <w:tc>
          <w:tcPr>
            <w:tcW w:w="1295"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before="0" w:after="283"/>
              <w:rPr/>
            </w:pPr>
            <w:r>
              <w:rPr/>
              <w:t> </w:t>
            </w:r>
          </w:p>
        </w:tc>
        <w:tc>
          <w:tcPr>
            <w:tcW w:w="500" w:type="dxa"/>
            <w:tcBorders/>
            <w:shd w:fill="CEE8F6" w:val="clear"/>
            <w:vAlign w:val="center"/>
          </w:tcPr>
          <w:p>
            <w:pPr>
              <w:pStyle w:val="TableContents"/>
              <w:spacing w:before="0" w:after="283"/>
              <w:jc w:val="right"/>
              <w:rPr/>
            </w:pPr>
            <w:r>
              <w:rPr/>
              <w:t>3/1/2022</w:t>
            </w:r>
          </w:p>
        </w:tc>
        <w:tc>
          <w:tcPr>
            <w:tcW w:w="215" w:type="dxa"/>
            <w:tcBorders/>
            <w:shd w:fill="CEE8F6" w:val="clear"/>
            <w:vAlign w:val="center"/>
          </w:tcPr>
          <w:p>
            <w:pPr>
              <w:pStyle w:val="TableContents"/>
              <w:spacing w:before="0" w:after="283"/>
              <w:rPr/>
            </w:pPr>
            <w:r>
              <w:rPr/>
              <w:t>(3) </w:t>
            </w:r>
          </w:p>
        </w:tc>
        <w:tc>
          <w:tcPr>
            <w:tcW w:w="60" w:type="dxa"/>
            <w:tcBorders/>
            <w:shd w:fill="CEE8F6" w:val="clear"/>
            <w:vAlign w:val="center"/>
          </w:tcPr>
          <w:p>
            <w:pPr>
              <w:pStyle w:val="TableContents"/>
              <w:spacing w:before="0" w:after="283"/>
              <w:rPr/>
            </w:pPr>
            <w:r>
              <w:rPr/>
              <w:t> </w:t>
            </w:r>
          </w:p>
        </w:tc>
        <w:tc>
          <w:tcPr>
            <w:tcW w:w="59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before="0" w:after="283"/>
              <w:rPr/>
            </w:pPr>
            <w:r>
              <w:rPr/>
              <w:t> </w:t>
            </w:r>
          </w:p>
        </w:tc>
        <w:tc>
          <w:tcPr>
            <w:tcW w:w="980" w:type="dxa"/>
            <w:tcBorders/>
            <w:shd w:fill="CEE8F6" w:val="clear"/>
            <w:vAlign w:val="center"/>
          </w:tcPr>
          <w:p>
            <w:pPr>
              <w:pStyle w:val="TableContents"/>
              <w:spacing w:before="0" w:after="283"/>
              <w:jc w:val="center"/>
              <w:rPr/>
            </w:pPr>
            <w:r>
              <w:rPr/>
              <w:t>-</w:t>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before="0" w:after="283"/>
              <w:rPr/>
            </w:pPr>
            <w:r>
              <w:rPr/>
              <w:t> </w:t>
            </w:r>
          </w:p>
        </w:tc>
        <w:tc>
          <w:tcPr>
            <w:tcW w:w="980" w:type="dxa"/>
            <w:tcBorders/>
            <w:shd w:fill="CEE8F6" w:val="clear"/>
            <w:vAlign w:val="center"/>
          </w:tcPr>
          <w:p>
            <w:pPr>
              <w:pStyle w:val="TableContents"/>
              <w:spacing w:before="0" w:after="283"/>
              <w:jc w:val="center"/>
              <w:rPr/>
            </w:pPr>
            <w:r>
              <w:rPr/>
              <w:t>-</w:t>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before="0" w:after="283"/>
              <w:rPr/>
            </w:pPr>
            <w:r>
              <w:rPr/>
              <w:t> </w:t>
            </w:r>
          </w:p>
        </w:tc>
        <w:tc>
          <w:tcPr>
            <w:tcW w:w="30" w:type="dxa"/>
            <w:tcBorders/>
            <w:shd w:fill="CEE8F6" w:val="clear"/>
            <w:vAlign w:val="center"/>
          </w:tcPr>
          <w:p>
            <w:pPr>
              <w:pStyle w:val="TableContents"/>
              <w:spacing w:before="0" w:after="283"/>
              <w:rPr>
                <w:sz w:val="4"/>
                <w:szCs w:val="4"/>
              </w:rPr>
            </w:pPr>
            <w:r>
              <w:rPr>
                <w:sz w:val="4"/>
                <w:szCs w:val="4"/>
              </w:rPr>
            </w:r>
          </w:p>
        </w:tc>
        <w:tc>
          <w:tcPr>
            <w:tcW w:w="3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pPr>
            <w:r>
              <w:rPr/>
              <w:t> </w:t>
            </w:r>
          </w:p>
        </w:tc>
        <w:tc>
          <w:tcPr>
            <w:tcW w:w="59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pPr>
            <w:r>
              <w:rPr/>
              <w:t> </w:t>
            </w:r>
          </w:p>
        </w:tc>
        <w:tc>
          <w:tcPr>
            <w:tcW w:w="800" w:type="dxa"/>
            <w:tcBorders/>
            <w:shd w:fill="CEE8F6" w:val="clear"/>
            <w:vAlign w:val="center"/>
          </w:tcPr>
          <w:p>
            <w:pPr>
              <w:pStyle w:val="TableContents"/>
              <w:spacing w:before="0" w:after="283"/>
              <w:jc w:val="center"/>
              <w:rPr/>
            </w:pPr>
            <w:r>
              <w:rPr/>
              <w:t>-</w:t>
            </w:r>
          </w:p>
        </w:tc>
        <w:tc>
          <w:tcPr>
            <w:tcW w:w="60" w:type="dxa"/>
            <w:tcBorders/>
            <w:shd w:fill="CEE8F6" w:val="clear"/>
            <w:vAlign w:val="center"/>
          </w:tcPr>
          <w:p>
            <w:pPr>
              <w:pStyle w:val="TableContents"/>
              <w:spacing w:before="0" w:after="283"/>
              <w:rPr/>
            </w:pPr>
            <w:r>
              <w:rPr/>
              <w:t> </w:t>
            </w:r>
          </w:p>
        </w:tc>
        <w:tc>
          <w:tcPr>
            <w:tcW w:w="800" w:type="dxa"/>
            <w:tcBorders/>
            <w:shd w:fill="CEE8F6" w:val="clear"/>
            <w:vAlign w:val="center"/>
          </w:tcPr>
          <w:p>
            <w:pPr>
              <w:pStyle w:val="TableContents"/>
              <w:spacing w:before="0" w:after="283"/>
              <w:jc w:val="center"/>
              <w:rPr/>
            </w:pPr>
            <w:r>
              <w:rPr/>
              <w:t>-</w:t>
            </w:r>
          </w:p>
        </w:tc>
        <w:tc>
          <w:tcPr>
            <w:tcW w:w="60" w:type="dxa"/>
            <w:tcBorders/>
            <w:shd w:fill="CEE8F6" w:val="clear"/>
            <w:vAlign w:val="center"/>
          </w:tcPr>
          <w:p>
            <w:pPr>
              <w:pStyle w:val="TableContents"/>
              <w:spacing w:before="0" w:after="283"/>
              <w:rPr/>
            </w:pPr>
            <w:r>
              <w:rPr/>
              <w:t> </w:t>
            </w:r>
          </w:p>
        </w:tc>
        <w:tc>
          <w:tcPr>
            <w:tcW w:w="30" w:type="dxa"/>
            <w:tcBorders/>
            <w:shd w:fill="CEE8F6" w:val="clear"/>
            <w:vAlign w:val="center"/>
          </w:tcPr>
          <w:p>
            <w:pPr>
              <w:pStyle w:val="TableContents"/>
              <w:spacing w:before="0" w:after="283"/>
              <w:rPr>
                <w:sz w:val="4"/>
                <w:szCs w:val="4"/>
              </w:rPr>
            </w:pPr>
            <w:r>
              <w:rPr>
                <w:sz w:val="4"/>
                <w:szCs w:val="4"/>
              </w:rPr>
            </w:r>
          </w:p>
        </w:tc>
        <w:tc>
          <w:tcPr>
            <w:tcW w:w="3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pPr>
            <w:r>
              <w:rPr/>
              <w:t> </w:t>
            </w:r>
          </w:p>
        </w:tc>
        <w:tc>
          <w:tcPr>
            <w:tcW w:w="830" w:type="dxa"/>
            <w:tcBorders/>
            <w:shd w:fill="CEE8F6" w:val="clear"/>
            <w:vAlign w:val="center"/>
          </w:tcPr>
          <w:p>
            <w:pPr>
              <w:pStyle w:val="TableContents"/>
              <w:spacing w:before="0" w:after="283"/>
              <w:jc w:val="center"/>
              <w:rPr/>
            </w:pPr>
            <w:r>
              <w:rPr/>
              <w:t>-</w:t>
            </w:r>
          </w:p>
        </w:tc>
        <w:tc>
          <w:tcPr>
            <w:tcW w:w="60" w:type="dxa"/>
            <w:tcBorders/>
            <w:shd w:fill="CEE8F6" w:val="clear"/>
            <w:vAlign w:val="center"/>
          </w:tcPr>
          <w:p>
            <w:pPr>
              <w:pStyle w:val="TableContents"/>
              <w:spacing w:before="0" w:after="283"/>
              <w:rPr/>
            </w:pPr>
            <w:r>
              <w:rPr/>
              <w:t> </w:t>
            </w:r>
          </w:p>
        </w:tc>
        <w:tc>
          <w:tcPr>
            <w:tcW w:w="905" w:type="dxa"/>
            <w:tcBorders/>
            <w:shd w:fill="CEE8F6" w:val="clear"/>
            <w:vAlign w:val="center"/>
          </w:tcPr>
          <w:p>
            <w:pPr>
              <w:pStyle w:val="TableContents"/>
              <w:spacing w:before="0" w:after="283"/>
              <w:jc w:val="center"/>
              <w:rPr/>
            </w:pPr>
            <w:r>
              <w:rPr/>
              <w:t>75,000</w:t>
            </w:r>
          </w:p>
        </w:tc>
        <w:tc>
          <w:tcPr>
            <w:tcW w:w="60" w:type="dxa"/>
            <w:tcBorders/>
            <w:shd w:fill="CEE8F6" w:val="clear"/>
            <w:vAlign w:val="center"/>
          </w:tcPr>
          <w:p>
            <w:pPr>
              <w:pStyle w:val="TableContents"/>
              <w:spacing w:before="0" w:after="283"/>
              <w:rPr/>
            </w:pPr>
            <w:r>
              <w:rPr/>
              <w:t> </w:t>
            </w:r>
          </w:p>
        </w:tc>
        <w:tc>
          <w:tcPr>
            <w:tcW w:w="620" w:type="dxa"/>
            <w:tcBorders/>
            <w:shd w:fill="CEE8F6" w:val="clear"/>
            <w:vAlign w:val="center"/>
          </w:tcPr>
          <w:p>
            <w:pPr>
              <w:pStyle w:val="TableContents"/>
              <w:spacing w:before="0" w:after="283"/>
              <w:jc w:val="center"/>
              <w:rPr/>
            </w:pPr>
            <w:r>
              <w:rPr/>
              <w:t>10.18</w:t>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before="0" w:after="283"/>
              <w:rPr/>
            </w:pPr>
            <w:r>
              <w:rPr/>
              <w:t> </w:t>
            </w:r>
          </w:p>
        </w:tc>
        <w:tc>
          <w:tcPr>
            <w:tcW w:w="980" w:type="dxa"/>
            <w:tcBorders/>
            <w:shd w:fill="CEE8F6" w:val="clear"/>
            <w:vAlign w:val="center"/>
          </w:tcPr>
          <w:p>
            <w:pPr>
              <w:pStyle w:val="TableContents"/>
              <w:spacing w:before="0" w:after="283"/>
              <w:jc w:val="right"/>
              <w:rPr/>
            </w:pPr>
            <w:r>
              <w:rPr/>
              <w:t>543,750</w:t>
            </w:r>
          </w:p>
        </w:tc>
        <w:tc>
          <w:tcPr>
            <w:tcW w:w="75" w:type="dxa"/>
            <w:tcBorders/>
            <w:shd w:fill="CEE8F6" w:val="clear"/>
            <w:vAlign w:val="center"/>
          </w:tcPr>
          <w:p>
            <w:pPr>
              <w:pStyle w:val="TableContents"/>
              <w:spacing w:before="0" w:after="283"/>
              <w:rPr/>
            </w:pPr>
            <w:r>
              <w:rPr/>
              <w:t> </w:t>
            </w:r>
          </w:p>
        </w:tc>
      </w:tr>
      <w:tr>
        <w:trPr/>
        <w:tc>
          <w:tcPr>
            <w:tcW w:w="1295" w:type="dxa"/>
            <w:tcBorders/>
            <w:shd w:fill="auto" w:val="clear"/>
            <w:vAlign w:val="center"/>
          </w:tcPr>
          <w:p>
            <w:pPr>
              <w:pStyle w:val="TableContents"/>
              <w:spacing w:before="0" w:after="0"/>
              <w:rPr/>
            </w:pPr>
            <w:r>
              <w:rPr/>
              <w:t> </w:t>
            </w:r>
          </w:p>
          <w:p>
            <w:pPr>
              <w:pStyle w:val="TableContents"/>
              <w:spacing w:before="0" w:after="20"/>
              <w:rPr>
                <w:rFonts w:ascii="ARIAL" w:hAnsi="ARIAL"/>
                <w:sz w:val="14"/>
              </w:rPr>
            </w:pPr>
            <w:r>
              <w:rPr>
                <w:rFonts w:ascii="ARIAL" w:hAnsi="ARIAL"/>
                <w:sz w:val="14"/>
              </w:rPr>
              <w:t>Lynn T. Simon, M.D.</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590" w:type="dxa"/>
            <w:tcBorders/>
            <w:shd w:fill="auto" w:val="clear"/>
            <w:vAlign w:val="center"/>
          </w:tcPr>
          <w:p>
            <w:pPr>
              <w:pStyle w:val="TableContents"/>
              <w:spacing w:before="0" w:after="283"/>
              <w:jc w:val="center"/>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740,341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965,663</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0"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590" w:type="dxa"/>
            <w:tcBorders/>
            <w:shd w:fill="auto" w:val="clear"/>
            <w:vAlign w:val="center"/>
          </w:tcPr>
          <w:p>
            <w:pPr>
              <w:pStyle w:val="TableContents"/>
              <w:spacing w:before="0" w:after="283"/>
              <w:jc w:val="center"/>
              <w:rPr/>
            </w:pPr>
            <w:r>
              <w:rPr/>
              <w:t>-</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center"/>
              <w:rPr/>
            </w:pPr>
            <w:r>
              <w:rPr/>
              <w:t>-</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center"/>
              <w:rPr/>
            </w:pPr>
            <w:r>
              <w:rPr/>
              <w:t>-</w:t>
            </w:r>
          </w:p>
        </w:tc>
        <w:tc>
          <w:tcPr>
            <w:tcW w:w="60" w:type="dxa"/>
            <w:tcBorders/>
            <w:shd w:fill="auto" w:val="clear"/>
            <w:vAlign w:val="center"/>
          </w:tcPr>
          <w:p>
            <w:pPr>
              <w:pStyle w:val="TableContents"/>
              <w:spacing w:before="0" w:after="283"/>
              <w:rPr/>
            </w:pPr>
            <w:r>
              <w:rPr/>
              <w:t> </w:t>
            </w:r>
          </w:p>
        </w:tc>
        <w:tc>
          <w:tcPr>
            <w:tcW w:w="30"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830" w:type="dxa"/>
            <w:tcBorders/>
            <w:shd w:fill="auto" w:val="clear"/>
            <w:vAlign w:val="center"/>
          </w:tcPr>
          <w:p>
            <w:pPr>
              <w:pStyle w:val="TableContents"/>
              <w:spacing w:before="0" w:after="283"/>
              <w:jc w:val="center"/>
              <w:rPr/>
            </w:pPr>
            <w:r>
              <w:rPr/>
              <w:t>-</w:t>
            </w:r>
          </w:p>
        </w:tc>
        <w:tc>
          <w:tcPr>
            <w:tcW w:w="60" w:type="dxa"/>
            <w:tcBorders/>
            <w:shd w:fill="auto" w:val="clear"/>
            <w:vAlign w:val="center"/>
          </w:tcPr>
          <w:p>
            <w:pPr>
              <w:pStyle w:val="TableContents"/>
              <w:spacing w:before="0" w:after="283"/>
              <w:rPr/>
            </w:pPr>
            <w:r>
              <w:rPr/>
              <w:t> </w:t>
            </w:r>
          </w:p>
        </w:tc>
        <w:tc>
          <w:tcPr>
            <w:tcW w:w="905" w:type="dxa"/>
            <w:tcBorders/>
            <w:shd w:fill="auto" w:val="clear"/>
            <w:vAlign w:val="center"/>
          </w:tcPr>
          <w:p>
            <w:pPr>
              <w:pStyle w:val="TableContents"/>
              <w:spacing w:before="0" w:after="283"/>
              <w:jc w:val="center"/>
              <w:rPr/>
            </w:pPr>
            <w:r>
              <w:rPr/>
              <w:t>-</w:t>
            </w:r>
          </w:p>
        </w:tc>
        <w:tc>
          <w:tcPr>
            <w:tcW w:w="60" w:type="dxa"/>
            <w:tcBorders/>
            <w:shd w:fill="auto" w:val="clear"/>
            <w:vAlign w:val="center"/>
          </w:tcPr>
          <w:p>
            <w:pPr>
              <w:pStyle w:val="TableContents"/>
              <w:spacing w:before="0" w:after="283"/>
              <w:rPr/>
            </w:pPr>
            <w:r>
              <w:rPr/>
              <w:t> </w:t>
            </w:r>
          </w:p>
        </w:tc>
        <w:tc>
          <w:tcPr>
            <w:tcW w:w="620" w:type="dxa"/>
            <w:tcBorders/>
            <w:shd w:fill="auto" w:val="clear"/>
            <w:vAlign w:val="center"/>
          </w:tcPr>
          <w:p>
            <w:pPr>
              <w:pStyle w:val="TableContents"/>
              <w:spacing w:before="0" w:after="283"/>
              <w:jc w:val="center"/>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center"/>
              <w:rPr/>
            </w:pPr>
            <w:r>
              <w:rPr/>
              <w:t>-</w:t>
            </w:r>
          </w:p>
        </w:tc>
        <w:tc>
          <w:tcPr>
            <w:tcW w:w="75" w:type="dxa"/>
            <w:tcBorders/>
            <w:shd w:fill="auto" w:val="clear"/>
            <w:vAlign w:val="center"/>
          </w:tcPr>
          <w:p>
            <w:pPr>
              <w:pStyle w:val="TableContents"/>
              <w:spacing w:before="0" w:after="283"/>
              <w:rPr/>
            </w:pPr>
            <w:r>
              <w:rPr/>
              <w:t> </w:t>
            </w:r>
          </w:p>
        </w:tc>
      </w:tr>
      <w:tr>
        <w:trPr/>
        <w:tc>
          <w:tcPr>
            <w:tcW w:w="12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00" w:type="dxa"/>
            <w:tcBorders/>
            <w:shd w:fill="auto" w:val="clear"/>
            <w:vAlign w:val="center"/>
          </w:tcPr>
          <w:p>
            <w:pPr>
              <w:pStyle w:val="TableContents"/>
              <w:spacing w:before="0" w:after="283"/>
              <w:jc w:val="right"/>
              <w:rPr/>
            </w:pPr>
            <w:r>
              <w:rPr/>
              <w:t>3/1/2022</w:t>
            </w:r>
          </w:p>
        </w:tc>
        <w:tc>
          <w:tcPr>
            <w:tcW w:w="215" w:type="dxa"/>
            <w:tcBorders/>
            <w:shd w:fill="auto" w:val="clear"/>
            <w:vAlign w:val="center"/>
          </w:tcPr>
          <w:p>
            <w:pPr>
              <w:pStyle w:val="TableContents"/>
              <w:spacing w:before="0" w:after="283"/>
              <w:rPr/>
            </w:pPr>
            <w:r>
              <w:rPr/>
              <w:t>(1) </w:t>
            </w:r>
          </w:p>
        </w:tc>
        <w:tc>
          <w:tcPr>
            <w:tcW w:w="60" w:type="dxa"/>
            <w:tcBorders/>
            <w:shd w:fill="auto" w:val="clear"/>
            <w:vAlign w:val="center"/>
          </w:tcPr>
          <w:p>
            <w:pPr>
              <w:pStyle w:val="TableContents"/>
              <w:spacing w:before="0" w:after="283"/>
              <w:rPr/>
            </w:pPr>
            <w:r>
              <w:rPr/>
              <w:t> </w:t>
            </w:r>
          </w:p>
        </w:tc>
        <w:tc>
          <w:tcPr>
            <w:tcW w:w="5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center"/>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center"/>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0"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5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center"/>
              <w:rPr/>
            </w:pPr>
            <w:r>
              <w:rPr/>
              <w:t>80,000</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center"/>
              <w:rPr/>
            </w:pPr>
            <w:r>
              <w:rPr/>
              <w:t>160,000</w:t>
            </w:r>
          </w:p>
        </w:tc>
        <w:tc>
          <w:tcPr>
            <w:tcW w:w="60" w:type="dxa"/>
            <w:tcBorders/>
            <w:shd w:fill="auto" w:val="clear"/>
            <w:vAlign w:val="center"/>
          </w:tcPr>
          <w:p>
            <w:pPr>
              <w:pStyle w:val="TableContents"/>
              <w:spacing w:before="0" w:after="283"/>
              <w:rPr/>
            </w:pPr>
            <w:r>
              <w:rPr/>
              <w:t> </w:t>
            </w:r>
          </w:p>
        </w:tc>
        <w:tc>
          <w:tcPr>
            <w:tcW w:w="30"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830" w:type="dxa"/>
            <w:tcBorders/>
            <w:shd w:fill="auto" w:val="clear"/>
            <w:vAlign w:val="center"/>
          </w:tcPr>
          <w:p>
            <w:pPr>
              <w:pStyle w:val="TableContents"/>
              <w:spacing w:before="0" w:after="283"/>
              <w:jc w:val="center"/>
              <w:rPr/>
            </w:pPr>
            <w:r>
              <w:rPr/>
              <w:t>-</w:t>
            </w:r>
          </w:p>
        </w:tc>
        <w:tc>
          <w:tcPr>
            <w:tcW w:w="60" w:type="dxa"/>
            <w:tcBorders/>
            <w:shd w:fill="auto" w:val="clear"/>
            <w:vAlign w:val="center"/>
          </w:tcPr>
          <w:p>
            <w:pPr>
              <w:pStyle w:val="TableContents"/>
              <w:spacing w:before="0" w:after="283"/>
              <w:rPr/>
            </w:pPr>
            <w:r>
              <w:rPr/>
              <w:t> </w:t>
            </w:r>
          </w:p>
        </w:tc>
        <w:tc>
          <w:tcPr>
            <w:tcW w:w="905" w:type="dxa"/>
            <w:tcBorders/>
            <w:shd w:fill="auto" w:val="clear"/>
            <w:vAlign w:val="center"/>
          </w:tcPr>
          <w:p>
            <w:pPr>
              <w:pStyle w:val="TableContents"/>
              <w:spacing w:before="0" w:after="283"/>
              <w:jc w:val="center"/>
              <w:rPr/>
            </w:pPr>
            <w:r>
              <w:rPr/>
              <w:t>-</w:t>
            </w:r>
          </w:p>
        </w:tc>
        <w:tc>
          <w:tcPr>
            <w:tcW w:w="60" w:type="dxa"/>
            <w:tcBorders/>
            <w:shd w:fill="auto" w:val="clear"/>
            <w:vAlign w:val="center"/>
          </w:tcPr>
          <w:p>
            <w:pPr>
              <w:pStyle w:val="TableContents"/>
              <w:spacing w:before="0" w:after="283"/>
              <w:rPr/>
            </w:pPr>
            <w:r>
              <w:rPr/>
              <w:t> </w:t>
            </w:r>
          </w:p>
        </w:tc>
        <w:tc>
          <w:tcPr>
            <w:tcW w:w="620" w:type="dxa"/>
            <w:tcBorders/>
            <w:shd w:fill="auto" w:val="clear"/>
            <w:vAlign w:val="center"/>
          </w:tcPr>
          <w:p>
            <w:pPr>
              <w:pStyle w:val="TableContents"/>
              <w:spacing w:before="0" w:after="283"/>
              <w:jc w:val="center"/>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814,400</w:t>
            </w:r>
          </w:p>
        </w:tc>
        <w:tc>
          <w:tcPr>
            <w:tcW w:w="75" w:type="dxa"/>
            <w:tcBorders/>
            <w:shd w:fill="auto" w:val="clear"/>
            <w:vAlign w:val="center"/>
          </w:tcPr>
          <w:p>
            <w:pPr>
              <w:pStyle w:val="TableContents"/>
              <w:spacing w:before="0" w:after="283"/>
              <w:rPr/>
            </w:pPr>
            <w:r>
              <w:rPr/>
              <w:t> </w:t>
            </w:r>
          </w:p>
        </w:tc>
      </w:tr>
      <w:tr>
        <w:trPr/>
        <w:tc>
          <w:tcPr>
            <w:tcW w:w="12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00" w:type="dxa"/>
            <w:tcBorders/>
            <w:shd w:fill="auto" w:val="clear"/>
            <w:vAlign w:val="center"/>
          </w:tcPr>
          <w:p>
            <w:pPr>
              <w:pStyle w:val="TableContents"/>
              <w:spacing w:before="0" w:after="283"/>
              <w:jc w:val="right"/>
              <w:rPr/>
            </w:pPr>
            <w:r>
              <w:rPr/>
              <w:t>3/1/2022</w:t>
            </w:r>
          </w:p>
        </w:tc>
        <w:tc>
          <w:tcPr>
            <w:tcW w:w="215" w:type="dxa"/>
            <w:tcBorders/>
            <w:shd w:fill="auto" w:val="clear"/>
            <w:vAlign w:val="center"/>
          </w:tcPr>
          <w:p>
            <w:pPr>
              <w:pStyle w:val="TableContents"/>
              <w:spacing w:before="0" w:after="283"/>
              <w:rPr/>
            </w:pPr>
            <w:r>
              <w:rPr/>
              <w:t>(2) </w:t>
            </w:r>
          </w:p>
        </w:tc>
        <w:tc>
          <w:tcPr>
            <w:tcW w:w="60" w:type="dxa"/>
            <w:tcBorders/>
            <w:shd w:fill="auto" w:val="clear"/>
            <w:vAlign w:val="center"/>
          </w:tcPr>
          <w:p>
            <w:pPr>
              <w:pStyle w:val="TableContents"/>
              <w:spacing w:before="0" w:after="283"/>
              <w:rPr/>
            </w:pPr>
            <w:r>
              <w:rPr/>
              <w:t> </w:t>
            </w:r>
          </w:p>
        </w:tc>
        <w:tc>
          <w:tcPr>
            <w:tcW w:w="5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center"/>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center"/>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0"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5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center"/>
              <w:rPr/>
            </w:pPr>
            <w:r>
              <w:rPr/>
              <w:t>-</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center"/>
              <w:rPr/>
            </w:pPr>
            <w:r>
              <w:rPr/>
              <w:t>-</w:t>
            </w:r>
          </w:p>
        </w:tc>
        <w:tc>
          <w:tcPr>
            <w:tcW w:w="60" w:type="dxa"/>
            <w:tcBorders/>
            <w:shd w:fill="auto" w:val="clear"/>
            <w:vAlign w:val="center"/>
          </w:tcPr>
          <w:p>
            <w:pPr>
              <w:pStyle w:val="TableContents"/>
              <w:spacing w:before="0" w:after="283"/>
              <w:rPr/>
            </w:pPr>
            <w:r>
              <w:rPr/>
              <w:t> </w:t>
            </w:r>
          </w:p>
        </w:tc>
        <w:tc>
          <w:tcPr>
            <w:tcW w:w="30"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830" w:type="dxa"/>
            <w:tcBorders/>
            <w:shd w:fill="auto" w:val="clear"/>
            <w:vAlign w:val="center"/>
          </w:tcPr>
          <w:p>
            <w:pPr>
              <w:pStyle w:val="TableContents"/>
              <w:spacing w:before="0" w:after="283"/>
              <w:jc w:val="center"/>
              <w:rPr/>
            </w:pPr>
            <w:r>
              <w:rPr/>
              <w:t>40,000</w:t>
            </w:r>
          </w:p>
        </w:tc>
        <w:tc>
          <w:tcPr>
            <w:tcW w:w="60" w:type="dxa"/>
            <w:tcBorders/>
            <w:shd w:fill="auto" w:val="clear"/>
            <w:vAlign w:val="center"/>
          </w:tcPr>
          <w:p>
            <w:pPr>
              <w:pStyle w:val="TableContents"/>
              <w:spacing w:before="0" w:after="283"/>
              <w:rPr/>
            </w:pPr>
            <w:r>
              <w:rPr/>
              <w:t> </w:t>
            </w:r>
          </w:p>
        </w:tc>
        <w:tc>
          <w:tcPr>
            <w:tcW w:w="905" w:type="dxa"/>
            <w:tcBorders/>
            <w:shd w:fill="auto" w:val="clear"/>
            <w:vAlign w:val="center"/>
          </w:tcPr>
          <w:p>
            <w:pPr>
              <w:pStyle w:val="TableContents"/>
              <w:spacing w:before="0" w:after="283"/>
              <w:jc w:val="center"/>
              <w:rPr/>
            </w:pPr>
            <w:r>
              <w:rPr/>
              <w:t>-</w:t>
            </w:r>
          </w:p>
        </w:tc>
        <w:tc>
          <w:tcPr>
            <w:tcW w:w="60" w:type="dxa"/>
            <w:tcBorders/>
            <w:shd w:fill="auto" w:val="clear"/>
            <w:vAlign w:val="center"/>
          </w:tcPr>
          <w:p>
            <w:pPr>
              <w:pStyle w:val="TableContents"/>
              <w:spacing w:before="0" w:after="283"/>
              <w:rPr/>
            </w:pPr>
            <w:r>
              <w:rPr/>
              <w:t> </w:t>
            </w:r>
          </w:p>
        </w:tc>
        <w:tc>
          <w:tcPr>
            <w:tcW w:w="620" w:type="dxa"/>
            <w:tcBorders/>
            <w:shd w:fill="auto" w:val="clear"/>
            <w:vAlign w:val="center"/>
          </w:tcPr>
          <w:p>
            <w:pPr>
              <w:pStyle w:val="TableContents"/>
              <w:spacing w:before="0" w:after="283"/>
              <w:jc w:val="center"/>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407,200</w:t>
            </w:r>
          </w:p>
        </w:tc>
        <w:tc>
          <w:tcPr>
            <w:tcW w:w="75" w:type="dxa"/>
            <w:tcBorders/>
            <w:shd w:fill="auto" w:val="clear"/>
            <w:vAlign w:val="center"/>
          </w:tcPr>
          <w:p>
            <w:pPr>
              <w:pStyle w:val="TableContents"/>
              <w:spacing w:before="0" w:after="283"/>
              <w:rPr/>
            </w:pPr>
            <w:r>
              <w:rPr/>
              <w:t> </w:t>
            </w:r>
          </w:p>
        </w:tc>
      </w:tr>
      <w:tr>
        <w:trPr/>
        <w:tc>
          <w:tcPr>
            <w:tcW w:w="12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00" w:type="dxa"/>
            <w:tcBorders/>
            <w:shd w:fill="auto" w:val="clear"/>
            <w:vAlign w:val="center"/>
          </w:tcPr>
          <w:p>
            <w:pPr>
              <w:pStyle w:val="TableContents"/>
              <w:spacing w:before="0" w:after="283"/>
              <w:jc w:val="right"/>
              <w:rPr/>
            </w:pPr>
            <w:r>
              <w:rPr/>
              <w:t>3/1/2022</w:t>
            </w:r>
          </w:p>
        </w:tc>
        <w:tc>
          <w:tcPr>
            <w:tcW w:w="215" w:type="dxa"/>
            <w:tcBorders/>
            <w:shd w:fill="auto" w:val="clear"/>
            <w:vAlign w:val="center"/>
          </w:tcPr>
          <w:p>
            <w:pPr>
              <w:pStyle w:val="TableContents"/>
              <w:spacing w:before="0" w:after="283"/>
              <w:rPr/>
            </w:pPr>
            <w:r>
              <w:rPr/>
              <w:t>(3) </w:t>
            </w:r>
          </w:p>
        </w:tc>
        <w:tc>
          <w:tcPr>
            <w:tcW w:w="60" w:type="dxa"/>
            <w:tcBorders/>
            <w:shd w:fill="auto" w:val="clear"/>
            <w:vAlign w:val="center"/>
          </w:tcPr>
          <w:p>
            <w:pPr>
              <w:pStyle w:val="TableContents"/>
              <w:spacing w:before="0" w:after="283"/>
              <w:rPr/>
            </w:pPr>
            <w:r>
              <w:rPr/>
              <w:t> </w:t>
            </w:r>
          </w:p>
        </w:tc>
        <w:tc>
          <w:tcPr>
            <w:tcW w:w="5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center"/>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center"/>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0"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5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center"/>
              <w:rPr/>
            </w:pPr>
            <w:r>
              <w:rPr/>
              <w:t>-</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center"/>
              <w:rPr/>
            </w:pPr>
            <w:r>
              <w:rPr/>
              <w:t>-</w:t>
            </w:r>
          </w:p>
        </w:tc>
        <w:tc>
          <w:tcPr>
            <w:tcW w:w="60" w:type="dxa"/>
            <w:tcBorders/>
            <w:shd w:fill="auto" w:val="clear"/>
            <w:vAlign w:val="center"/>
          </w:tcPr>
          <w:p>
            <w:pPr>
              <w:pStyle w:val="TableContents"/>
              <w:spacing w:before="0" w:after="283"/>
              <w:rPr/>
            </w:pPr>
            <w:r>
              <w:rPr/>
              <w:t> </w:t>
            </w:r>
          </w:p>
        </w:tc>
        <w:tc>
          <w:tcPr>
            <w:tcW w:w="30"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830" w:type="dxa"/>
            <w:tcBorders/>
            <w:shd w:fill="auto" w:val="clear"/>
            <w:vAlign w:val="center"/>
          </w:tcPr>
          <w:p>
            <w:pPr>
              <w:pStyle w:val="TableContents"/>
              <w:spacing w:before="0" w:after="283"/>
              <w:jc w:val="center"/>
              <w:rPr/>
            </w:pPr>
            <w:r>
              <w:rPr/>
              <w:t>-</w:t>
            </w:r>
          </w:p>
        </w:tc>
        <w:tc>
          <w:tcPr>
            <w:tcW w:w="60" w:type="dxa"/>
            <w:tcBorders/>
            <w:shd w:fill="auto" w:val="clear"/>
            <w:vAlign w:val="center"/>
          </w:tcPr>
          <w:p>
            <w:pPr>
              <w:pStyle w:val="TableContents"/>
              <w:spacing w:before="0" w:after="283"/>
              <w:rPr/>
            </w:pPr>
            <w:r>
              <w:rPr/>
              <w:t> </w:t>
            </w:r>
          </w:p>
        </w:tc>
        <w:tc>
          <w:tcPr>
            <w:tcW w:w="905" w:type="dxa"/>
            <w:tcBorders/>
            <w:shd w:fill="auto" w:val="clear"/>
            <w:vAlign w:val="center"/>
          </w:tcPr>
          <w:p>
            <w:pPr>
              <w:pStyle w:val="TableContents"/>
              <w:spacing w:before="0" w:after="283"/>
              <w:jc w:val="center"/>
              <w:rPr/>
            </w:pPr>
            <w:r>
              <w:rPr/>
              <w:t>40,000</w:t>
            </w:r>
          </w:p>
        </w:tc>
        <w:tc>
          <w:tcPr>
            <w:tcW w:w="60" w:type="dxa"/>
            <w:tcBorders/>
            <w:shd w:fill="auto" w:val="clear"/>
            <w:vAlign w:val="center"/>
          </w:tcPr>
          <w:p>
            <w:pPr>
              <w:pStyle w:val="TableContents"/>
              <w:spacing w:before="0" w:after="283"/>
              <w:rPr/>
            </w:pPr>
            <w:r>
              <w:rPr/>
              <w:t> </w:t>
            </w:r>
          </w:p>
        </w:tc>
        <w:tc>
          <w:tcPr>
            <w:tcW w:w="620" w:type="dxa"/>
            <w:tcBorders/>
            <w:shd w:fill="auto" w:val="clear"/>
            <w:vAlign w:val="center"/>
          </w:tcPr>
          <w:p>
            <w:pPr>
              <w:pStyle w:val="TableContents"/>
              <w:spacing w:before="0" w:after="283"/>
              <w:jc w:val="center"/>
              <w:rPr/>
            </w:pPr>
            <w:r>
              <w:rPr/>
              <w:t>10.18</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290,000</w:t>
            </w:r>
          </w:p>
        </w:tc>
        <w:tc>
          <w:tcPr>
            <w:tcW w:w="75" w:type="dxa"/>
            <w:tcBorders/>
            <w:shd w:fill="auto" w:val="clear"/>
            <w:vAlign w:val="center"/>
          </w:tcPr>
          <w:p>
            <w:pPr>
              <w:pStyle w:val="TableContents"/>
              <w:spacing w:before="0" w:after="283"/>
              <w:rPr/>
            </w:pPr>
            <w:r>
              <w:rPr/>
              <w:t> </w:t>
            </w:r>
          </w:p>
        </w:tc>
      </w:tr>
      <w:tr>
        <w:trPr/>
        <w:tc>
          <w:tcPr>
            <w:tcW w:w="1295" w:type="dxa"/>
            <w:tcBorders/>
            <w:shd w:fill="CEE8F6" w:val="clear"/>
            <w:vAlign w:val="center"/>
          </w:tcPr>
          <w:p>
            <w:pPr>
              <w:pStyle w:val="TableContents"/>
              <w:spacing w:before="0" w:after="0"/>
              <w:rPr/>
            </w:pPr>
            <w:r>
              <w:rPr/>
              <w:t> </w:t>
            </w:r>
          </w:p>
          <w:p>
            <w:pPr>
              <w:pStyle w:val="TableContents"/>
              <w:spacing w:before="0" w:after="20"/>
              <w:rPr>
                <w:rFonts w:ascii="ARIAL" w:hAnsi="ARIAL"/>
                <w:sz w:val="14"/>
              </w:rPr>
            </w:pPr>
            <w:r>
              <w:rPr>
                <w:rFonts w:ascii="ARIAL" w:hAnsi="ARIAL"/>
                <w:sz w:val="14"/>
              </w:rPr>
              <w:t>Mark B. Medley</w:t>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before="0" w:after="283"/>
              <w:rPr>
                <w:sz w:val="4"/>
                <w:szCs w:val="4"/>
              </w:rPr>
            </w:pPr>
            <w:r>
              <w:rPr>
                <w:sz w:val="4"/>
                <w:szCs w:val="4"/>
              </w:rPr>
            </w:r>
          </w:p>
        </w:tc>
        <w:tc>
          <w:tcPr>
            <w:tcW w:w="500" w:type="dxa"/>
            <w:tcBorders/>
            <w:shd w:fill="CEE8F6" w:val="clear"/>
            <w:vAlign w:val="center"/>
          </w:tcPr>
          <w:p>
            <w:pPr>
              <w:pStyle w:val="TableContents"/>
              <w:spacing w:before="0" w:after="283"/>
              <w:rPr>
                <w:sz w:val="4"/>
                <w:szCs w:val="4"/>
              </w:rPr>
            </w:pPr>
            <w:r>
              <w:rPr>
                <w:sz w:val="4"/>
                <w:szCs w:val="4"/>
              </w:rPr>
            </w:r>
          </w:p>
        </w:tc>
        <w:tc>
          <w:tcPr>
            <w:tcW w:w="215"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pPr>
            <w:r>
              <w:rPr/>
              <w:t> </w:t>
            </w:r>
          </w:p>
        </w:tc>
        <w:tc>
          <w:tcPr>
            <w:tcW w:w="590" w:type="dxa"/>
            <w:tcBorders/>
            <w:shd w:fill="CEE8F6" w:val="clear"/>
            <w:vAlign w:val="center"/>
          </w:tcPr>
          <w:p>
            <w:pPr>
              <w:pStyle w:val="TableContents"/>
              <w:spacing w:before="0" w:after="283"/>
              <w:jc w:val="center"/>
              <w:rPr/>
            </w:pPr>
            <w:r>
              <w:rPr/>
              <w:t>-</w:t>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before="0" w:after="283"/>
              <w:rPr/>
            </w:pPr>
            <w:r>
              <w:rPr/>
              <w:t> </w:t>
            </w:r>
          </w:p>
        </w:tc>
        <w:tc>
          <w:tcPr>
            <w:tcW w:w="980" w:type="dxa"/>
            <w:tcBorders/>
            <w:shd w:fill="CEE8F6" w:val="clear"/>
            <w:vAlign w:val="center"/>
          </w:tcPr>
          <w:p>
            <w:pPr>
              <w:pStyle w:val="TableContents"/>
              <w:spacing w:before="0" w:after="283"/>
              <w:jc w:val="right"/>
              <w:rPr/>
            </w:pPr>
            <w:r>
              <w:rPr/>
              <w:t>500,000</w:t>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before="0" w:after="283"/>
              <w:rPr/>
            </w:pPr>
            <w:r>
              <w:rPr/>
              <w:t> </w:t>
            </w:r>
          </w:p>
        </w:tc>
        <w:tc>
          <w:tcPr>
            <w:tcW w:w="980" w:type="dxa"/>
            <w:tcBorders/>
            <w:shd w:fill="CEE8F6" w:val="clear"/>
            <w:vAlign w:val="center"/>
          </w:tcPr>
          <w:p>
            <w:pPr>
              <w:pStyle w:val="TableContents"/>
              <w:spacing w:before="0" w:after="283"/>
              <w:jc w:val="right"/>
              <w:rPr/>
            </w:pPr>
            <w:r>
              <w:rPr/>
              <w:t>781,250</w:t>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before="0" w:after="283"/>
              <w:rPr/>
            </w:pPr>
            <w:r>
              <w:rPr/>
              <w:t> </w:t>
            </w:r>
          </w:p>
        </w:tc>
        <w:tc>
          <w:tcPr>
            <w:tcW w:w="30" w:type="dxa"/>
            <w:tcBorders/>
            <w:shd w:fill="CEE8F6" w:val="clear"/>
            <w:vAlign w:val="center"/>
          </w:tcPr>
          <w:p>
            <w:pPr>
              <w:pStyle w:val="TableContents"/>
              <w:spacing w:before="0" w:after="283"/>
              <w:rPr>
                <w:sz w:val="4"/>
                <w:szCs w:val="4"/>
              </w:rPr>
            </w:pPr>
            <w:r>
              <w:rPr>
                <w:sz w:val="4"/>
                <w:szCs w:val="4"/>
              </w:rPr>
            </w:r>
          </w:p>
        </w:tc>
        <w:tc>
          <w:tcPr>
            <w:tcW w:w="3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pPr>
            <w:r>
              <w:rPr/>
              <w:t> </w:t>
            </w:r>
          </w:p>
        </w:tc>
        <w:tc>
          <w:tcPr>
            <w:tcW w:w="590" w:type="dxa"/>
            <w:tcBorders/>
            <w:shd w:fill="CEE8F6" w:val="clear"/>
            <w:vAlign w:val="center"/>
          </w:tcPr>
          <w:p>
            <w:pPr>
              <w:pStyle w:val="TableContents"/>
              <w:spacing w:before="0" w:after="283"/>
              <w:jc w:val="center"/>
              <w:rPr/>
            </w:pPr>
            <w:r>
              <w:rPr/>
              <w:t>-</w:t>
            </w:r>
          </w:p>
        </w:tc>
        <w:tc>
          <w:tcPr>
            <w:tcW w:w="60" w:type="dxa"/>
            <w:tcBorders/>
            <w:shd w:fill="CEE8F6" w:val="clear"/>
            <w:vAlign w:val="center"/>
          </w:tcPr>
          <w:p>
            <w:pPr>
              <w:pStyle w:val="TableContents"/>
              <w:spacing w:before="0" w:after="283"/>
              <w:rPr/>
            </w:pPr>
            <w:r>
              <w:rPr/>
              <w:t> </w:t>
            </w:r>
          </w:p>
        </w:tc>
        <w:tc>
          <w:tcPr>
            <w:tcW w:w="800" w:type="dxa"/>
            <w:tcBorders/>
            <w:shd w:fill="CEE8F6" w:val="clear"/>
            <w:vAlign w:val="center"/>
          </w:tcPr>
          <w:p>
            <w:pPr>
              <w:pStyle w:val="TableContents"/>
              <w:spacing w:before="0" w:after="283"/>
              <w:jc w:val="center"/>
              <w:rPr/>
            </w:pPr>
            <w:r>
              <w:rPr/>
              <w:t>-</w:t>
            </w:r>
          </w:p>
        </w:tc>
        <w:tc>
          <w:tcPr>
            <w:tcW w:w="60" w:type="dxa"/>
            <w:tcBorders/>
            <w:shd w:fill="CEE8F6" w:val="clear"/>
            <w:vAlign w:val="center"/>
          </w:tcPr>
          <w:p>
            <w:pPr>
              <w:pStyle w:val="TableContents"/>
              <w:spacing w:before="0" w:after="283"/>
              <w:rPr/>
            </w:pPr>
            <w:r>
              <w:rPr/>
              <w:t> </w:t>
            </w:r>
          </w:p>
        </w:tc>
        <w:tc>
          <w:tcPr>
            <w:tcW w:w="800" w:type="dxa"/>
            <w:tcBorders/>
            <w:shd w:fill="CEE8F6" w:val="clear"/>
            <w:vAlign w:val="center"/>
          </w:tcPr>
          <w:p>
            <w:pPr>
              <w:pStyle w:val="TableContents"/>
              <w:spacing w:before="0" w:after="283"/>
              <w:jc w:val="center"/>
              <w:rPr/>
            </w:pPr>
            <w:r>
              <w:rPr/>
              <w:t>-</w:t>
            </w:r>
          </w:p>
        </w:tc>
        <w:tc>
          <w:tcPr>
            <w:tcW w:w="60" w:type="dxa"/>
            <w:tcBorders/>
            <w:shd w:fill="CEE8F6" w:val="clear"/>
            <w:vAlign w:val="center"/>
          </w:tcPr>
          <w:p>
            <w:pPr>
              <w:pStyle w:val="TableContents"/>
              <w:spacing w:before="0" w:after="283"/>
              <w:rPr/>
            </w:pPr>
            <w:r>
              <w:rPr/>
              <w:t> </w:t>
            </w:r>
          </w:p>
        </w:tc>
        <w:tc>
          <w:tcPr>
            <w:tcW w:w="30" w:type="dxa"/>
            <w:tcBorders/>
            <w:shd w:fill="CEE8F6" w:val="clear"/>
            <w:vAlign w:val="center"/>
          </w:tcPr>
          <w:p>
            <w:pPr>
              <w:pStyle w:val="TableContents"/>
              <w:spacing w:before="0" w:after="283"/>
              <w:rPr>
                <w:sz w:val="4"/>
                <w:szCs w:val="4"/>
              </w:rPr>
            </w:pPr>
            <w:r>
              <w:rPr>
                <w:sz w:val="4"/>
                <w:szCs w:val="4"/>
              </w:rPr>
            </w:r>
          </w:p>
        </w:tc>
        <w:tc>
          <w:tcPr>
            <w:tcW w:w="3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pPr>
            <w:r>
              <w:rPr/>
              <w:t> </w:t>
            </w:r>
          </w:p>
        </w:tc>
        <w:tc>
          <w:tcPr>
            <w:tcW w:w="830" w:type="dxa"/>
            <w:tcBorders/>
            <w:shd w:fill="CEE8F6" w:val="clear"/>
            <w:vAlign w:val="center"/>
          </w:tcPr>
          <w:p>
            <w:pPr>
              <w:pStyle w:val="TableContents"/>
              <w:spacing w:before="0" w:after="283"/>
              <w:jc w:val="center"/>
              <w:rPr/>
            </w:pPr>
            <w:r>
              <w:rPr/>
              <w:t>-</w:t>
            </w:r>
          </w:p>
        </w:tc>
        <w:tc>
          <w:tcPr>
            <w:tcW w:w="60" w:type="dxa"/>
            <w:tcBorders/>
            <w:shd w:fill="CEE8F6" w:val="clear"/>
            <w:vAlign w:val="center"/>
          </w:tcPr>
          <w:p>
            <w:pPr>
              <w:pStyle w:val="TableContents"/>
              <w:spacing w:before="0" w:after="283"/>
              <w:rPr/>
            </w:pPr>
            <w:r>
              <w:rPr/>
              <w:t> </w:t>
            </w:r>
          </w:p>
        </w:tc>
        <w:tc>
          <w:tcPr>
            <w:tcW w:w="905" w:type="dxa"/>
            <w:tcBorders/>
            <w:shd w:fill="CEE8F6" w:val="clear"/>
            <w:vAlign w:val="center"/>
          </w:tcPr>
          <w:p>
            <w:pPr>
              <w:pStyle w:val="TableContents"/>
              <w:spacing w:before="0" w:after="283"/>
              <w:jc w:val="center"/>
              <w:rPr/>
            </w:pPr>
            <w:r>
              <w:rPr/>
              <w:t>-</w:t>
            </w:r>
          </w:p>
        </w:tc>
        <w:tc>
          <w:tcPr>
            <w:tcW w:w="60" w:type="dxa"/>
            <w:tcBorders/>
            <w:shd w:fill="CEE8F6" w:val="clear"/>
            <w:vAlign w:val="center"/>
          </w:tcPr>
          <w:p>
            <w:pPr>
              <w:pStyle w:val="TableContents"/>
              <w:spacing w:before="0" w:after="283"/>
              <w:rPr/>
            </w:pPr>
            <w:r>
              <w:rPr/>
              <w:t> </w:t>
            </w:r>
          </w:p>
        </w:tc>
        <w:tc>
          <w:tcPr>
            <w:tcW w:w="620" w:type="dxa"/>
            <w:tcBorders/>
            <w:shd w:fill="CEE8F6" w:val="clear"/>
            <w:vAlign w:val="center"/>
          </w:tcPr>
          <w:p>
            <w:pPr>
              <w:pStyle w:val="TableContents"/>
              <w:spacing w:before="0" w:after="283"/>
              <w:jc w:val="center"/>
              <w:rPr/>
            </w:pPr>
            <w:r>
              <w:rPr/>
              <w:t>-</w:t>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before="0" w:after="283"/>
              <w:rPr/>
            </w:pPr>
            <w:r>
              <w:rPr/>
              <w:t> </w:t>
            </w:r>
          </w:p>
        </w:tc>
        <w:tc>
          <w:tcPr>
            <w:tcW w:w="980" w:type="dxa"/>
            <w:tcBorders/>
            <w:shd w:fill="CEE8F6" w:val="clear"/>
            <w:vAlign w:val="center"/>
          </w:tcPr>
          <w:p>
            <w:pPr>
              <w:pStyle w:val="TableContents"/>
              <w:spacing w:before="0" w:after="283"/>
              <w:jc w:val="center"/>
              <w:rPr/>
            </w:pPr>
            <w:r>
              <w:rPr/>
              <w:t>-</w:t>
            </w:r>
          </w:p>
        </w:tc>
        <w:tc>
          <w:tcPr>
            <w:tcW w:w="75" w:type="dxa"/>
            <w:tcBorders/>
            <w:shd w:fill="CEE8F6" w:val="clear"/>
            <w:vAlign w:val="center"/>
          </w:tcPr>
          <w:p>
            <w:pPr>
              <w:pStyle w:val="TableContents"/>
              <w:spacing w:before="0" w:after="283"/>
              <w:rPr/>
            </w:pPr>
            <w:r>
              <w:rPr/>
              <w:t> </w:t>
            </w:r>
          </w:p>
        </w:tc>
      </w:tr>
      <w:tr>
        <w:trPr/>
        <w:tc>
          <w:tcPr>
            <w:tcW w:w="1295"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before="0" w:after="283"/>
              <w:rPr/>
            </w:pPr>
            <w:r>
              <w:rPr/>
              <w:t> </w:t>
            </w:r>
          </w:p>
        </w:tc>
        <w:tc>
          <w:tcPr>
            <w:tcW w:w="500" w:type="dxa"/>
            <w:tcBorders/>
            <w:shd w:fill="CEE8F6" w:val="clear"/>
            <w:vAlign w:val="center"/>
          </w:tcPr>
          <w:p>
            <w:pPr>
              <w:pStyle w:val="TableContents"/>
              <w:spacing w:before="0" w:after="283"/>
              <w:jc w:val="right"/>
              <w:rPr/>
            </w:pPr>
            <w:r>
              <w:rPr/>
              <w:t>3/1/2022</w:t>
            </w:r>
          </w:p>
        </w:tc>
        <w:tc>
          <w:tcPr>
            <w:tcW w:w="215" w:type="dxa"/>
            <w:tcBorders/>
            <w:shd w:fill="CEE8F6" w:val="clear"/>
            <w:vAlign w:val="center"/>
          </w:tcPr>
          <w:p>
            <w:pPr>
              <w:pStyle w:val="TableContents"/>
              <w:spacing w:before="0" w:after="283"/>
              <w:rPr/>
            </w:pPr>
            <w:r>
              <w:rPr/>
              <w:t>(1) </w:t>
            </w:r>
          </w:p>
        </w:tc>
        <w:tc>
          <w:tcPr>
            <w:tcW w:w="60" w:type="dxa"/>
            <w:tcBorders/>
            <w:shd w:fill="CEE8F6" w:val="clear"/>
            <w:vAlign w:val="center"/>
          </w:tcPr>
          <w:p>
            <w:pPr>
              <w:pStyle w:val="TableContents"/>
              <w:spacing w:before="0" w:after="283"/>
              <w:rPr/>
            </w:pPr>
            <w:r>
              <w:rPr/>
              <w:t> </w:t>
            </w:r>
          </w:p>
        </w:tc>
        <w:tc>
          <w:tcPr>
            <w:tcW w:w="59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before="0" w:after="283"/>
              <w:rPr/>
            </w:pPr>
            <w:r>
              <w:rPr/>
              <w:t> </w:t>
            </w:r>
          </w:p>
        </w:tc>
        <w:tc>
          <w:tcPr>
            <w:tcW w:w="980" w:type="dxa"/>
            <w:tcBorders/>
            <w:shd w:fill="CEE8F6" w:val="clear"/>
            <w:vAlign w:val="center"/>
          </w:tcPr>
          <w:p>
            <w:pPr>
              <w:pStyle w:val="TableContents"/>
              <w:spacing w:before="0" w:after="283"/>
              <w:jc w:val="center"/>
              <w:rPr/>
            </w:pPr>
            <w:r>
              <w:rPr/>
              <w:t>-</w:t>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before="0" w:after="283"/>
              <w:rPr/>
            </w:pPr>
            <w:r>
              <w:rPr/>
              <w:t> </w:t>
            </w:r>
          </w:p>
        </w:tc>
        <w:tc>
          <w:tcPr>
            <w:tcW w:w="980" w:type="dxa"/>
            <w:tcBorders/>
            <w:shd w:fill="CEE8F6" w:val="clear"/>
            <w:vAlign w:val="center"/>
          </w:tcPr>
          <w:p>
            <w:pPr>
              <w:pStyle w:val="TableContents"/>
              <w:spacing w:before="0" w:after="283"/>
              <w:jc w:val="center"/>
              <w:rPr/>
            </w:pPr>
            <w:r>
              <w:rPr/>
              <w:t>-</w:t>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before="0" w:after="283"/>
              <w:rPr/>
            </w:pPr>
            <w:r>
              <w:rPr/>
              <w:t> </w:t>
            </w:r>
          </w:p>
        </w:tc>
        <w:tc>
          <w:tcPr>
            <w:tcW w:w="30" w:type="dxa"/>
            <w:tcBorders/>
            <w:shd w:fill="CEE8F6" w:val="clear"/>
            <w:vAlign w:val="center"/>
          </w:tcPr>
          <w:p>
            <w:pPr>
              <w:pStyle w:val="TableContents"/>
              <w:spacing w:before="0" w:after="283"/>
              <w:rPr>
                <w:sz w:val="4"/>
                <w:szCs w:val="4"/>
              </w:rPr>
            </w:pPr>
            <w:r>
              <w:rPr>
                <w:sz w:val="4"/>
                <w:szCs w:val="4"/>
              </w:rPr>
            </w:r>
          </w:p>
        </w:tc>
        <w:tc>
          <w:tcPr>
            <w:tcW w:w="3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pPr>
            <w:r>
              <w:rPr/>
              <w:t> </w:t>
            </w:r>
          </w:p>
        </w:tc>
        <w:tc>
          <w:tcPr>
            <w:tcW w:w="59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pPr>
            <w:r>
              <w:rPr/>
              <w:t> </w:t>
            </w:r>
          </w:p>
        </w:tc>
        <w:tc>
          <w:tcPr>
            <w:tcW w:w="800" w:type="dxa"/>
            <w:tcBorders/>
            <w:shd w:fill="CEE8F6" w:val="clear"/>
            <w:vAlign w:val="center"/>
          </w:tcPr>
          <w:p>
            <w:pPr>
              <w:pStyle w:val="TableContents"/>
              <w:spacing w:before="0" w:after="283"/>
              <w:jc w:val="center"/>
              <w:rPr/>
            </w:pPr>
            <w:r>
              <w:rPr/>
              <w:t>50,000</w:t>
            </w:r>
          </w:p>
        </w:tc>
        <w:tc>
          <w:tcPr>
            <w:tcW w:w="60" w:type="dxa"/>
            <w:tcBorders/>
            <w:shd w:fill="CEE8F6" w:val="clear"/>
            <w:vAlign w:val="center"/>
          </w:tcPr>
          <w:p>
            <w:pPr>
              <w:pStyle w:val="TableContents"/>
              <w:spacing w:before="0" w:after="283"/>
              <w:rPr/>
            </w:pPr>
            <w:r>
              <w:rPr/>
              <w:t> </w:t>
            </w:r>
          </w:p>
        </w:tc>
        <w:tc>
          <w:tcPr>
            <w:tcW w:w="800" w:type="dxa"/>
            <w:tcBorders/>
            <w:shd w:fill="CEE8F6" w:val="clear"/>
            <w:vAlign w:val="center"/>
          </w:tcPr>
          <w:p>
            <w:pPr>
              <w:pStyle w:val="TableContents"/>
              <w:spacing w:before="0" w:after="283"/>
              <w:jc w:val="center"/>
              <w:rPr/>
            </w:pPr>
            <w:r>
              <w:rPr/>
              <w:t>100,000</w:t>
            </w:r>
          </w:p>
        </w:tc>
        <w:tc>
          <w:tcPr>
            <w:tcW w:w="60" w:type="dxa"/>
            <w:tcBorders/>
            <w:shd w:fill="CEE8F6" w:val="clear"/>
            <w:vAlign w:val="center"/>
          </w:tcPr>
          <w:p>
            <w:pPr>
              <w:pStyle w:val="TableContents"/>
              <w:spacing w:before="0" w:after="283"/>
              <w:rPr/>
            </w:pPr>
            <w:r>
              <w:rPr/>
              <w:t> </w:t>
            </w:r>
          </w:p>
        </w:tc>
        <w:tc>
          <w:tcPr>
            <w:tcW w:w="30" w:type="dxa"/>
            <w:tcBorders/>
            <w:shd w:fill="CEE8F6" w:val="clear"/>
            <w:vAlign w:val="center"/>
          </w:tcPr>
          <w:p>
            <w:pPr>
              <w:pStyle w:val="TableContents"/>
              <w:spacing w:before="0" w:after="283"/>
              <w:rPr>
                <w:sz w:val="4"/>
                <w:szCs w:val="4"/>
              </w:rPr>
            </w:pPr>
            <w:r>
              <w:rPr>
                <w:sz w:val="4"/>
                <w:szCs w:val="4"/>
              </w:rPr>
            </w:r>
          </w:p>
        </w:tc>
        <w:tc>
          <w:tcPr>
            <w:tcW w:w="3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pPr>
            <w:r>
              <w:rPr/>
              <w:t> </w:t>
            </w:r>
          </w:p>
        </w:tc>
        <w:tc>
          <w:tcPr>
            <w:tcW w:w="830" w:type="dxa"/>
            <w:tcBorders/>
            <w:shd w:fill="CEE8F6" w:val="clear"/>
            <w:vAlign w:val="center"/>
          </w:tcPr>
          <w:p>
            <w:pPr>
              <w:pStyle w:val="TableContents"/>
              <w:spacing w:before="0" w:after="283"/>
              <w:jc w:val="center"/>
              <w:rPr/>
            </w:pPr>
            <w:r>
              <w:rPr/>
              <w:t>-</w:t>
            </w:r>
          </w:p>
        </w:tc>
        <w:tc>
          <w:tcPr>
            <w:tcW w:w="60" w:type="dxa"/>
            <w:tcBorders/>
            <w:shd w:fill="CEE8F6" w:val="clear"/>
            <w:vAlign w:val="center"/>
          </w:tcPr>
          <w:p>
            <w:pPr>
              <w:pStyle w:val="TableContents"/>
              <w:spacing w:before="0" w:after="283"/>
              <w:rPr/>
            </w:pPr>
            <w:r>
              <w:rPr/>
              <w:t> </w:t>
            </w:r>
          </w:p>
        </w:tc>
        <w:tc>
          <w:tcPr>
            <w:tcW w:w="905" w:type="dxa"/>
            <w:tcBorders/>
            <w:shd w:fill="CEE8F6" w:val="clear"/>
            <w:vAlign w:val="center"/>
          </w:tcPr>
          <w:p>
            <w:pPr>
              <w:pStyle w:val="TableContents"/>
              <w:spacing w:before="0" w:after="283"/>
              <w:jc w:val="center"/>
              <w:rPr/>
            </w:pPr>
            <w:r>
              <w:rPr/>
              <w:t>-</w:t>
            </w:r>
          </w:p>
        </w:tc>
        <w:tc>
          <w:tcPr>
            <w:tcW w:w="60" w:type="dxa"/>
            <w:tcBorders/>
            <w:shd w:fill="CEE8F6" w:val="clear"/>
            <w:vAlign w:val="center"/>
          </w:tcPr>
          <w:p>
            <w:pPr>
              <w:pStyle w:val="TableContents"/>
              <w:spacing w:before="0" w:after="283"/>
              <w:rPr/>
            </w:pPr>
            <w:r>
              <w:rPr/>
              <w:t> </w:t>
            </w:r>
          </w:p>
        </w:tc>
        <w:tc>
          <w:tcPr>
            <w:tcW w:w="620" w:type="dxa"/>
            <w:tcBorders/>
            <w:shd w:fill="CEE8F6" w:val="clear"/>
            <w:vAlign w:val="center"/>
          </w:tcPr>
          <w:p>
            <w:pPr>
              <w:pStyle w:val="TableContents"/>
              <w:spacing w:before="0" w:after="283"/>
              <w:jc w:val="center"/>
              <w:rPr/>
            </w:pPr>
            <w:r>
              <w:rPr/>
              <w:t>-</w:t>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before="0" w:after="283"/>
              <w:rPr/>
            </w:pPr>
            <w:r>
              <w:rPr/>
              <w:t> </w:t>
            </w:r>
          </w:p>
        </w:tc>
        <w:tc>
          <w:tcPr>
            <w:tcW w:w="980" w:type="dxa"/>
            <w:tcBorders/>
            <w:shd w:fill="CEE8F6" w:val="clear"/>
            <w:vAlign w:val="center"/>
          </w:tcPr>
          <w:p>
            <w:pPr>
              <w:pStyle w:val="TableContents"/>
              <w:spacing w:before="0" w:after="283"/>
              <w:jc w:val="right"/>
              <w:rPr/>
            </w:pPr>
            <w:r>
              <w:rPr/>
              <w:t>509,000</w:t>
            </w:r>
          </w:p>
        </w:tc>
        <w:tc>
          <w:tcPr>
            <w:tcW w:w="75" w:type="dxa"/>
            <w:tcBorders/>
            <w:shd w:fill="CEE8F6" w:val="clear"/>
            <w:vAlign w:val="center"/>
          </w:tcPr>
          <w:p>
            <w:pPr>
              <w:pStyle w:val="TableContents"/>
              <w:spacing w:before="0" w:after="283"/>
              <w:rPr/>
            </w:pPr>
            <w:r>
              <w:rPr/>
              <w:t> </w:t>
            </w:r>
          </w:p>
        </w:tc>
      </w:tr>
      <w:tr>
        <w:trPr/>
        <w:tc>
          <w:tcPr>
            <w:tcW w:w="1295"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before="0" w:after="283"/>
              <w:rPr/>
            </w:pPr>
            <w:r>
              <w:rPr/>
              <w:t> </w:t>
            </w:r>
          </w:p>
        </w:tc>
        <w:tc>
          <w:tcPr>
            <w:tcW w:w="500" w:type="dxa"/>
            <w:tcBorders/>
            <w:shd w:fill="CEE8F6" w:val="clear"/>
            <w:vAlign w:val="center"/>
          </w:tcPr>
          <w:p>
            <w:pPr>
              <w:pStyle w:val="TableContents"/>
              <w:spacing w:before="0" w:after="283"/>
              <w:jc w:val="right"/>
              <w:rPr/>
            </w:pPr>
            <w:r>
              <w:rPr/>
              <w:t>3/1/2022</w:t>
            </w:r>
          </w:p>
        </w:tc>
        <w:tc>
          <w:tcPr>
            <w:tcW w:w="215" w:type="dxa"/>
            <w:tcBorders/>
            <w:shd w:fill="CEE8F6" w:val="clear"/>
            <w:vAlign w:val="center"/>
          </w:tcPr>
          <w:p>
            <w:pPr>
              <w:pStyle w:val="TableContents"/>
              <w:spacing w:before="0" w:after="283"/>
              <w:rPr/>
            </w:pPr>
            <w:r>
              <w:rPr/>
              <w:t>(2) </w:t>
            </w:r>
          </w:p>
        </w:tc>
        <w:tc>
          <w:tcPr>
            <w:tcW w:w="60" w:type="dxa"/>
            <w:tcBorders/>
            <w:shd w:fill="CEE8F6" w:val="clear"/>
            <w:vAlign w:val="center"/>
          </w:tcPr>
          <w:p>
            <w:pPr>
              <w:pStyle w:val="TableContents"/>
              <w:spacing w:before="0" w:after="283"/>
              <w:rPr/>
            </w:pPr>
            <w:r>
              <w:rPr/>
              <w:t> </w:t>
            </w:r>
          </w:p>
        </w:tc>
        <w:tc>
          <w:tcPr>
            <w:tcW w:w="59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before="0" w:after="283"/>
              <w:rPr/>
            </w:pPr>
            <w:r>
              <w:rPr/>
              <w:t> </w:t>
            </w:r>
          </w:p>
        </w:tc>
        <w:tc>
          <w:tcPr>
            <w:tcW w:w="980" w:type="dxa"/>
            <w:tcBorders/>
            <w:shd w:fill="CEE8F6" w:val="clear"/>
            <w:vAlign w:val="center"/>
          </w:tcPr>
          <w:p>
            <w:pPr>
              <w:pStyle w:val="TableContents"/>
              <w:spacing w:before="0" w:after="283"/>
              <w:jc w:val="center"/>
              <w:rPr/>
            </w:pPr>
            <w:r>
              <w:rPr/>
              <w:t>-</w:t>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before="0" w:after="283"/>
              <w:rPr/>
            </w:pPr>
            <w:r>
              <w:rPr/>
              <w:t> </w:t>
            </w:r>
          </w:p>
        </w:tc>
        <w:tc>
          <w:tcPr>
            <w:tcW w:w="980" w:type="dxa"/>
            <w:tcBorders/>
            <w:shd w:fill="CEE8F6" w:val="clear"/>
            <w:vAlign w:val="center"/>
          </w:tcPr>
          <w:p>
            <w:pPr>
              <w:pStyle w:val="TableContents"/>
              <w:spacing w:before="0" w:after="283"/>
              <w:jc w:val="center"/>
              <w:rPr/>
            </w:pPr>
            <w:r>
              <w:rPr/>
              <w:t>-</w:t>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before="0" w:after="283"/>
              <w:rPr/>
            </w:pPr>
            <w:r>
              <w:rPr/>
              <w:t> </w:t>
            </w:r>
          </w:p>
        </w:tc>
        <w:tc>
          <w:tcPr>
            <w:tcW w:w="30" w:type="dxa"/>
            <w:tcBorders/>
            <w:shd w:fill="CEE8F6" w:val="clear"/>
            <w:vAlign w:val="center"/>
          </w:tcPr>
          <w:p>
            <w:pPr>
              <w:pStyle w:val="TableContents"/>
              <w:spacing w:before="0" w:after="283"/>
              <w:rPr>
                <w:sz w:val="4"/>
                <w:szCs w:val="4"/>
              </w:rPr>
            </w:pPr>
            <w:r>
              <w:rPr>
                <w:sz w:val="4"/>
                <w:szCs w:val="4"/>
              </w:rPr>
            </w:r>
          </w:p>
        </w:tc>
        <w:tc>
          <w:tcPr>
            <w:tcW w:w="3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pPr>
            <w:r>
              <w:rPr/>
              <w:t> </w:t>
            </w:r>
          </w:p>
        </w:tc>
        <w:tc>
          <w:tcPr>
            <w:tcW w:w="59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pPr>
            <w:r>
              <w:rPr/>
              <w:t> </w:t>
            </w:r>
          </w:p>
        </w:tc>
        <w:tc>
          <w:tcPr>
            <w:tcW w:w="800" w:type="dxa"/>
            <w:tcBorders/>
            <w:shd w:fill="CEE8F6" w:val="clear"/>
            <w:vAlign w:val="center"/>
          </w:tcPr>
          <w:p>
            <w:pPr>
              <w:pStyle w:val="TableContents"/>
              <w:spacing w:before="0" w:after="283"/>
              <w:jc w:val="center"/>
              <w:rPr/>
            </w:pPr>
            <w:r>
              <w:rPr/>
              <w:t>-</w:t>
            </w:r>
          </w:p>
        </w:tc>
        <w:tc>
          <w:tcPr>
            <w:tcW w:w="60" w:type="dxa"/>
            <w:tcBorders/>
            <w:shd w:fill="CEE8F6" w:val="clear"/>
            <w:vAlign w:val="center"/>
          </w:tcPr>
          <w:p>
            <w:pPr>
              <w:pStyle w:val="TableContents"/>
              <w:spacing w:before="0" w:after="283"/>
              <w:rPr/>
            </w:pPr>
            <w:r>
              <w:rPr/>
              <w:t> </w:t>
            </w:r>
          </w:p>
        </w:tc>
        <w:tc>
          <w:tcPr>
            <w:tcW w:w="800" w:type="dxa"/>
            <w:tcBorders/>
            <w:shd w:fill="CEE8F6" w:val="clear"/>
            <w:vAlign w:val="center"/>
          </w:tcPr>
          <w:p>
            <w:pPr>
              <w:pStyle w:val="TableContents"/>
              <w:spacing w:before="0" w:after="283"/>
              <w:jc w:val="center"/>
              <w:rPr/>
            </w:pPr>
            <w:r>
              <w:rPr/>
              <w:t>-</w:t>
            </w:r>
          </w:p>
        </w:tc>
        <w:tc>
          <w:tcPr>
            <w:tcW w:w="60" w:type="dxa"/>
            <w:tcBorders/>
            <w:shd w:fill="CEE8F6" w:val="clear"/>
            <w:vAlign w:val="center"/>
          </w:tcPr>
          <w:p>
            <w:pPr>
              <w:pStyle w:val="TableContents"/>
              <w:spacing w:before="0" w:after="283"/>
              <w:rPr/>
            </w:pPr>
            <w:r>
              <w:rPr/>
              <w:t> </w:t>
            </w:r>
          </w:p>
        </w:tc>
        <w:tc>
          <w:tcPr>
            <w:tcW w:w="30" w:type="dxa"/>
            <w:tcBorders/>
            <w:shd w:fill="CEE8F6" w:val="clear"/>
            <w:vAlign w:val="center"/>
          </w:tcPr>
          <w:p>
            <w:pPr>
              <w:pStyle w:val="TableContents"/>
              <w:spacing w:before="0" w:after="283"/>
              <w:rPr>
                <w:sz w:val="4"/>
                <w:szCs w:val="4"/>
              </w:rPr>
            </w:pPr>
            <w:r>
              <w:rPr>
                <w:sz w:val="4"/>
                <w:szCs w:val="4"/>
              </w:rPr>
            </w:r>
          </w:p>
        </w:tc>
        <w:tc>
          <w:tcPr>
            <w:tcW w:w="3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pPr>
            <w:r>
              <w:rPr/>
              <w:t> </w:t>
            </w:r>
          </w:p>
        </w:tc>
        <w:tc>
          <w:tcPr>
            <w:tcW w:w="830" w:type="dxa"/>
            <w:tcBorders/>
            <w:shd w:fill="CEE8F6" w:val="clear"/>
            <w:vAlign w:val="center"/>
          </w:tcPr>
          <w:p>
            <w:pPr>
              <w:pStyle w:val="TableContents"/>
              <w:spacing w:before="0" w:after="283"/>
              <w:jc w:val="center"/>
              <w:rPr/>
            </w:pPr>
            <w:r>
              <w:rPr/>
              <w:t>25,000</w:t>
            </w:r>
          </w:p>
        </w:tc>
        <w:tc>
          <w:tcPr>
            <w:tcW w:w="60" w:type="dxa"/>
            <w:tcBorders/>
            <w:shd w:fill="CEE8F6" w:val="clear"/>
            <w:vAlign w:val="center"/>
          </w:tcPr>
          <w:p>
            <w:pPr>
              <w:pStyle w:val="TableContents"/>
              <w:spacing w:before="0" w:after="283"/>
              <w:rPr/>
            </w:pPr>
            <w:r>
              <w:rPr/>
              <w:t> </w:t>
            </w:r>
          </w:p>
        </w:tc>
        <w:tc>
          <w:tcPr>
            <w:tcW w:w="905" w:type="dxa"/>
            <w:tcBorders/>
            <w:shd w:fill="CEE8F6" w:val="clear"/>
            <w:vAlign w:val="center"/>
          </w:tcPr>
          <w:p>
            <w:pPr>
              <w:pStyle w:val="TableContents"/>
              <w:spacing w:before="0" w:after="283"/>
              <w:jc w:val="center"/>
              <w:rPr/>
            </w:pPr>
            <w:r>
              <w:rPr/>
              <w:t>-</w:t>
            </w:r>
          </w:p>
        </w:tc>
        <w:tc>
          <w:tcPr>
            <w:tcW w:w="60" w:type="dxa"/>
            <w:tcBorders/>
            <w:shd w:fill="CEE8F6" w:val="clear"/>
            <w:vAlign w:val="center"/>
          </w:tcPr>
          <w:p>
            <w:pPr>
              <w:pStyle w:val="TableContents"/>
              <w:spacing w:before="0" w:after="283"/>
              <w:rPr/>
            </w:pPr>
            <w:r>
              <w:rPr/>
              <w:t> </w:t>
            </w:r>
          </w:p>
        </w:tc>
        <w:tc>
          <w:tcPr>
            <w:tcW w:w="620" w:type="dxa"/>
            <w:tcBorders/>
            <w:shd w:fill="CEE8F6" w:val="clear"/>
            <w:vAlign w:val="center"/>
          </w:tcPr>
          <w:p>
            <w:pPr>
              <w:pStyle w:val="TableContents"/>
              <w:spacing w:before="0" w:after="283"/>
              <w:jc w:val="center"/>
              <w:rPr/>
            </w:pPr>
            <w:r>
              <w:rPr/>
              <w:t>-</w:t>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before="0" w:after="283"/>
              <w:rPr/>
            </w:pPr>
            <w:r>
              <w:rPr/>
              <w:t> </w:t>
            </w:r>
          </w:p>
        </w:tc>
        <w:tc>
          <w:tcPr>
            <w:tcW w:w="980" w:type="dxa"/>
            <w:tcBorders/>
            <w:shd w:fill="CEE8F6" w:val="clear"/>
            <w:vAlign w:val="center"/>
          </w:tcPr>
          <w:p>
            <w:pPr>
              <w:pStyle w:val="TableContents"/>
              <w:spacing w:before="0" w:after="283"/>
              <w:jc w:val="right"/>
              <w:rPr/>
            </w:pPr>
            <w:r>
              <w:rPr/>
              <w:t>254,500</w:t>
            </w:r>
          </w:p>
        </w:tc>
        <w:tc>
          <w:tcPr>
            <w:tcW w:w="75" w:type="dxa"/>
            <w:tcBorders/>
            <w:shd w:fill="CEE8F6" w:val="clear"/>
            <w:vAlign w:val="center"/>
          </w:tcPr>
          <w:p>
            <w:pPr>
              <w:pStyle w:val="TableContents"/>
              <w:spacing w:before="0" w:after="283"/>
              <w:rPr/>
            </w:pPr>
            <w:r>
              <w:rPr/>
              <w:t> </w:t>
            </w:r>
          </w:p>
        </w:tc>
      </w:tr>
      <w:tr>
        <w:trPr/>
        <w:tc>
          <w:tcPr>
            <w:tcW w:w="1295"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before="0" w:after="283"/>
              <w:rPr/>
            </w:pPr>
            <w:r>
              <w:rPr/>
              <w:t> </w:t>
            </w:r>
          </w:p>
        </w:tc>
        <w:tc>
          <w:tcPr>
            <w:tcW w:w="500" w:type="dxa"/>
            <w:tcBorders/>
            <w:shd w:fill="CEE8F6" w:val="clear"/>
            <w:vAlign w:val="center"/>
          </w:tcPr>
          <w:p>
            <w:pPr>
              <w:pStyle w:val="TableContents"/>
              <w:spacing w:before="0" w:after="283"/>
              <w:jc w:val="right"/>
              <w:rPr/>
            </w:pPr>
            <w:r>
              <w:rPr/>
              <w:t>3/1/2022</w:t>
            </w:r>
          </w:p>
        </w:tc>
        <w:tc>
          <w:tcPr>
            <w:tcW w:w="215" w:type="dxa"/>
            <w:tcBorders/>
            <w:shd w:fill="CEE8F6" w:val="clear"/>
            <w:vAlign w:val="center"/>
          </w:tcPr>
          <w:p>
            <w:pPr>
              <w:pStyle w:val="TableContents"/>
              <w:spacing w:before="0" w:after="283"/>
              <w:rPr/>
            </w:pPr>
            <w:r>
              <w:rPr/>
              <w:t>(3) </w:t>
            </w:r>
          </w:p>
        </w:tc>
        <w:tc>
          <w:tcPr>
            <w:tcW w:w="60" w:type="dxa"/>
            <w:tcBorders/>
            <w:shd w:fill="CEE8F6" w:val="clear"/>
            <w:vAlign w:val="center"/>
          </w:tcPr>
          <w:p>
            <w:pPr>
              <w:pStyle w:val="TableContents"/>
              <w:spacing w:before="0" w:after="283"/>
              <w:rPr/>
            </w:pPr>
            <w:r>
              <w:rPr/>
              <w:t> </w:t>
            </w:r>
          </w:p>
        </w:tc>
        <w:tc>
          <w:tcPr>
            <w:tcW w:w="59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before="0" w:after="283"/>
              <w:rPr/>
            </w:pPr>
            <w:r>
              <w:rPr/>
              <w:t> </w:t>
            </w:r>
          </w:p>
        </w:tc>
        <w:tc>
          <w:tcPr>
            <w:tcW w:w="980" w:type="dxa"/>
            <w:tcBorders/>
            <w:shd w:fill="CEE8F6" w:val="clear"/>
            <w:vAlign w:val="center"/>
          </w:tcPr>
          <w:p>
            <w:pPr>
              <w:pStyle w:val="TableContents"/>
              <w:spacing w:before="0" w:after="283"/>
              <w:jc w:val="center"/>
              <w:rPr/>
            </w:pPr>
            <w:r>
              <w:rPr/>
              <w:t>-</w:t>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before="0" w:after="283"/>
              <w:rPr/>
            </w:pPr>
            <w:r>
              <w:rPr/>
              <w:t> </w:t>
            </w:r>
          </w:p>
        </w:tc>
        <w:tc>
          <w:tcPr>
            <w:tcW w:w="980" w:type="dxa"/>
            <w:tcBorders/>
            <w:shd w:fill="CEE8F6" w:val="clear"/>
            <w:vAlign w:val="center"/>
          </w:tcPr>
          <w:p>
            <w:pPr>
              <w:pStyle w:val="TableContents"/>
              <w:spacing w:before="0" w:after="283"/>
              <w:jc w:val="center"/>
              <w:rPr/>
            </w:pPr>
            <w:r>
              <w:rPr/>
              <w:t>-</w:t>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before="0" w:after="283"/>
              <w:rPr/>
            </w:pPr>
            <w:r>
              <w:rPr/>
              <w:t> </w:t>
            </w:r>
          </w:p>
        </w:tc>
        <w:tc>
          <w:tcPr>
            <w:tcW w:w="30" w:type="dxa"/>
            <w:tcBorders/>
            <w:shd w:fill="CEE8F6" w:val="clear"/>
            <w:vAlign w:val="center"/>
          </w:tcPr>
          <w:p>
            <w:pPr>
              <w:pStyle w:val="TableContents"/>
              <w:spacing w:before="0" w:after="283"/>
              <w:rPr>
                <w:sz w:val="4"/>
                <w:szCs w:val="4"/>
              </w:rPr>
            </w:pPr>
            <w:r>
              <w:rPr>
                <w:sz w:val="4"/>
                <w:szCs w:val="4"/>
              </w:rPr>
            </w:r>
          </w:p>
        </w:tc>
        <w:tc>
          <w:tcPr>
            <w:tcW w:w="3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pPr>
            <w:r>
              <w:rPr/>
              <w:t> </w:t>
            </w:r>
          </w:p>
        </w:tc>
        <w:tc>
          <w:tcPr>
            <w:tcW w:w="59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pPr>
            <w:r>
              <w:rPr/>
              <w:t> </w:t>
            </w:r>
          </w:p>
        </w:tc>
        <w:tc>
          <w:tcPr>
            <w:tcW w:w="800" w:type="dxa"/>
            <w:tcBorders/>
            <w:shd w:fill="CEE8F6" w:val="clear"/>
            <w:vAlign w:val="center"/>
          </w:tcPr>
          <w:p>
            <w:pPr>
              <w:pStyle w:val="TableContents"/>
              <w:spacing w:before="0" w:after="283"/>
              <w:jc w:val="center"/>
              <w:rPr/>
            </w:pPr>
            <w:r>
              <w:rPr/>
              <w:t>-</w:t>
            </w:r>
          </w:p>
        </w:tc>
        <w:tc>
          <w:tcPr>
            <w:tcW w:w="60" w:type="dxa"/>
            <w:tcBorders/>
            <w:shd w:fill="CEE8F6" w:val="clear"/>
            <w:vAlign w:val="center"/>
          </w:tcPr>
          <w:p>
            <w:pPr>
              <w:pStyle w:val="TableContents"/>
              <w:spacing w:before="0" w:after="283"/>
              <w:rPr/>
            </w:pPr>
            <w:r>
              <w:rPr/>
              <w:t> </w:t>
            </w:r>
          </w:p>
        </w:tc>
        <w:tc>
          <w:tcPr>
            <w:tcW w:w="800" w:type="dxa"/>
            <w:tcBorders/>
            <w:shd w:fill="CEE8F6" w:val="clear"/>
            <w:vAlign w:val="center"/>
          </w:tcPr>
          <w:p>
            <w:pPr>
              <w:pStyle w:val="TableContents"/>
              <w:spacing w:before="0" w:after="283"/>
              <w:jc w:val="center"/>
              <w:rPr/>
            </w:pPr>
            <w:r>
              <w:rPr/>
              <w:t>-</w:t>
            </w:r>
          </w:p>
        </w:tc>
        <w:tc>
          <w:tcPr>
            <w:tcW w:w="60" w:type="dxa"/>
            <w:tcBorders/>
            <w:shd w:fill="CEE8F6" w:val="clear"/>
            <w:vAlign w:val="center"/>
          </w:tcPr>
          <w:p>
            <w:pPr>
              <w:pStyle w:val="TableContents"/>
              <w:spacing w:before="0" w:after="283"/>
              <w:rPr/>
            </w:pPr>
            <w:r>
              <w:rPr/>
              <w:t> </w:t>
            </w:r>
          </w:p>
        </w:tc>
        <w:tc>
          <w:tcPr>
            <w:tcW w:w="30" w:type="dxa"/>
            <w:tcBorders/>
            <w:shd w:fill="CEE8F6" w:val="clear"/>
            <w:vAlign w:val="center"/>
          </w:tcPr>
          <w:p>
            <w:pPr>
              <w:pStyle w:val="TableContents"/>
              <w:spacing w:before="0" w:after="283"/>
              <w:rPr>
                <w:sz w:val="4"/>
                <w:szCs w:val="4"/>
              </w:rPr>
            </w:pPr>
            <w:r>
              <w:rPr>
                <w:sz w:val="4"/>
                <w:szCs w:val="4"/>
              </w:rPr>
            </w:r>
          </w:p>
        </w:tc>
        <w:tc>
          <w:tcPr>
            <w:tcW w:w="3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pPr>
            <w:r>
              <w:rPr/>
              <w:t> </w:t>
            </w:r>
          </w:p>
        </w:tc>
        <w:tc>
          <w:tcPr>
            <w:tcW w:w="830" w:type="dxa"/>
            <w:tcBorders/>
            <w:shd w:fill="CEE8F6" w:val="clear"/>
            <w:vAlign w:val="center"/>
          </w:tcPr>
          <w:p>
            <w:pPr>
              <w:pStyle w:val="TableContents"/>
              <w:spacing w:before="0" w:after="283"/>
              <w:jc w:val="center"/>
              <w:rPr/>
            </w:pPr>
            <w:r>
              <w:rPr/>
              <w:t>-</w:t>
            </w:r>
          </w:p>
        </w:tc>
        <w:tc>
          <w:tcPr>
            <w:tcW w:w="60" w:type="dxa"/>
            <w:tcBorders/>
            <w:shd w:fill="CEE8F6" w:val="clear"/>
            <w:vAlign w:val="center"/>
          </w:tcPr>
          <w:p>
            <w:pPr>
              <w:pStyle w:val="TableContents"/>
              <w:spacing w:before="0" w:after="283"/>
              <w:rPr/>
            </w:pPr>
            <w:r>
              <w:rPr/>
              <w:t> </w:t>
            </w:r>
          </w:p>
        </w:tc>
        <w:tc>
          <w:tcPr>
            <w:tcW w:w="905" w:type="dxa"/>
            <w:tcBorders/>
            <w:shd w:fill="CEE8F6" w:val="clear"/>
            <w:vAlign w:val="center"/>
          </w:tcPr>
          <w:p>
            <w:pPr>
              <w:pStyle w:val="TableContents"/>
              <w:spacing w:before="0" w:after="283"/>
              <w:jc w:val="center"/>
              <w:rPr/>
            </w:pPr>
            <w:r>
              <w:rPr/>
              <w:t>25,000</w:t>
            </w:r>
          </w:p>
        </w:tc>
        <w:tc>
          <w:tcPr>
            <w:tcW w:w="60" w:type="dxa"/>
            <w:tcBorders/>
            <w:shd w:fill="CEE8F6" w:val="clear"/>
            <w:vAlign w:val="center"/>
          </w:tcPr>
          <w:p>
            <w:pPr>
              <w:pStyle w:val="TableContents"/>
              <w:spacing w:before="0" w:after="283"/>
              <w:rPr/>
            </w:pPr>
            <w:r>
              <w:rPr/>
              <w:t> </w:t>
            </w:r>
          </w:p>
        </w:tc>
        <w:tc>
          <w:tcPr>
            <w:tcW w:w="620" w:type="dxa"/>
            <w:tcBorders/>
            <w:shd w:fill="CEE8F6" w:val="clear"/>
            <w:vAlign w:val="center"/>
          </w:tcPr>
          <w:p>
            <w:pPr>
              <w:pStyle w:val="TableContents"/>
              <w:spacing w:before="0" w:after="283"/>
              <w:jc w:val="center"/>
              <w:rPr/>
            </w:pPr>
            <w:r>
              <w:rPr/>
              <w:t>10.18</w:t>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before="0" w:after="283"/>
              <w:rPr/>
            </w:pPr>
            <w:r>
              <w:rPr/>
              <w:t> </w:t>
            </w:r>
          </w:p>
        </w:tc>
        <w:tc>
          <w:tcPr>
            <w:tcW w:w="980" w:type="dxa"/>
            <w:tcBorders/>
            <w:shd w:fill="CEE8F6" w:val="clear"/>
            <w:vAlign w:val="center"/>
          </w:tcPr>
          <w:p>
            <w:pPr>
              <w:pStyle w:val="TableContents"/>
              <w:spacing w:before="0" w:after="283"/>
              <w:jc w:val="right"/>
              <w:rPr/>
            </w:pPr>
            <w:r>
              <w:rPr/>
              <w:t>181,250</w:t>
            </w:r>
          </w:p>
        </w:tc>
        <w:tc>
          <w:tcPr>
            <w:tcW w:w="75" w:type="dxa"/>
            <w:tcBorders/>
            <w:shd w:fill="CEE8F6" w:val="clear"/>
            <w:vAlign w:val="center"/>
          </w:tcPr>
          <w:p>
            <w:pPr>
              <w:pStyle w:val="TableContents"/>
              <w:spacing w:before="0" w:after="283"/>
              <w:rPr/>
            </w:pPr>
            <w:r>
              <w:rPr/>
              <w:t> </w:t>
            </w:r>
          </w:p>
        </w:tc>
      </w:tr>
    </w:tbl>
    <w:p>
      <w:pPr>
        <w:pStyle w:val="TextBody"/>
        <w:pBdr>
          <w:bottom w:val="single" w:sz="2" w:space="1" w:color="000000"/>
        </w:pBdr>
        <w:spacing w:lineRule="atLeast" w:line="160" w:before="0" w:after="40"/>
        <w:jc w:val="left"/>
        <w:rPr/>
      </w:pPr>
      <w:r>
        <w:rPr/>
        <w:t> </w:t>
      </w:r>
    </w:p>
    <w:tbl>
      <w:tblPr>
        <w:tblW w:w="10205" w:type="dxa"/>
        <w:jc w:val="left"/>
        <w:tblInd w:w="0" w:type="dxa"/>
        <w:tblCellMar>
          <w:top w:w="0" w:type="dxa"/>
          <w:left w:w="0" w:type="dxa"/>
          <w:bottom w:w="0" w:type="dxa"/>
          <w:right w:w="0" w:type="dxa"/>
        </w:tblCellMar>
      </w:tblPr>
      <w:tblGrid>
        <w:gridCol w:w="235"/>
        <w:gridCol w:w="9970"/>
      </w:tblGrid>
      <w:tr>
        <w:trPr/>
        <w:tc>
          <w:tcPr>
            <w:tcW w:w="235" w:type="dxa"/>
            <w:tcBorders/>
            <w:shd w:fill="auto" w:val="clear"/>
            <w:vAlign w:val="center"/>
          </w:tcPr>
          <w:p>
            <w:pPr>
              <w:pStyle w:val="TableContents"/>
              <w:spacing w:before="0" w:after="283"/>
              <w:jc w:val="left"/>
              <w:rPr/>
            </w:pPr>
            <w:r>
              <w:rPr/>
              <w:t>(1)</w:t>
            </w:r>
          </w:p>
        </w:tc>
        <w:tc>
          <w:tcPr>
            <w:tcW w:w="9970" w:type="dxa"/>
            <w:tcBorders/>
            <w:shd w:fill="auto" w:val="clear"/>
            <w:vAlign w:val="center"/>
          </w:tcPr>
          <w:p>
            <w:pPr>
              <w:pStyle w:val="TableContents"/>
              <w:spacing w:before="0" w:after="0"/>
              <w:jc w:val="left"/>
              <w:rPr>
                <w:rFonts w:ascii="ARIAL" w:hAnsi="ARIAL"/>
                <w:sz w:val="20"/>
              </w:rPr>
            </w:pPr>
            <w:r>
              <w:rPr>
                <w:rFonts w:ascii="ARIAL" w:hAnsi="ARIAL"/>
                <w:sz w:val="20"/>
              </w:rPr>
              <w:t xml:space="preserve">For named executive officers other than Mr. Hingtgen, Mr. Smith and Mr. Hammons, lapsing of the performance-based restrictions with respect to the March 1, 2022 grant of restricted stock is based 50% on the attainment of a pre-determined level of Cumulative Consolidated Adjusted EBITDA Growth and 50% on the attainment of a pre-determined level of Cumulative Same-Store Net Revenue Growth for the three-year period beginning January 1, 2022 and ending on December 31, 2024. For Mr. Hingtgen, Mr. Smith and Mr. Hammons, lapsing of the performance-based restrictions with respect to the March 1, 2022 grant of restricted stock is based 40% on the attainment of a pre-determined level of Cumulative Consolidated Adjusted EBITDA Growth, 40% on the attainment of a pre-determined level of Cumulative Same-Store Net Revenue Growth, and 20% on the attainment of TSR Percentile Rank for the three-year period beginning January 1, 2022 and ending on December 31, 2024. The performance-based awards granted to our named executive officers vest on the third anniversary of the grant date and can potentially vest as low as 0% for underachievement (as reflected in the threshold column) or as high as 200% for overachievement (as reflected in the maximum column).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74"/>
        <w:gridCol w:w="9931"/>
      </w:tblGrid>
      <w:tr>
        <w:trPr/>
        <w:tc>
          <w:tcPr>
            <w:tcW w:w="274" w:type="dxa"/>
            <w:tcBorders/>
            <w:shd w:fill="auto" w:val="clear"/>
            <w:vAlign w:val="center"/>
          </w:tcPr>
          <w:p>
            <w:pPr>
              <w:pStyle w:val="TableContents"/>
              <w:spacing w:before="0" w:after="283"/>
              <w:jc w:val="left"/>
              <w:rPr/>
            </w:pPr>
            <w:r>
              <w:rPr/>
              <w:t>(2)</w:t>
            </w:r>
          </w:p>
        </w:tc>
        <w:tc>
          <w:tcPr>
            <w:tcW w:w="9931" w:type="dxa"/>
            <w:tcBorders/>
            <w:shd w:fill="auto" w:val="clear"/>
            <w:vAlign w:val="center"/>
          </w:tcPr>
          <w:p>
            <w:pPr>
              <w:pStyle w:val="TableContents"/>
              <w:spacing w:before="0" w:after="0"/>
              <w:jc w:val="left"/>
              <w:rPr>
                <w:rFonts w:ascii="ARIAL" w:hAnsi="ARIAL"/>
                <w:sz w:val="20"/>
              </w:rPr>
            </w:pPr>
            <w:r>
              <w:rPr>
                <w:rFonts w:ascii="ARIAL" w:hAnsi="ARIAL"/>
                <w:sz w:val="20"/>
              </w:rPr>
              <w:t>The time-based restrictions with respect to this March 1, 2022 grant of restricted stock will lapse in equal one-third increments on each of the first three anniversaries of the grant date.</w:t>
            </w:r>
          </w:p>
        </w:tc>
      </w:tr>
    </w:tbl>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66 </w:t>
      </w:r>
      <w:r>
        <w:br w:type="page"/>
      </w:r>
    </w:p>
    <w:p>
      <w:pPr>
        <w:pStyle w:val="HorizontalLine"/>
        <w:rPr/>
      </w:pPr>
      <w:r>
        <w:rPr/>
      </w:r>
    </w:p>
    <w:tbl>
      <w:tblPr>
        <w:tblW w:w="10205" w:type="dxa"/>
        <w:jc w:val="left"/>
        <w:tblInd w:w="0" w:type="dxa"/>
        <w:tblCellMar>
          <w:top w:w="0" w:type="dxa"/>
          <w:left w:w="0" w:type="dxa"/>
          <w:bottom w:w="0" w:type="dxa"/>
          <w:right w:w="0" w:type="dxa"/>
        </w:tblCellMar>
      </w:tblPr>
      <w:tblGrid>
        <w:gridCol w:w="277"/>
        <w:gridCol w:w="9928"/>
      </w:tblGrid>
      <w:tr>
        <w:trPr/>
        <w:tc>
          <w:tcPr>
            <w:tcW w:w="277" w:type="dxa"/>
            <w:tcBorders/>
            <w:shd w:fill="auto" w:val="clear"/>
            <w:vAlign w:val="center"/>
          </w:tcPr>
          <w:p>
            <w:pPr>
              <w:pStyle w:val="TableContents"/>
              <w:spacing w:before="0" w:after="283"/>
              <w:jc w:val="left"/>
              <w:rPr/>
            </w:pPr>
            <w:r>
              <w:rPr/>
              <w:t>(3)</w:t>
            </w:r>
          </w:p>
        </w:tc>
        <w:tc>
          <w:tcPr>
            <w:tcW w:w="9928" w:type="dxa"/>
            <w:tcBorders/>
            <w:shd w:fill="auto" w:val="clear"/>
            <w:vAlign w:val="center"/>
          </w:tcPr>
          <w:p>
            <w:pPr>
              <w:pStyle w:val="TableContents"/>
              <w:spacing w:before="0" w:after="0"/>
              <w:jc w:val="left"/>
              <w:rPr>
                <w:rFonts w:ascii="ARIAL" w:hAnsi="ARIAL"/>
                <w:sz w:val="20"/>
              </w:rPr>
            </w:pPr>
            <w:r>
              <w:rPr>
                <w:rFonts w:ascii="ARIAL" w:hAnsi="ARIAL"/>
                <w:sz w:val="20"/>
              </w:rPr>
              <w:t xml:space="preserve">The time-based restrictions with respect to this March 1, 2022 option award will lapse in equal one-third increments on each of the first three anniversaries of the grant date.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40"/>
        <w:gridCol w:w="9965"/>
      </w:tblGrid>
      <w:tr>
        <w:trPr/>
        <w:tc>
          <w:tcPr>
            <w:tcW w:w="240" w:type="dxa"/>
            <w:tcBorders/>
            <w:shd w:fill="auto" w:val="clear"/>
            <w:vAlign w:val="center"/>
          </w:tcPr>
          <w:p>
            <w:pPr>
              <w:pStyle w:val="TableContents"/>
              <w:spacing w:before="0" w:after="283"/>
              <w:jc w:val="left"/>
              <w:rPr/>
            </w:pPr>
            <w:r>
              <w:rPr/>
              <w:t>(4)</w:t>
            </w:r>
          </w:p>
        </w:tc>
        <w:tc>
          <w:tcPr>
            <w:tcW w:w="9965" w:type="dxa"/>
            <w:tcBorders/>
            <w:shd w:fill="auto" w:val="clear"/>
            <w:vAlign w:val="center"/>
          </w:tcPr>
          <w:p>
            <w:pPr>
              <w:pStyle w:val="TableContents"/>
              <w:spacing w:before="0" w:after="0"/>
              <w:jc w:val="left"/>
              <w:rPr>
                <w:rFonts w:ascii="ARIAL" w:hAnsi="ARIAL"/>
                <w:sz w:val="20"/>
              </w:rPr>
            </w:pPr>
            <w:r>
              <w:rPr>
                <w:rFonts w:ascii="ARIAL" w:hAnsi="ARIAL"/>
                <w:sz w:val="20"/>
              </w:rPr>
              <w:t xml:space="preserve">Represents the grant date fair value calculated under ASC 718, and as presented in our audited consolidated financial statements included in our Annual Report on Form 10-K for the 2022 fiscal year filed with the SEC on February 17, 2023. The grant date fair value of each restricted share granted on March 1, 2022 is $10.18. The closing market price of the shares of our Common Stock on December 30, 2022, the last trading day of the Company’s fiscal year, was $4.32. Each stock option was valued on the grant date using the Black-Scholes option pricing model. For options granted on March 1, 2022, the Black-Scholes price per option for Mr. Smith was $5.72 per share and for all other officers it was calculated to be $7.25 per share. </w:t>
            </w:r>
          </w:p>
        </w:tc>
      </w:tr>
    </w:tbl>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67 </w:t>
      </w:r>
      <w:r>
        <w:br w:type="page"/>
      </w:r>
    </w:p>
    <w:p>
      <w:pPr>
        <w:pStyle w:val="HorizontalLine"/>
        <w:rPr/>
      </w:pPr>
      <w:r>
        <w:rPr/>
      </w:r>
    </w:p>
    <w:p>
      <w:pPr>
        <w:pStyle w:val="TextBody"/>
        <w:spacing w:before="0" w:after="0"/>
        <w:jc w:val="left"/>
        <w:rPr>
          <w:rFonts w:ascii="ARIAL" w:hAnsi="ARIAL"/>
          <w:b/>
          <w:sz w:val="20"/>
        </w:rPr>
      </w:pPr>
      <w:bookmarkStart w:id="20" w:name="toc360141_18"/>
      <w:bookmarkEnd w:id="20"/>
      <w:r>
        <w:rPr>
          <w:rFonts w:ascii="ARIAL" w:hAnsi="ARIAL"/>
          <w:b/>
          <w:sz w:val="20"/>
        </w:rPr>
        <w:t xml:space="preserve">Outstanding Equity Awards at Fiscal Year End </w:t>
      </w:r>
    </w:p>
    <w:p>
      <w:pPr>
        <w:pStyle w:val="TextBody"/>
        <w:spacing w:before="120" w:after="0"/>
        <w:jc w:val="left"/>
        <w:rPr>
          <w:rFonts w:ascii="ARIAL" w:hAnsi="ARIAL"/>
          <w:sz w:val="20"/>
        </w:rPr>
      </w:pPr>
      <w:r>
        <w:rPr>
          <w:rFonts w:ascii="ARIAL" w:hAnsi="ARIAL"/>
          <w:sz w:val="20"/>
        </w:rPr>
        <w:t xml:space="preserve">The following table shows outstanding stock option awards and unvested restricted stock awards as of December 31, 2022 for the named executive officers. </w:t>
      </w:r>
    </w:p>
    <w:p>
      <w:pPr>
        <w:pStyle w:val="TextBody"/>
        <w:spacing w:before="0" w:after="0"/>
        <w:jc w:val="left"/>
        <w:rPr/>
      </w:pPr>
      <w:r>
        <w:rPr/>
        <w:t> </w:t>
      </w:r>
    </w:p>
    <w:tbl>
      <w:tblPr>
        <w:tblW w:w="12290" w:type="dxa"/>
        <w:jc w:val="left"/>
        <w:tblInd w:w="0" w:type="dxa"/>
        <w:tblCellMar>
          <w:top w:w="0" w:type="dxa"/>
          <w:left w:w="0" w:type="dxa"/>
          <w:bottom w:w="0" w:type="dxa"/>
          <w:right w:w="0" w:type="dxa"/>
        </w:tblCellMar>
      </w:tblPr>
      <w:tblGrid>
        <w:gridCol w:w="1295"/>
        <w:gridCol w:w="60"/>
        <w:gridCol w:w="132"/>
        <w:gridCol w:w="1133"/>
        <w:gridCol w:w="60"/>
        <w:gridCol w:w="60"/>
        <w:gridCol w:w="1445"/>
        <w:gridCol w:w="60"/>
        <w:gridCol w:w="1940"/>
        <w:gridCol w:w="60"/>
        <w:gridCol w:w="136"/>
        <w:gridCol w:w="739"/>
        <w:gridCol w:w="60"/>
        <w:gridCol w:w="120"/>
        <w:gridCol w:w="176"/>
        <w:gridCol w:w="939"/>
        <w:gridCol w:w="60"/>
        <w:gridCol w:w="60"/>
        <w:gridCol w:w="60"/>
        <w:gridCol w:w="60"/>
        <w:gridCol w:w="60"/>
        <w:gridCol w:w="60"/>
        <w:gridCol w:w="64"/>
        <w:gridCol w:w="556"/>
        <w:gridCol w:w="60"/>
        <w:gridCol w:w="60"/>
        <w:gridCol w:w="75"/>
        <w:gridCol w:w="650"/>
        <w:gridCol w:w="60"/>
        <w:gridCol w:w="60"/>
        <w:gridCol w:w="108"/>
        <w:gridCol w:w="932"/>
        <w:gridCol w:w="60"/>
        <w:gridCol w:w="60"/>
        <w:gridCol w:w="60"/>
        <w:gridCol w:w="635"/>
        <w:gridCol w:w="75"/>
      </w:tblGrid>
      <w:tr>
        <w:trPr/>
        <w:tc>
          <w:tcPr>
            <w:tcW w:w="12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13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4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9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93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c>
          <w:tcPr>
            <w:tcW w:w="6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8" w:type="dxa"/>
            <w:tcBorders/>
            <w:shd w:fill="auto" w:val="clear"/>
            <w:vAlign w:val="center"/>
          </w:tcPr>
          <w:p>
            <w:pPr>
              <w:pStyle w:val="TableContents"/>
              <w:spacing w:before="0" w:after="283"/>
              <w:rPr>
                <w:sz w:val="4"/>
                <w:szCs w:val="4"/>
              </w:rPr>
            </w:pPr>
            <w:r>
              <w:rPr>
                <w:sz w:val="4"/>
                <w:szCs w:val="4"/>
              </w:rPr>
            </w:r>
          </w:p>
        </w:tc>
        <w:tc>
          <w:tcPr>
            <w:tcW w:w="9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35"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2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060" w:type="dxa"/>
            <w:gridSpan w:val="14"/>
            <w:tcBorders>
              <w:bottom w:val="single" w:sz="12" w:space="0" w:color="000000"/>
            </w:tcBorders>
            <w:shd w:fill="auto" w:val="clear"/>
            <w:tcMar>
              <w:bottom w:w="28" w:type="dxa"/>
            </w:tcMar>
            <w:vAlign w:val="center"/>
          </w:tcPr>
          <w:p>
            <w:pPr>
              <w:pStyle w:val="TableContents"/>
              <w:spacing w:before="0" w:after="283"/>
              <w:jc w:val="center"/>
              <w:rPr>
                <w:b/>
              </w:rPr>
            </w:pPr>
            <w:r>
              <w:rPr>
                <w:b/>
              </w:rPr>
              <w:t>Option Awards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440" w:type="dxa"/>
            <w:gridSpan w:val="14"/>
            <w:tcBorders>
              <w:bottom w:val="single" w:sz="12" w:space="0" w:color="000000"/>
            </w:tcBorders>
            <w:shd w:fill="auto" w:val="clear"/>
            <w:tcMar>
              <w:bottom w:w="28" w:type="dxa"/>
            </w:tcMar>
            <w:vAlign w:val="center"/>
          </w:tcPr>
          <w:p>
            <w:pPr>
              <w:pStyle w:val="TableContents"/>
              <w:spacing w:before="0" w:after="283"/>
              <w:jc w:val="center"/>
              <w:rPr>
                <w:b/>
              </w:rPr>
            </w:pPr>
            <w:r>
              <w:rPr>
                <w:b/>
              </w:rPr>
              <w:t>Stock Awards</w:t>
            </w:r>
          </w:p>
        </w:tc>
        <w:tc>
          <w:tcPr>
            <w:tcW w:w="75" w:type="dxa"/>
            <w:tcBorders/>
            <w:shd w:fill="auto" w:val="clear"/>
            <w:vAlign w:val="center"/>
          </w:tcPr>
          <w:p>
            <w:pPr>
              <w:pStyle w:val="TableContents"/>
              <w:spacing w:before="0" w:after="283"/>
              <w:rPr/>
            </w:pPr>
            <w:r>
              <w:rPr/>
              <w:t> </w:t>
            </w:r>
          </w:p>
        </w:tc>
      </w:tr>
      <w:tr>
        <w:trPr/>
        <w:tc>
          <w:tcPr>
            <w:tcW w:w="1295" w:type="dxa"/>
            <w:tcBorders>
              <w:bottom w:val="single" w:sz="6" w:space="0" w:color="000000"/>
            </w:tcBorders>
            <w:shd w:fill="auto" w:val="clear"/>
            <w:tcMar>
              <w:bottom w:w="28" w:type="dxa"/>
            </w:tcMar>
            <w:vAlign w:val="center"/>
          </w:tcPr>
          <w:p>
            <w:pPr>
              <w:pStyle w:val="TableContents"/>
              <w:spacing w:before="0" w:after="283"/>
              <w:rPr>
                <w:b/>
              </w:rPr>
            </w:pPr>
            <w:r>
              <w:rPr>
                <w:b/>
              </w:rPr>
              <w:t>Name</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1265" w:type="dxa"/>
            <w:gridSpan w:val="2"/>
            <w:tcBorders>
              <w:bottom w:val="single" w:sz="6" w:space="0" w:color="000000"/>
            </w:tcBorders>
            <w:shd w:fill="auto" w:val="clear"/>
            <w:tcMar>
              <w:bottom w:w="28" w:type="dxa"/>
            </w:tcMar>
            <w:vAlign w:val="center"/>
          </w:tcPr>
          <w:p>
            <w:pPr>
              <w:pStyle w:val="TableContents"/>
              <w:spacing w:before="0" w:after="283"/>
              <w:jc w:val="center"/>
              <w:rPr>
                <w:b/>
              </w:rPr>
            </w:pPr>
            <w:r>
              <w:rPr>
                <w:b/>
              </w:rPr>
              <w:t>Number of</w:t>
              <w:br/>
              <w:t>Securities</w:t>
              <w:br/>
              <w:t>Underlying</w:t>
              <w:br/>
              <w:t>Unexercised</w:t>
              <w:br/>
              <w:t>Options</w:t>
              <w:br/>
              <w:t>Exercisable</w:t>
              <w:br/>
              <w:t>(#) (1)</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1445" w:type="dxa"/>
            <w:tcBorders>
              <w:bottom w:val="single" w:sz="6" w:space="0" w:color="000000"/>
            </w:tcBorders>
            <w:shd w:fill="auto" w:val="clear"/>
            <w:tcMar>
              <w:bottom w:w="28" w:type="dxa"/>
            </w:tcMar>
            <w:vAlign w:val="center"/>
          </w:tcPr>
          <w:p>
            <w:pPr>
              <w:pStyle w:val="TableContents"/>
              <w:spacing w:before="0" w:after="283"/>
              <w:jc w:val="center"/>
              <w:rPr>
                <w:b/>
              </w:rPr>
            </w:pPr>
            <w:r>
              <w:rPr>
                <w:b/>
              </w:rPr>
              <w:t>Number of</w:t>
              <w:br/>
              <w:t>Securities</w:t>
              <w:br/>
              <w:t>Underlying</w:t>
              <w:br/>
              <w:t>Unexercised</w:t>
              <w:br/>
              <w:t>Options</w:t>
              <w:br/>
              <w:t>Unexercisable</w:t>
              <w:br/>
              <w:t>(#) (2)</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1940" w:type="dxa"/>
            <w:tcBorders>
              <w:bottom w:val="single" w:sz="6" w:space="0" w:color="000000"/>
            </w:tcBorders>
            <w:shd w:fill="auto" w:val="clear"/>
            <w:tcMar>
              <w:bottom w:w="28" w:type="dxa"/>
            </w:tcMar>
            <w:vAlign w:val="center"/>
          </w:tcPr>
          <w:p>
            <w:pPr>
              <w:pStyle w:val="TableContents"/>
              <w:spacing w:before="0" w:after="283"/>
              <w:jc w:val="center"/>
              <w:rPr/>
            </w:pPr>
            <w:r>
              <w:rPr/>
              <w:t>    </w:t>
            </w:r>
            <w:r>
              <w:rPr>
                <w:b/>
              </w:rPr>
              <w:t>Equity Incentive</w:t>
              <w:br/>
              <w:t>    Plan Awards:</w:t>
              <w:br/>
              <w:t>    Number of</w:t>
              <w:br/>
              <w:t>    Securities</w:t>
              <w:br/>
              <w:t>    Underlying</w:t>
              <w:br/>
              <w:t>    Unexercised</w:t>
              <w:br/>
              <w:t>    Unearned</w:t>
              <w:br/>
              <w:t>    Options (#)</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875" w:type="dxa"/>
            <w:gridSpan w:val="2"/>
            <w:tcBorders>
              <w:bottom w:val="single" w:sz="6" w:space="0" w:color="000000"/>
            </w:tcBorders>
            <w:shd w:fill="auto" w:val="clear"/>
            <w:tcMar>
              <w:bottom w:w="28" w:type="dxa"/>
            </w:tcMar>
            <w:vAlign w:val="center"/>
          </w:tcPr>
          <w:p>
            <w:pPr>
              <w:pStyle w:val="TableContents"/>
              <w:spacing w:before="0" w:after="283"/>
              <w:jc w:val="center"/>
              <w:rPr>
                <w:b/>
              </w:rPr>
            </w:pPr>
            <w:r>
              <w:rPr>
                <w:b/>
              </w:rPr>
              <w:t>Option</w:t>
              <w:br/>
              <w:t>Exercise</w:t>
              <w:br/>
              <w:t>Price</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1115" w:type="dxa"/>
            <w:gridSpan w:val="2"/>
            <w:tcBorders>
              <w:bottom w:val="single" w:sz="6" w:space="0" w:color="000000"/>
            </w:tcBorders>
            <w:shd w:fill="auto" w:val="clear"/>
            <w:tcMar>
              <w:bottom w:w="28" w:type="dxa"/>
            </w:tcMar>
            <w:vAlign w:val="center"/>
          </w:tcPr>
          <w:p>
            <w:pPr>
              <w:pStyle w:val="TableContents"/>
              <w:spacing w:before="0" w:after="283"/>
              <w:jc w:val="center"/>
              <w:rPr>
                <w:b/>
              </w:rPr>
            </w:pPr>
            <w:r>
              <w:rPr>
                <w:b/>
              </w:rPr>
              <w:t>Option</w:t>
              <w:br/>
              <w:t>Expiration</w:t>
              <w:br/>
              <w:t>Date</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120" w:type="dxa"/>
            <w:gridSpan w:val="2"/>
            <w:tcBorders>
              <w:bottom w:val="single" w:sz="6" w:space="0" w:color="000000"/>
            </w:tcBorders>
            <w:shd w:fill="auto" w:val="clear"/>
            <w:tcMar>
              <w:bottom w:w="28" w:type="dxa"/>
            </w:tcMar>
            <w:vAlign w:val="center"/>
          </w:tcPr>
          <w:p>
            <w:pPr>
              <w:pStyle w:val="TableContents"/>
              <w:spacing w:before="0" w:after="283"/>
              <w:rPr/>
            </w:pPr>
            <w:r>
              <w:rPr/>
              <w:t>  </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620" w:type="dxa"/>
            <w:gridSpan w:val="2"/>
            <w:tcBorders>
              <w:bottom w:val="single" w:sz="6" w:space="0" w:color="000000"/>
            </w:tcBorders>
            <w:shd w:fill="auto" w:val="clear"/>
            <w:tcMar>
              <w:bottom w:w="28" w:type="dxa"/>
            </w:tcMar>
            <w:vAlign w:val="center"/>
          </w:tcPr>
          <w:p>
            <w:pPr>
              <w:pStyle w:val="TableContents"/>
              <w:spacing w:before="0" w:after="0"/>
              <w:jc w:val="center"/>
              <w:rPr>
                <w:rFonts w:ascii="ARIAL" w:hAnsi="ARIAL"/>
                <w:b/>
                <w:sz w:val="12"/>
              </w:rPr>
            </w:pPr>
            <w:r>
              <w:rPr>
                <w:rFonts w:ascii="ARIAL" w:hAnsi="ARIAL"/>
                <w:b/>
                <w:sz w:val="12"/>
              </w:rPr>
              <w:t>Number of</w:t>
              <w:br/>
              <w:t>Shares or</w:t>
              <w:br/>
              <w:t>Units of</w:t>
              <w:br/>
              <w:t>Stock That</w:t>
              <w:br/>
              <w:t>Have Not</w:t>
              <w:br/>
              <w:t>Vested</w:t>
            </w:r>
          </w:p>
          <w:p>
            <w:pPr>
              <w:pStyle w:val="TableContents"/>
              <w:spacing w:before="0" w:after="20"/>
              <w:jc w:val="center"/>
              <w:rPr>
                <w:rFonts w:ascii="ARIAL" w:hAnsi="ARIAL"/>
                <w:b/>
                <w:sz w:val="12"/>
              </w:rPr>
            </w:pPr>
            <w:r>
              <w:rPr>
                <w:rFonts w:ascii="ARIAL" w:hAnsi="ARIAL"/>
                <w:b/>
                <w:sz w:val="12"/>
              </w:rPr>
              <w:t>(#) (3)</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725" w:type="dxa"/>
            <w:gridSpan w:val="2"/>
            <w:tcBorders>
              <w:bottom w:val="single" w:sz="6" w:space="0" w:color="000000"/>
            </w:tcBorders>
            <w:shd w:fill="auto" w:val="clear"/>
            <w:tcMar>
              <w:bottom w:w="28" w:type="dxa"/>
            </w:tcMar>
            <w:vAlign w:val="center"/>
          </w:tcPr>
          <w:p>
            <w:pPr>
              <w:pStyle w:val="TableContents"/>
              <w:spacing w:before="0" w:after="0"/>
              <w:jc w:val="center"/>
              <w:rPr>
                <w:rFonts w:ascii="ARIAL" w:hAnsi="ARIAL"/>
                <w:b/>
                <w:sz w:val="12"/>
              </w:rPr>
            </w:pPr>
            <w:r>
              <w:rPr>
                <w:rFonts w:ascii="ARIAL" w:hAnsi="ARIAL"/>
                <w:b/>
                <w:sz w:val="12"/>
              </w:rPr>
              <w:t>Market Value</w:t>
              <w:br/>
              <w:t>of Shares or</w:t>
              <w:br/>
              <w:t>Units of</w:t>
              <w:br/>
              <w:t>Stock That</w:t>
              <w:br/>
              <w:t>Have Not</w:t>
              <w:br/>
              <w:t>Vested</w:t>
            </w:r>
          </w:p>
          <w:p>
            <w:pPr>
              <w:pStyle w:val="TableContents"/>
              <w:spacing w:before="0" w:after="20"/>
              <w:jc w:val="center"/>
              <w:rPr>
                <w:rFonts w:ascii="ARIAL" w:hAnsi="ARIAL"/>
                <w:b/>
                <w:sz w:val="12"/>
              </w:rPr>
            </w:pPr>
            <w:r>
              <w:rPr>
                <w:rFonts w:ascii="ARIAL" w:hAnsi="ARIAL"/>
                <w:b/>
                <w:sz w:val="12"/>
              </w:rPr>
              <w:t>($) (4)</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1040" w:type="dxa"/>
            <w:gridSpan w:val="2"/>
            <w:tcBorders>
              <w:bottom w:val="single" w:sz="6" w:space="0" w:color="000000"/>
            </w:tcBorders>
            <w:shd w:fill="auto" w:val="clear"/>
            <w:tcMar>
              <w:bottom w:w="28" w:type="dxa"/>
            </w:tcMar>
            <w:vAlign w:val="center"/>
          </w:tcPr>
          <w:p>
            <w:pPr>
              <w:pStyle w:val="TableContents"/>
              <w:spacing w:before="0" w:after="283"/>
              <w:jc w:val="center"/>
              <w:rPr>
                <w:b/>
              </w:rPr>
            </w:pPr>
            <w:r>
              <w:rPr>
                <w:b/>
              </w:rPr>
              <w:t>Equity</w:t>
              <w:br/>
              <w:t>Incentive</w:t>
              <w:br/>
              <w:t>Plan</w:t>
              <w:br/>
              <w:t>Awards:</w:t>
              <w:br/>
              <w:t>Number</w:t>
              <w:br/>
              <w:t>of</w:t>
              <w:br/>
              <w:t>Unearned</w:t>
              <w:br/>
              <w:t>Shares,</w:t>
              <w:br/>
              <w:t>Units or</w:t>
              <w:br/>
              <w:t>Other</w:t>
              <w:br/>
              <w:t>Rights</w:t>
              <w:br/>
              <w:t>That</w:t>
              <w:br/>
              <w:t>Have Not</w:t>
              <w:br/>
              <w:t>Vested</w:t>
              <w:br/>
              <w:t>(#) (5)</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695" w:type="dxa"/>
            <w:gridSpan w:val="2"/>
            <w:tcBorders>
              <w:bottom w:val="single" w:sz="6" w:space="0" w:color="000000"/>
            </w:tcBorders>
            <w:shd w:fill="auto" w:val="clear"/>
            <w:tcMar>
              <w:bottom w:w="28" w:type="dxa"/>
            </w:tcMar>
            <w:vAlign w:val="center"/>
          </w:tcPr>
          <w:p>
            <w:pPr>
              <w:pStyle w:val="TableContents"/>
              <w:spacing w:before="0" w:after="0"/>
              <w:jc w:val="center"/>
              <w:rPr>
                <w:rFonts w:ascii="ARIAL" w:hAnsi="ARIAL"/>
                <w:b/>
                <w:sz w:val="12"/>
              </w:rPr>
            </w:pPr>
            <w:r>
              <w:rPr>
                <w:rFonts w:ascii="ARIAL" w:hAnsi="ARIAL"/>
                <w:b/>
                <w:sz w:val="12"/>
              </w:rPr>
              <w:t>Equity</w:t>
              <w:br/>
              <w:t>Incentive</w:t>
              <w:br/>
              <w:t>Plan</w:t>
              <w:br/>
              <w:t>Awards:</w:t>
              <w:br/>
              <w:t>Market or</w:t>
              <w:br/>
              <w:t>Payout</w:t>
              <w:br/>
              <w:t>Value of</w:t>
              <w:br/>
              <w:t>Unearned</w:t>
              <w:br/>
              <w:t>Shares,</w:t>
              <w:br/>
              <w:t>Units or</w:t>
              <w:br/>
              <w:t>Other</w:t>
              <w:br/>
              <w:t>Rights That</w:t>
              <w:br/>
              <w:t>Have Not</w:t>
              <w:br/>
              <w:t>Vested</w:t>
            </w:r>
          </w:p>
          <w:p>
            <w:pPr>
              <w:pStyle w:val="TableContents"/>
              <w:spacing w:before="0" w:after="20"/>
              <w:jc w:val="center"/>
              <w:rPr>
                <w:rFonts w:ascii="ARIAL" w:hAnsi="ARIAL"/>
                <w:b/>
                <w:sz w:val="12"/>
              </w:rPr>
            </w:pPr>
            <w:r>
              <w:rPr>
                <w:rFonts w:ascii="ARIAL" w:hAnsi="ARIAL"/>
                <w:b/>
                <w:sz w:val="12"/>
              </w:rPr>
              <w:t>($) (4)</w:t>
            </w:r>
          </w:p>
        </w:tc>
        <w:tc>
          <w:tcPr>
            <w:tcW w:w="75" w:type="dxa"/>
            <w:tcBorders>
              <w:bottom w:val="single" w:sz="6" w:space="0" w:color="000000"/>
            </w:tcBorders>
            <w:shd w:fill="auto" w:val="clear"/>
            <w:tcMar>
              <w:bottom w:w="28" w:type="dxa"/>
            </w:tcMar>
            <w:vAlign w:val="center"/>
          </w:tcPr>
          <w:p>
            <w:pPr>
              <w:pStyle w:val="TableContents"/>
              <w:spacing w:before="0" w:after="283"/>
              <w:rPr/>
            </w:pPr>
            <w:r>
              <w:rPr/>
              <w:t> </w:t>
            </w:r>
          </w:p>
        </w:tc>
      </w:tr>
      <w:tr>
        <w:trPr/>
        <w:tc>
          <w:tcPr>
            <w:tcW w:w="1295" w:type="dxa"/>
            <w:tcBorders/>
            <w:shd w:fill="CEE8F6" w:val="clear"/>
            <w:vAlign w:val="center"/>
          </w:tcPr>
          <w:p>
            <w:pPr>
              <w:pStyle w:val="TableContents"/>
              <w:spacing w:lineRule="atLeast" w:line="240" w:before="0" w:after="0"/>
              <w:rPr>
                <w:rFonts w:ascii="ARIAL" w:hAnsi="ARIAL"/>
                <w:sz w:val="14"/>
              </w:rPr>
            </w:pPr>
            <w:r>
              <w:rPr>
                <w:rFonts w:ascii="ARIAL" w:hAnsi="ARIAL"/>
                <w:sz w:val="14"/>
              </w:rPr>
              <w:t>Tim L. Hingtgen</w:t>
            </w:r>
          </w:p>
        </w:tc>
        <w:tc>
          <w:tcPr>
            <w:tcW w:w="60" w:type="dxa"/>
            <w:tcBorders/>
            <w:shd w:fill="CEE8F6" w:val="clear"/>
            <w:vAlign w:val="center"/>
          </w:tcPr>
          <w:p>
            <w:pPr>
              <w:pStyle w:val="TableContents"/>
              <w:spacing w:before="0" w:after="283"/>
              <w:rPr/>
            </w:pPr>
            <w:r>
              <w:rPr/>
              <w:t> </w:t>
            </w:r>
          </w:p>
        </w:tc>
        <w:tc>
          <w:tcPr>
            <w:tcW w:w="132" w:type="dxa"/>
            <w:tcBorders/>
            <w:shd w:fill="CEE8F6" w:val="clear"/>
            <w:vAlign w:val="center"/>
          </w:tcPr>
          <w:p>
            <w:pPr>
              <w:pStyle w:val="TableContents"/>
              <w:spacing w:lineRule="atLeast" w:line="240" w:before="0" w:after="0"/>
              <w:rPr/>
            </w:pPr>
            <w:r>
              <w:rPr/>
              <w:t> </w:t>
            </w:r>
          </w:p>
        </w:tc>
        <w:tc>
          <w:tcPr>
            <w:tcW w:w="1133" w:type="dxa"/>
            <w:tcBorders/>
            <w:shd w:fill="CEE8F6" w:val="clear"/>
            <w:vAlign w:val="center"/>
          </w:tcPr>
          <w:p>
            <w:pPr>
              <w:pStyle w:val="TableContents"/>
              <w:spacing w:lineRule="atLeast" w:line="240" w:before="0" w:after="0"/>
              <w:jc w:val="right"/>
              <w:rPr>
                <w:rFonts w:ascii="ARIAL" w:hAnsi="ARIAL"/>
                <w:sz w:val="14"/>
              </w:rPr>
            </w:pPr>
            <w:r>
              <w:rPr>
                <w:rFonts w:ascii="ARIAL" w:hAnsi="ARIAL"/>
                <w:sz w:val="14"/>
              </w:rPr>
              <w:t>56,250</w:t>
            </w:r>
          </w:p>
        </w:tc>
        <w:tc>
          <w:tcPr>
            <w:tcW w:w="60" w:type="dxa"/>
            <w:tcBorders/>
            <w:shd w:fill="CEE8F6" w:val="clear"/>
            <w:vAlign w:val="center"/>
          </w:tcPr>
          <w:p>
            <w:pPr>
              <w:pStyle w:val="TableContents"/>
              <w:spacing w:lineRule="atLeast" w:line="240" w:before="0" w:after="0"/>
              <w:rPr/>
            </w:pPr>
            <w:r>
              <w:rPr/>
              <w:t> </w:t>
            </w:r>
          </w:p>
        </w:tc>
        <w:tc>
          <w:tcPr>
            <w:tcW w:w="60" w:type="dxa"/>
            <w:tcBorders/>
            <w:shd w:fill="CEE8F6" w:val="clear"/>
            <w:vAlign w:val="center"/>
          </w:tcPr>
          <w:p>
            <w:pPr>
              <w:pStyle w:val="TableContents"/>
              <w:spacing w:before="0" w:after="283"/>
              <w:rPr/>
            </w:pPr>
            <w:r>
              <w:rPr/>
              <w:t> </w:t>
            </w:r>
          </w:p>
        </w:tc>
        <w:tc>
          <w:tcPr>
            <w:tcW w:w="1445" w:type="dxa"/>
            <w:tcBorders/>
            <w:shd w:fill="CEE8F6" w:val="clear"/>
            <w:vAlign w:val="center"/>
          </w:tcPr>
          <w:p>
            <w:pPr>
              <w:pStyle w:val="TableContents"/>
              <w:spacing w:lineRule="atLeast" w:line="240" w:before="0" w:after="0"/>
              <w:jc w:val="center"/>
              <w:rPr>
                <w:rFonts w:ascii="ARIAL" w:hAnsi="ARIAL"/>
                <w:sz w:val="14"/>
              </w:rPr>
            </w:pPr>
            <w:r>
              <w:rPr>
                <w:rFonts w:ascii="ARIAL" w:hAnsi="ARIAL"/>
                <w:sz w:val="14"/>
              </w:rPr>
              <w:t>-</w:t>
            </w:r>
          </w:p>
        </w:tc>
        <w:tc>
          <w:tcPr>
            <w:tcW w:w="60" w:type="dxa"/>
            <w:tcBorders/>
            <w:shd w:fill="CEE8F6" w:val="clear"/>
            <w:vAlign w:val="center"/>
          </w:tcPr>
          <w:p>
            <w:pPr>
              <w:pStyle w:val="TableContents"/>
              <w:spacing w:before="0" w:after="283"/>
              <w:rPr/>
            </w:pPr>
            <w:r>
              <w:rPr/>
              <w:t> </w:t>
            </w:r>
          </w:p>
        </w:tc>
        <w:tc>
          <w:tcPr>
            <w:tcW w:w="1940" w:type="dxa"/>
            <w:tcBorders/>
            <w:shd w:fill="CEE8F6" w:val="clear"/>
            <w:vAlign w:val="center"/>
          </w:tcPr>
          <w:p>
            <w:pPr>
              <w:pStyle w:val="TableContents"/>
              <w:spacing w:lineRule="atLeast" w:line="240" w:before="0" w:after="0"/>
              <w:jc w:val="center"/>
              <w:rPr>
                <w:rFonts w:ascii="ARIAL" w:hAnsi="ARIAL"/>
                <w:sz w:val="14"/>
              </w:rPr>
            </w:pPr>
            <w:r>
              <w:rPr>
                <w:rFonts w:ascii="ARIAL" w:hAnsi="ARIAL"/>
                <w:sz w:val="14"/>
              </w:rPr>
              <w:t>-</w:t>
            </w:r>
          </w:p>
        </w:tc>
        <w:tc>
          <w:tcPr>
            <w:tcW w:w="60" w:type="dxa"/>
            <w:tcBorders/>
            <w:shd w:fill="CEE8F6" w:val="clear"/>
            <w:vAlign w:val="center"/>
          </w:tcPr>
          <w:p>
            <w:pPr>
              <w:pStyle w:val="TableContents"/>
              <w:spacing w:before="0" w:after="283"/>
              <w:rPr/>
            </w:pPr>
            <w:r>
              <w:rPr/>
              <w:t> </w:t>
            </w:r>
          </w:p>
        </w:tc>
        <w:tc>
          <w:tcPr>
            <w:tcW w:w="136" w:type="dxa"/>
            <w:tcBorders/>
            <w:shd w:fill="CEE8F6" w:val="clear"/>
            <w:vAlign w:val="center"/>
          </w:tcPr>
          <w:p>
            <w:pPr>
              <w:pStyle w:val="TableContents"/>
              <w:spacing w:lineRule="atLeast" w:line="240" w:before="0" w:after="0"/>
              <w:rPr>
                <w:rFonts w:ascii="ARIAL" w:hAnsi="ARIAL"/>
                <w:sz w:val="14"/>
              </w:rPr>
            </w:pPr>
            <w:r>
              <w:rPr>
                <w:rFonts w:ascii="ARIAL" w:hAnsi="ARIAL"/>
                <w:sz w:val="14"/>
              </w:rPr>
              <w:t>$</w:t>
            </w:r>
          </w:p>
        </w:tc>
        <w:tc>
          <w:tcPr>
            <w:tcW w:w="739" w:type="dxa"/>
            <w:tcBorders/>
            <w:shd w:fill="CEE8F6" w:val="clear"/>
            <w:vAlign w:val="center"/>
          </w:tcPr>
          <w:p>
            <w:pPr>
              <w:pStyle w:val="TableContents"/>
              <w:spacing w:lineRule="atLeast" w:line="240" w:before="0" w:after="0"/>
              <w:jc w:val="right"/>
              <w:rPr>
                <w:rFonts w:ascii="ARIAL" w:hAnsi="ARIAL"/>
                <w:sz w:val="14"/>
              </w:rPr>
            </w:pPr>
            <w:r>
              <w:rPr>
                <w:rFonts w:ascii="ARIAL" w:hAnsi="ARIAL"/>
                <w:sz w:val="14"/>
              </w:rPr>
              <w:t>4.9900</w:t>
            </w:r>
          </w:p>
        </w:tc>
        <w:tc>
          <w:tcPr>
            <w:tcW w:w="60" w:type="dxa"/>
            <w:tcBorders/>
            <w:shd w:fill="CEE8F6" w:val="clear"/>
            <w:vAlign w:val="center"/>
          </w:tcPr>
          <w:p>
            <w:pPr>
              <w:pStyle w:val="TableContents"/>
              <w:spacing w:lineRule="atLeast" w:line="240" w:before="0" w:after="0"/>
              <w:rPr/>
            </w:pPr>
            <w:r>
              <w:rPr/>
              <w:t> </w:t>
            </w:r>
          </w:p>
        </w:tc>
        <w:tc>
          <w:tcPr>
            <w:tcW w:w="120" w:type="dxa"/>
            <w:tcBorders/>
            <w:shd w:fill="CEE8F6" w:val="clear"/>
            <w:vAlign w:val="center"/>
          </w:tcPr>
          <w:p>
            <w:pPr>
              <w:pStyle w:val="TableContents"/>
              <w:spacing w:before="0" w:after="283"/>
              <w:rPr/>
            </w:pPr>
            <w:r>
              <w:rPr/>
              <w:t>  </w:t>
            </w:r>
          </w:p>
        </w:tc>
        <w:tc>
          <w:tcPr>
            <w:tcW w:w="176" w:type="dxa"/>
            <w:tcBorders/>
            <w:shd w:fill="CEE8F6" w:val="clear"/>
            <w:vAlign w:val="center"/>
          </w:tcPr>
          <w:p>
            <w:pPr>
              <w:pStyle w:val="TableContents"/>
              <w:spacing w:lineRule="atLeast" w:line="240" w:before="0" w:after="0"/>
              <w:rPr/>
            </w:pPr>
            <w:r>
              <w:rPr/>
              <w:t> </w:t>
            </w:r>
          </w:p>
        </w:tc>
        <w:tc>
          <w:tcPr>
            <w:tcW w:w="939" w:type="dxa"/>
            <w:tcBorders/>
            <w:shd w:fill="CEE8F6" w:val="clear"/>
            <w:vAlign w:val="center"/>
          </w:tcPr>
          <w:p>
            <w:pPr>
              <w:pStyle w:val="TableContents"/>
              <w:spacing w:lineRule="atLeast" w:line="240" w:before="0" w:after="0"/>
              <w:jc w:val="right"/>
              <w:rPr>
                <w:rFonts w:ascii="ARIAL" w:hAnsi="ARIAL"/>
                <w:sz w:val="14"/>
              </w:rPr>
            </w:pPr>
            <w:r>
              <w:rPr>
                <w:rFonts w:ascii="ARIAL" w:hAnsi="ARIAL"/>
                <w:sz w:val="14"/>
              </w:rPr>
              <w:t>2/28/2029</w:t>
            </w:r>
          </w:p>
        </w:tc>
        <w:tc>
          <w:tcPr>
            <w:tcW w:w="60" w:type="dxa"/>
            <w:tcBorders/>
            <w:shd w:fill="CEE8F6" w:val="clear"/>
            <w:vAlign w:val="center"/>
          </w:tcPr>
          <w:p>
            <w:pPr>
              <w:pStyle w:val="TableContents"/>
              <w:spacing w:lineRule="atLeast" w:line="240" w:before="0" w:after="0"/>
              <w:rPr/>
            </w:pPr>
            <w:r>
              <w:rPr/>
              <w:t> </w:t>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pPr>
            <w:r>
              <w:rPr/>
              <w:t> </w:t>
            </w:r>
          </w:p>
        </w:tc>
        <w:tc>
          <w:tcPr>
            <w:tcW w:w="64" w:type="dxa"/>
            <w:tcBorders/>
            <w:shd w:fill="CEE8F6" w:val="clear"/>
            <w:vAlign w:val="center"/>
          </w:tcPr>
          <w:p>
            <w:pPr>
              <w:pStyle w:val="TableContents"/>
              <w:spacing w:before="0" w:after="283"/>
              <w:rPr>
                <w:sz w:val="4"/>
                <w:szCs w:val="4"/>
              </w:rPr>
            </w:pPr>
            <w:r>
              <w:rPr>
                <w:sz w:val="4"/>
                <w:szCs w:val="4"/>
              </w:rPr>
            </w:r>
          </w:p>
        </w:tc>
        <w:tc>
          <w:tcPr>
            <w:tcW w:w="556"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pPr>
            <w:r>
              <w:rPr/>
              <w:t> </w:t>
            </w:r>
          </w:p>
        </w:tc>
        <w:tc>
          <w:tcPr>
            <w:tcW w:w="75" w:type="dxa"/>
            <w:tcBorders/>
            <w:shd w:fill="CEE8F6" w:val="clear"/>
            <w:vAlign w:val="center"/>
          </w:tcPr>
          <w:p>
            <w:pPr>
              <w:pStyle w:val="TableContents"/>
              <w:spacing w:before="0" w:after="283"/>
              <w:rPr>
                <w:sz w:val="4"/>
                <w:szCs w:val="4"/>
              </w:rPr>
            </w:pPr>
            <w:r>
              <w:rPr>
                <w:sz w:val="4"/>
                <w:szCs w:val="4"/>
              </w:rPr>
            </w:r>
          </w:p>
        </w:tc>
        <w:tc>
          <w:tcPr>
            <w:tcW w:w="65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pPr>
            <w:r>
              <w:rPr/>
              <w:t> </w:t>
            </w:r>
          </w:p>
        </w:tc>
        <w:tc>
          <w:tcPr>
            <w:tcW w:w="108" w:type="dxa"/>
            <w:tcBorders/>
            <w:shd w:fill="CEE8F6" w:val="clear"/>
            <w:vAlign w:val="center"/>
          </w:tcPr>
          <w:p>
            <w:pPr>
              <w:pStyle w:val="TableContents"/>
              <w:spacing w:before="0" w:after="283"/>
              <w:rPr>
                <w:sz w:val="4"/>
                <w:szCs w:val="4"/>
              </w:rPr>
            </w:pPr>
            <w:r>
              <w:rPr>
                <w:sz w:val="4"/>
                <w:szCs w:val="4"/>
              </w:rPr>
            </w:r>
          </w:p>
        </w:tc>
        <w:tc>
          <w:tcPr>
            <w:tcW w:w="932"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before="0" w:after="283"/>
              <w:rPr>
                <w:sz w:val="4"/>
                <w:szCs w:val="4"/>
              </w:rPr>
            </w:pPr>
            <w:r>
              <w:rPr>
                <w:sz w:val="4"/>
                <w:szCs w:val="4"/>
              </w:rPr>
            </w:r>
          </w:p>
        </w:tc>
        <w:tc>
          <w:tcPr>
            <w:tcW w:w="635" w:type="dxa"/>
            <w:tcBorders/>
            <w:shd w:fill="CEE8F6" w:val="clear"/>
            <w:vAlign w:val="center"/>
          </w:tcPr>
          <w:p>
            <w:pPr>
              <w:pStyle w:val="TableContents"/>
              <w:spacing w:before="0" w:after="283"/>
              <w:rPr>
                <w:sz w:val="4"/>
                <w:szCs w:val="4"/>
              </w:rPr>
            </w:pPr>
            <w:r>
              <w:rPr>
                <w:sz w:val="4"/>
                <w:szCs w:val="4"/>
              </w:rPr>
            </w:r>
          </w:p>
        </w:tc>
        <w:tc>
          <w:tcPr>
            <w:tcW w:w="75" w:type="dxa"/>
            <w:tcBorders/>
            <w:shd w:fill="CEE8F6" w:val="clear"/>
            <w:vAlign w:val="center"/>
          </w:tcPr>
          <w:p>
            <w:pPr>
              <w:pStyle w:val="TableContents"/>
              <w:spacing w:before="0" w:after="283"/>
              <w:rPr>
                <w:sz w:val="4"/>
                <w:szCs w:val="4"/>
              </w:rPr>
            </w:pPr>
            <w:r>
              <w:rPr>
                <w:sz w:val="4"/>
                <w:szCs w:val="4"/>
              </w:rPr>
            </w:r>
          </w:p>
        </w:tc>
      </w:tr>
      <w:tr>
        <w:trPr/>
        <w:tc>
          <w:tcPr>
            <w:tcW w:w="1295"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pPr>
            <w:r>
              <w:rPr/>
              <w:t> </w:t>
            </w:r>
          </w:p>
        </w:tc>
        <w:tc>
          <w:tcPr>
            <w:tcW w:w="132" w:type="dxa"/>
            <w:tcBorders/>
            <w:shd w:fill="CEE8F6" w:val="clear"/>
            <w:vAlign w:val="center"/>
          </w:tcPr>
          <w:p>
            <w:pPr>
              <w:pStyle w:val="TableContents"/>
              <w:spacing w:lineRule="atLeast" w:line="240" w:before="0" w:after="0"/>
              <w:rPr/>
            </w:pPr>
            <w:r>
              <w:rPr/>
              <w:t> </w:t>
            </w:r>
          </w:p>
        </w:tc>
        <w:tc>
          <w:tcPr>
            <w:tcW w:w="1133" w:type="dxa"/>
            <w:tcBorders/>
            <w:shd w:fill="CEE8F6" w:val="clear"/>
            <w:vAlign w:val="center"/>
          </w:tcPr>
          <w:p>
            <w:pPr>
              <w:pStyle w:val="TableContents"/>
              <w:spacing w:lineRule="atLeast" w:line="240" w:before="0" w:after="0"/>
              <w:jc w:val="right"/>
              <w:rPr>
                <w:rFonts w:ascii="ARIAL" w:hAnsi="ARIAL"/>
                <w:sz w:val="14"/>
              </w:rPr>
            </w:pPr>
            <w:r>
              <w:rPr>
                <w:rFonts w:ascii="ARIAL" w:hAnsi="ARIAL"/>
                <w:sz w:val="14"/>
              </w:rPr>
              <w:t>183,333</w:t>
            </w:r>
          </w:p>
        </w:tc>
        <w:tc>
          <w:tcPr>
            <w:tcW w:w="60" w:type="dxa"/>
            <w:tcBorders/>
            <w:shd w:fill="CEE8F6" w:val="clear"/>
            <w:vAlign w:val="center"/>
          </w:tcPr>
          <w:p>
            <w:pPr>
              <w:pStyle w:val="TableContents"/>
              <w:spacing w:lineRule="atLeast" w:line="240" w:before="0" w:after="0"/>
              <w:rPr/>
            </w:pPr>
            <w:r>
              <w:rPr/>
              <w:t> </w:t>
            </w:r>
          </w:p>
        </w:tc>
        <w:tc>
          <w:tcPr>
            <w:tcW w:w="60" w:type="dxa"/>
            <w:tcBorders/>
            <w:shd w:fill="CEE8F6" w:val="clear"/>
            <w:vAlign w:val="center"/>
          </w:tcPr>
          <w:p>
            <w:pPr>
              <w:pStyle w:val="TableContents"/>
              <w:spacing w:before="0" w:after="283"/>
              <w:rPr/>
            </w:pPr>
            <w:r>
              <w:rPr/>
              <w:t> </w:t>
            </w:r>
          </w:p>
        </w:tc>
        <w:tc>
          <w:tcPr>
            <w:tcW w:w="1445" w:type="dxa"/>
            <w:tcBorders/>
            <w:shd w:fill="CEE8F6" w:val="clear"/>
            <w:vAlign w:val="center"/>
          </w:tcPr>
          <w:p>
            <w:pPr>
              <w:pStyle w:val="TableContents"/>
              <w:spacing w:lineRule="atLeast" w:line="240" w:before="0" w:after="0"/>
              <w:jc w:val="center"/>
              <w:rPr>
                <w:rFonts w:ascii="ARIAL" w:hAnsi="ARIAL"/>
                <w:sz w:val="14"/>
              </w:rPr>
            </w:pPr>
            <w:r>
              <w:rPr>
                <w:rFonts w:ascii="ARIAL" w:hAnsi="ARIAL"/>
                <w:sz w:val="14"/>
              </w:rPr>
              <w:t>91,667</w:t>
            </w:r>
          </w:p>
        </w:tc>
        <w:tc>
          <w:tcPr>
            <w:tcW w:w="60" w:type="dxa"/>
            <w:tcBorders/>
            <w:shd w:fill="CEE8F6" w:val="clear"/>
            <w:vAlign w:val="center"/>
          </w:tcPr>
          <w:p>
            <w:pPr>
              <w:pStyle w:val="TableContents"/>
              <w:spacing w:before="0" w:after="283"/>
              <w:rPr/>
            </w:pPr>
            <w:r>
              <w:rPr/>
              <w:t> </w:t>
            </w:r>
          </w:p>
        </w:tc>
        <w:tc>
          <w:tcPr>
            <w:tcW w:w="1940" w:type="dxa"/>
            <w:tcBorders/>
            <w:shd w:fill="CEE8F6" w:val="clear"/>
            <w:vAlign w:val="center"/>
          </w:tcPr>
          <w:p>
            <w:pPr>
              <w:pStyle w:val="TableContents"/>
              <w:spacing w:lineRule="atLeast" w:line="240" w:before="0" w:after="0"/>
              <w:jc w:val="center"/>
              <w:rPr>
                <w:rFonts w:ascii="ARIAL" w:hAnsi="ARIAL"/>
                <w:sz w:val="14"/>
              </w:rPr>
            </w:pPr>
            <w:r>
              <w:rPr>
                <w:rFonts w:ascii="ARIAL" w:hAnsi="ARIAL"/>
                <w:sz w:val="14"/>
              </w:rPr>
              <w:t>-</w:t>
            </w:r>
          </w:p>
        </w:tc>
        <w:tc>
          <w:tcPr>
            <w:tcW w:w="60" w:type="dxa"/>
            <w:tcBorders/>
            <w:shd w:fill="CEE8F6" w:val="clear"/>
            <w:vAlign w:val="center"/>
          </w:tcPr>
          <w:p>
            <w:pPr>
              <w:pStyle w:val="TableContents"/>
              <w:spacing w:before="0" w:after="283"/>
              <w:rPr/>
            </w:pPr>
            <w:r>
              <w:rPr/>
              <w:t> </w:t>
            </w:r>
          </w:p>
        </w:tc>
        <w:tc>
          <w:tcPr>
            <w:tcW w:w="136" w:type="dxa"/>
            <w:tcBorders/>
            <w:shd w:fill="CEE8F6" w:val="clear"/>
            <w:vAlign w:val="center"/>
          </w:tcPr>
          <w:p>
            <w:pPr>
              <w:pStyle w:val="TableContents"/>
              <w:spacing w:lineRule="atLeast" w:line="240" w:before="0" w:after="0"/>
              <w:rPr>
                <w:rFonts w:ascii="ARIAL" w:hAnsi="ARIAL"/>
                <w:sz w:val="14"/>
              </w:rPr>
            </w:pPr>
            <w:r>
              <w:rPr>
                <w:rFonts w:ascii="ARIAL" w:hAnsi="ARIAL"/>
                <w:sz w:val="14"/>
              </w:rPr>
              <w:t>$</w:t>
            </w:r>
          </w:p>
        </w:tc>
        <w:tc>
          <w:tcPr>
            <w:tcW w:w="739" w:type="dxa"/>
            <w:tcBorders/>
            <w:shd w:fill="CEE8F6" w:val="clear"/>
            <w:vAlign w:val="center"/>
          </w:tcPr>
          <w:p>
            <w:pPr>
              <w:pStyle w:val="TableContents"/>
              <w:spacing w:lineRule="atLeast" w:line="240" w:before="0" w:after="0"/>
              <w:jc w:val="right"/>
              <w:rPr>
                <w:rFonts w:ascii="ARIAL" w:hAnsi="ARIAL"/>
                <w:sz w:val="14"/>
              </w:rPr>
            </w:pPr>
            <w:r>
              <w:rPr>
                <w:rFonts w:ascii="ARIAL" w:hAnsi="ARIAL"/>
                <w:sz w:val="14"/>
              </w:rPr>
              <w:t>4.9300</w:t>
            </w:r>
          </w:p>
        </w:tc>
        <w:tc>
          <w:tcPr>
            <w:tcW w:w="60" w:type="dxa"/>
            <w:tcBorders/>
            <w:shd w:fill="CEE8F6" w:val="clear"/>
            <w:vAlign w:val="center"/>
          </w:tcPr>
          <w:p>
            <w:pPr>
              <w:pStyle w:val="TableContents"/>
              <w:spacing w:lineRule="atLeast" w:line="240" w:before="0" w:after="0"/>
              <w:rPr/>
            </w:pPr>
            <w:r>
              <w:rPr/>
              <w:t> </w:t>
            </w:r>
          </w:p>
        </w:tc>
        <w:tc>
          <w:tcPr>
            <w:tcW w:w="120" w:type="dxa"/>
            <w:tcBorders/>
            <w:shd w:fill="CEE8F6" w:val="clear"/>
            <w:vAlign w:val="center"/>
          </w:tcPr>
          <w:p>
            <w:pPr>
              <w:pStyle w:val="TableContents"/>
              <w:spacing w:before="0" w:after="283"/>
              <w:rPr/>
            </w:pPr>
            <w:r>
              <w:rPr/>
              <w:t>  </w:t>
            </w:r>
          </w:p>
        </w:tc>
        <w:tc>
          <w:tcPr>
            <w:tcW w:w="176" w:type="dxa"/>
            <w:tcBorders/>
            <w:shd w:fill="CEE8F6" w:val="clear"/>
            <w:vAlign w:val="center"/>
          </w:tcPr>
          <w:p>
            <w:pPr>
              <w:pStyle w:val="TableContents"/>
              <w:spacing w:lineRule="atLeast" w:line="240" w:before="0" w:after="0"/>
              <w:rPr/>
            </w:pPr>
            <w:r>
              <w:rPr/>
              <w:t> </w:t>
            </w:r>
          </w:p>
        </w:tc>
        <w:tc>
          <w:tcPr>
            <w:tcW w:w="939" w:type="dxa"/>
            <w:tcBorders/>
            <w:shd w:fill="CEE8F6" w:val="clear"/>
            <w:vAlign w:val="center"/>
          </w:tcPr>
          <w:p>
            <w:pPr>
              <w:pStyle w:val="TableContents"/>
              <w:spacing w:lineRule="atLeast" w:line="240" w:before="0" w:after="0"/>
              <w:jc w:val="right"/>
              <w:rPr>
                <w:rFonts w:ascii="ARIAL" w:hAnsi="ARIAL"/>
                <w:sz w:val="14"/>
              </w:rPr>
            </w:pPr>
            <w:r>
              <w:rPr>
                <w:rFonts w:ascii="ARIAL" w:hAnsi="ARIAL"/>
                <w:sz w:val="14"/>
              </w:rPr>
              <w:t>2/28/2030</w:t>
            </w:r>
          </w:p>
        </w:tc>
        <w:tc>
          <w:tcPr>
            <w:tcW w:w="60" w:type="dxa"/>
            <w:tcBorders/>
            <w:shd w:fill="CEE8F6" w:val="clear"/>
            <w:vAlign w:val="center"/>
          </w:tcPr>
          <w:p>
            <w:pPr>
              <w:pStyle w:val="TableContents"/>
              <w:spacing w:lineRule="atLeast" w:line="240" w:before="0" w:after="0"/>
              <w:rPr/>
            </w:pPr>
            <w:r>
              <w:rPr/>
              <w:t> </w:t>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pPr>
            <w:r>
              <w:rPr/>
              <w:t> </w:t>
            </w:r>
          </w:p>
        </w:tc>
        <w:tc>
          <w:tcPr>
            <w:tcW w:w="64" w:type="dxa"/>
            <w:tcBorders/>
            <w:shd w:fill="CEE8F6" w:val="clear"/>
            <w:vAlign w:val="center"/>
          </w:tcPr>
          <w:p>
            <w:pPr>
              <w:pStyle w:val="TableContents"/>
              <w:spacing w:before="0" w:after="283"/>
              <w:rPr>
                <w:sz w:val="4"/>
                <w:szCs w:val="4"/>
              </w:rPr>
            </w:pPr>
            <w:r>
              <w:rPr>
                <w:sz w:val="4"/>
                <w:szCs w:val="4"/>
              </w:rPr>
            </w:r>
          </w:p>
        </w:tc>
        <w:tc>
          <w:tcPr>
            <w:tcW w:w="556"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pPr>
            <w:r>
              <w:rPr/>
              <w:t> </w:t>
            </w:r>
          </w:p>
        </w:tc>
        <w:tc>
          <w:tcPr>
            <w:tcW w:w="75" w:type="dxa"/>
            <w:tcBorders/>
            <w:shd w:fill="CEE8F6" w:val="clear"/>
            <w:vAlign w:val="center"/>
          </w:tcPr>
          <w:p>
            <w:pPr>
              <w:pStyle w:val="TableContents"/>
              <w:spacing w:before="0" w:after="283"/>
              <w:rPr>
                <w:sz w:val="4"/>
                <w:szCs w:val="4"/>
              </w:rPr>
            </w:pPr>
            <w:r>
              <w:rPr>
                <w:sz w:val="4"/>
                <w:szCs w:val="4"/>
              </w:rPr>
            </w:r>
          </w:p>
        </w:tc>
        <w:tc>
          <w:tcPr>
            <w:tcW w:w="65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pPr>
            <w:r>
              <w:rPr/>
              <w:t> </w:t>
            </w:r>
          </w:p>
        </w:tc>
        <w:tc>
          <w:tcPr>
            <w:tcW w:w="108" w:type="dxa"/>
            <w:tcBorders/>
            <w:shd w:fill="CEE8F6" w:val="clear"/>
            <w:vAlign w:val="center"/>
          </w:tcPr>
          <w:p>
            <w:pPr>
              <w:pStyle w:val="TableContents"/>
              <w:spacing w:before="0" w:after="283"/>
              <w:rPr>
                <w:sz w:val="4"/>
                <w:szCs w:val="4"/>
              </w:rPr>
            </w:pPr>
            <w:r>
              <w:rPr>
                <w:sz w:val="4"/>
                <w:szCs w:val="4"/>
              </w:rPr>
            </w:r>
          </w:p>
        </w:tc>
        <w:tc>
          <w:tcPr>
            <w:tcW w:w="932"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before="0" w:after="283"/>
              <w:rPr>
                <w:sz w:val="4"/>
                <w:szCs w:val="4"/>
              </w:rPr>
            </w:pPr>
            <w:r>
              <w:rPr>
                <w:sz w:val="4"/>
                <w:szCs w:val="4"/>
              </w:rPr>
            </w:r>
          </w:p>
        </w:tc>
        <w:tc>
          <w:tcPr>
            <w:tcW w:w="635" w:type="dxa"/>
            <w:tcBorders/>
            <w:shd w:fill="CEE8F6" w:val="clear"/>
            <w:vAlign w:val="center"/>
          </w:tcPr>
          <w:p>
            <w:pPr>
              <w:pStyle w:val="TableContents"/>
              <w:spacing w:before="0" w:after="283"/>
              <w:rPr>
                <w:sz w:val="4"/>
                <w:szCs w:val="4"/>
              </w:rPr>
            </w:pPr>
            <w:r>
              <w:rPr>
                <w:sz w:val="4"/>
                <w:szCs w:val="4"/>
              </w:rPr>
            </w:r>
          </w:p>
        </w:tc>
        <w:tc>
          <w:tcPr>
            <w:tcW w:w="75" w:type="dxa"/>
            <w:tcBorders/>
            <w:shd w:fill="CEE8F6" w:val="clear"/>
            <w:vAlign w:val="center"/>
          </w:tcPr>
          <w:p>
            <w:pPr>
              <w:pStyle w:val="TableContents"/>
              <w:spacing w:before="0" w:after="283"/>
              <w:rPr>
                <w:sz w:val="4"/>
                <w:szCs w:val="4"/>
              </w:rPr>
            </w:pPr>
            <w:r>
              <w:rPr>
                <w:sz w:val="4"/>
                <w:szCs w:val="4"/>
              </w:rPr>
            </w:r>
          </w:p>
        </w:tc>
      </w:tr>
      <w:tr>
        <w:trPr/>
        <w:tc>
          <w:tcPr>
            <w:tcW w:w="1295"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pPr>
            <w:r>
              <w:rPr/>
              <w:t> </w:t>
            </w:r>
          </w:p>
        </w:tc>
        <w:tc>
          <w:tcPr>
            <w:tcW w:w="132" w:type="dxa"/>
            <w:tcBorders/>
            <w:shd w:fill="CEE8F6" w:val="clear"/>
            <w:vAlign w:val="center"/>
          </w:tcPr>
          <w:p>
            <w:pPr>
              <w:pStyle w:val="TableContents"/>
              <w:spacing w:lineRule="atLeast" w:line="240" w:before="0" w:after="0"/>
              <w:rPr/>
            </w:pPr>
            <w:r>
              <w:rPr/>
              <w:t> </w:t>
            </w:r>
          </w:p>
        </w:tc>
        <w:tc>
          <w:tcPr>
            <w:tcW w:w="1133" w:type="dxa"/>
            <w:tcBorders/>
            <w:shd w:fill="CEE8F6" w:val="clear"/>
            <w:vAlign w:val="center"/>
          </w:tcPr>
          <w:p>
            <w:pPr>
              <w:pStyle w:val="TableContents"/>
              <w:spacing w:lineRule="atLeast" w:line="240" w:before="0" w:after="0"/>
              <w:jc w:val="right"/>
              <w:rPr>
                <w:rFonts w:ascii="ARIAL" w:hAnsi="ARIAL"/>
                <w:sz w:val="14"/>
              </w:rPr>
            </w:pPr>
            <w:r>
              <w:rPr>
                <w:rFonts w:ascii="ARIAL" w:hAnsi="ARIAL"/>
                <w:sz w:val="14"/>
              </w:rPr>
              <w:t>33,333</w:t>
            </w:r>
          </w:p>
        </w:tc>
        <w:tc>
          <w:tcPr>
            <w:tcW w:w="60" w:type="dxa"/>
            <w:tcBorders/>
            <w:shd w:fill="CEE8F6" w:val="clear"/>
            <w:vAlign w:val="center"/>
          </w:tcPr>
          <w:p>
            <w:pPr>
              <w:pStyle w:val="TableContents"/>
              <w:spacing w:lineRule="atLeast" w:line="240" w:before="0" w:after="0"/>
              <w:rPr/>
            </w:pPr>
            <w:r>
              <w:rPr/>
              <w:t> </w:t>
            </w:r>
          </w:p>
        </w:tc>
        <w:tc>
          <w:tcPr>
            <w:tcW w:w="60" w:type="dxa"/>
            <w:tcBorders/>
            <w:shd w:fill="CEE8F6" w:val="clear"/>
            <w:vAlign w:val="center"/>
          </w:tcPr>
          <w:p>
            <w:pPr>
              <w:pStyle w:val="TableContents"/>
              <w:spacing w:before="0" w:after="283"/>
              <w:rPr/>
            </w:pPr>
            <w:r>
              <w:rPr/>
              <w:t> </w:t>
            </w:r>
          </w:p>
        </w:tc>
        <w:tc>
          <w:tcPr>
            <w:tcW w:w="1445" w:type="dxa"/>
            <w:tcBorders/>
            <w:shd w:fill="CEE8F6" w:val="clear"/>
            <w:vAlign w:val="center"/>
          </w:tcPr>
          <w:p>
            <w:pPr>
              <w:pStyle w:val="TableContents"/>
              <w:spacing w:lineRule="atLeast" w:line="240" w:before="0" w:after="0"/>
              <w:jc w:val="center"/>
              <w:rPr>
                <w:rFonts w:ascii="ARIAL" w:hAnsi="ARIAL"/>
                <w:sz w:val="14"/>
              </w:rPr>
            </w:pPr>
            <w:r>
              <w:rPr>
                <w:rFonts w:ascii="ARIAL" w:hAnsi="ARIAL"/>
                <w:sz w:val="14"/>
              </w:rPr>
              <w:t>66,667</w:t>
            </w:r>
          </w:p>
        </w:tc>
        <w:tc>
          <w:tcPr>
            <w:tcW w:w="60" w:type="dxa"/>
            <w:tcBorders/>
            <w:shd w:fill="CEE8F6" w:val="clear"/>
            <w:vAlign w:val="center"/>
          </w:tcPr>
          <w:p>
            <w:pPr>
              <w:pStyle w:val="TableContents"/>
              <w:spacing w:before="0" w:after="283"/>
              <w:rPr/>
            </w:pPr>
            <w:r>
              <w:rPr/>
              <w:t> </w:t>
            </w:r>
          </w:p>
        </w:tc>
        <w:tc>
          <w:tcPr>
            <w:tcW w:w="1940" w:type="dxa"/>
            <w:tcBorders/>
            <w:shd w:fill="CEE8F6" w:val="clear"/>
            <w:vAlign w:val="center"/>
          </w:tcPr>
          <w:p>
            <w:pPr>
              <w:pStyle w:val="TableContents"/>
              <w:spacing w:lineRule="atLeast" w:line="240" w:before="0" w:after="0"/>
              <w:jc w:val="center"/>
              <w:rPr>
                <w:rFonts w:ascii="ARIAL" w:hAnsi="ARIAL"/>
                <w:sz w:val="14"/>
              </w:rPr>
            </w:pPr>
            <w:r>
              <w:rPr>
                <w:rFonts w:ascii="ARIAL" w:hAnsi="ARIAL"/>
                <w:sz w:val="14"/>
              </w:rPr>
              <w:t>-</w:t>
            </w:r>
          </w:p>
        </w:tc>
        <w:tc>
          <w:tcPr>
            <w:tcW w:w="60" w:type="dxa"/>
            <w:tcBorders/>
            <w:shd w:fill="CEE8F6" w:val="clear"/>
            <w:vAlign w:val="center"/>
          </w:tcPr>
          <w:p>
            <w:pPr>
              <w:pStyle w:val="TableContents"/>
              <w:spacing w:before="0" w:after="283"/>
              <w:rPr/>
            </w:pPr>
            <w:r>
              <w:rPr/>
              <w:t> </w:t>
            </w:r>
          </w:p>
        </w:tc>
        <w:tc>
          <w:tcPr>
            <w:tcW w:w="136" w:type="dxa"/>
            <w:tcBorders/>
            <w:shd w:fill="CEE8F6" w:val="clear"/>
            <w:vAlign w:val="center"/>
          </w:tcPr>
          <w:p>
            <w:pPr>
              <w:pStyle w:val="TableContents"/>
              <w:spacing w:lineRule="atLeast" w:line="240" w:before="0" w:after="0"/>
              <w:rPr>
                <w:rFonts w:ascii="ARIAL" w:hAnsi="ARIAL"/>
                <w:sz w:val="14"/>
              </w:rPr>
            </w:pPr>
            <w:r>
              <w:rPr>
                <w:rFonts w:ascii="ARIAL" w:hAnsi="ARIAL"/>
                <w:sz w:val="14"/>
              </w:rPr>
              <w:t>$</w:t>
            </w:r>
          </w:p>
        </w:tc>
        <w:tc>
          <w:tcPr>
            <w:tcW w:w="739" w:type="dxa"/>
            <w:tcBorders/>
            <w:shd w:fill="CEE8F6" w:val="clear"/>
            <w:vAlign w:val="center"/>
          </w:tcPr>
          <w:p>
            <w:pPr>
              <w:pStyle w:val="TableContents"/>
              <w:spacing w:lineRule="atLeast" w:line="240" w:before="0" w:after="0"/>
              <w:jc w:val="right"/>
              <w:rPr>
                <w:rFonts w:ascii="ARIAL" w:hAnsi="ARIAL"/>
                <w:sz w:val="14"/>
              </w:rPr>
            </w:pPr>
            <w:r>
              <w:rPr>
                <w:rFonts w:ascii="ARIAL" w:hAnsi="ARIAL"/>
                <w:sz w:val="14"/>
              </w:rPr>
              <w:t>8.8100</w:t>
            </w:r>
          </w:p>
        </w:tc>
        <w:tc>
          <w:tcPr>
            <w:tcW w:w="60" w:type="dxa"/>
            <w:tcBorders/>
            <w:shd w:fill="CEE8F6" w:val="clear"/>
            <w:vAlign w:val="center"/>
          </w:tcPr>
          <w:p>
            <w:pPr>
              <w:pStyle w:val="TableContents"/>
              <w:spacing w:lineRule="atLeast" w:line="240" w:before="0" w:after="0"/>
              <w:rPr/>
            </w:pPr>
            <w:r>
              <w:rPr/>
              <w:t> </w:t>
            </w:r>
          </w:p>
        </w:tc>
        <w:tc>
          <w:tcPr>
            <w:tcW w:w="120" w:type="dxa"/>
            <w:tcBorders/>
            <w:shd w:fill="CEE8F6" w:val="clear"/>
            <w:vAlign w:val="center"/>
          </w:tcPr>
          <w:p>
            <w:pPr>
              <w:pStyle w:val="TableContents"/>
              <w:spacing w:before="0" w:after="283"/>
              <w:rPr/>
            </w:pPr>
            <w:r>
              <w:rPr/>
              <w:t>  </w:t>
            </w:r>
          </w:p>
        </w:tc>
        <w:tc>
          <w:tcPr>
            <w:tcW w:w="176" w:type="dxa"/>
            <w:tcBorders/>
            <w:shd w:fill="CEE8F6" w:val="clear"/>
            <w:vAlign w:val="center"/>
          </w:tcPr>
          <w:p>
            <w:pPr>
              <w:pStyle w:val="TableContents"/>
              <w:spacing w:lineRule="atLeast" w:line="240" w:before="0" w:after="0"/>
              <w:rPr/>
            </w:pPr>
            <w:r>
              <w:rPr/>
              <w:t> </w:t>
            </w:r>
          </w:p>
        </w:tc>
        <w:tc>
          <w:tcPr>
            <w:tcW w:w="939" w:type="dxa"/>
            <w:tcBorders/>
            <w:shd w:fill="CEE8F6" w:val="clear"/>
            <w:vAlign w:val="center"/>
          </w:tcPr>
          <w:p>
            <w:pPr>
              <w:pStyle w:val="TableContents"/>
              <w:spacing w:lineRule="atLeast" w:line="240" w:before="0" w:after="0"/>
              <w:jc w:val="right"/>
              <w:rPr>
                <w:rFonts w:ascii="ARIAL" w:hAnsi="ARIAL"/>
                <w:sz w:val="14"/>
              </w:rPr>
            </w:pPr>
            <w:r>
              <w:rPr>
                <w:rFonts w:ascii="ARIAL" w:hAnsi="ARIAL"/>
                <w:sz w:val="14"/>
              </w:rPr>
              <w:t>2/28/2031</w:t>
            </w:r>
          </w:p>
        </w:tc>
        <w:tc>
          <w:tcPr>
            <w:tcW w:w="60" w:type="dxa"/>
            <w:tcBorders/>
            <w:shd w:fill="CEE8F6" w:val="clear"/>
            <w:vAlign w:val="center"/>
          </w:tcPr>
          <w:p>
            <w:pPr>
              <w:pStyle w:val="TableContents"/>
              <w:spacing w:lineRule="atLeast" w:line="240" w:before="0" w:after="0"/>
              <w:rPr/>
            </w:pPr>
            <w:r>
              <w:rPr/>
              <w:t> </w:t>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pPr>
            <w:r>
              <w:rPr/>
              <w:t> </w:t>
            </w:r>
          </w:p>
        </w:tc>
        <w:tc>
          <w:tcPr>
            <w:tcW w:w="64" w:type="dxa"/>
            <w:tcBorders/>
            <w:shd w:fill="CEE8F6" w:val="clear"/>
            <w:vAlign w:val="center"/>
          </w:tcPr>
          <w:p>
            <w:pPr>
              <w:pStyle w:val="TableContents"/>
              <w:spacing w:before="0" w:after="283"/>
              <w:rPr>
                <w:sz w:val="4"/>
                <w:szCs w:val="4"/>
              </w:rPr>
            </w:pPr>
            <w:r>
              <w:rPr>
                <w:sz w:val="4"/>
                <w:szCs w:val="4"/>
              </w:rPr>
            </w:r>
          </w:p>
        </w:tc>
        <w:tc>
          <w:tcPr>
            <w:tcW w:w="556"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pPr>
            <w:r>
              <w:rPr/>
              <w:t> </w:t>
            </w:r>
          </w:p>
        </w:tc>
        <w:tc>
          <w:tcPr>
            <w:tcW w:w="75" w:type="dxa"/>
            <w:tcBorders/>
            <w:shd w:fill="CEE8F6" w:val="clear"/>
            <w:vAlign w:val="center"/>
          </w:tcPr>
          <w:p>
            <w:pPr>
              <w:pStyle w:val="TableContents"/>
              <w:spacing w:before="0" w:after="283"/>
              <w:rPr>
                <w:sz w:val="4"/>
                <w:szCs w:val="4"/>
              </w:rPr>
            </w:pPr>
            <w:r>
              <w:rPr>
                <w:sz w:val="4"/>
                <w:szCs w:val="4"/>
              </w:rPr>
            </w:r>
          </w:p>
        </w:tc>
        <w:tc>
          <w:tcPr>
            <w:tcW w:w="65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pPr>
            <w:r>
              <w:rPr/>
              <w:t> </w:t>
            </w:r>
          </w:p>
        </w:tc>
        <w:tc>
          <w:tcPr>
            <w:tcW w:w="108" w:type="dxa"/>
            <w:tcBorders/>
            <w:shd w:fill="CEE8F6" w:val="clear"/>
            <w:vAlign w:val="center"/>
          </w:tcPr>
          <w:p>
            <w:pPr>
              <w:pStyle w:val="TableContents"/>
              <w:spacing w:before="0" w:after="283"/>
              <w:rPr>
                <w:sz w:val="4"/>
                <w:szCs w:val="4"/>
              </w:rPr>
            </w:pPr>
            <w:r>
              <w:rPr>
                <w:sz w:val="4"/>
                <w:szCs w:val="4"/>
              </w:rPr>
            </w:r>
          </w:p>
        </w:tc>
        <w:tc>
          <w:tcPr>
            <w:tcW w:w="932"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before="0" w:after="283"/>
              <w:rPr>
                <w:sz w:val="4"/>
                <w:szCs w:val="4"/>
              </w:rPr>
            </w:pPr>
            <w:r>
              <w:rPr>
                <w:sz w:val="4"/>
                <w:szCs w:val="4"/>
              </w:rPr>
            </w:r>
          </w:p>
        </w:tc>
        <w:tc>
          <w:tcPr>
            <w:tcW w:w="635" w:type="dxa"/>
            <w:tcBorders/>
            <w:shd w:fill="CEE8F6" w:val="clear"/>
            <w:vAlign w:val="center"/>
          </w:tcPr>
          <w:p>
            <w:pPr>
              <w:pStyle w:val="TableContents"/>
              <w:spacing w:before="0" w:after="283"/>
              <w:rPr>
                <w:sz w:val="4"/>
                <w:szCs w:val="4"/>
              </w:rPr>
            </w:pPr>
            <w:r>
              <w:rPr>
                <w:sz w:val="4"/>
                <w:szCs w:val="4"/>
              </w:rPr>
            </w:r>
          </w:p>
        </w:tc>
        <w:tc>
          <w:tcPr>
            <w:tcW w:w="75" w:type="dxa"/>
            <w:tcBorders/>
            <w:shd w:fill="CEE8F6" w:val="clear"/>
            <w:vAlign w:val="center"/>
          </w:tcPr>
          <w:p>
            <w:pPr>
              <w:pStyle w:val="TableContents"/>
              <w:spacing w:before="0" w:after="283"/>
              <w:rPr>
                <w:sz w:val="4"/>
                <w:szCs w:val="4"/>
              </w:rPr>
            </w:pPr>
            <w:r>
              <w:rPr>
                <w:sz w:val="4"/>
                <w:szCs w:val="4"/>
              </w:rPr>
            </w:r>
          </w:p>
        </w:tc>
      </w:tr>
      <w:tr>
        <w:trPr/>
        <w:tc>
          <w:tcPr>
            <w:tcW w:w="1295"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pPr>
            <w:r>
              <w:rPr/>
              <w:t> </w:t>
            </w:r>
          </w:p>
        </w:tc>
        <w:tc>
          <w:tcPr>
            <w:tcW w:w="132" w:type="dxa"/>
            <w:tcBorders/>
            <w:shd w:fill="CEE8F6" w:val="clear"/>
            <w:vAlign w:val="center"/>
          </w:tcPr>
          <w:p>
            <w:pPr>
              <w:pStyle w:val="TableContents"/>
              <w:spacing w:lineRule="atLeast" w:line="240" w:before="0" w:after="0"/>
              <w:rPr/>
            </w:pPr>
            <w:r>
              <w:rPr/>
              <w:t> </w:t>
            </w:r>
          </w:p>
        </w:tc>
        <w:tc>
          <w:tcPr>
            <w:tcW w:w="1133" w:type="dxa"/>
            <w:tcBorders/>
            <w:shd w:fill="CEE8F6" w:val="clear"/>
            <w:vAlign w:val="center"/>
          </w:tcPr>
          <w:p>
            <w:pPr>
              <w:pStyle w:val="TableContents"/>
              <w:spacing w:lineRule="atLeast" w:line="240" w:before="0" w:after="0"/>
              <w:jc w:val="center"/>
              <w:rPr>
                <w:rFonts w:ascii="ARIAL" w:hAnsi="ARIAL"/>
                <w:sz w:val="14"/>
              </w:rPr>
            </w:pPr>
            <w:r>
              <w:rPr>
                <w:rFonts w:ascii="ARIAL" w:hAnsi="ARIAL"/>
                <w:sz w:val="14"/>
              </w:rPr>
              <w:t>-</w:t>
            </w:r>
          </w:p>
        </w:tc>
        <w:tc>
          <w:tcPr>
            <w:tcW w:w="60" w:type="dxa"/>
            <w:tcBorders/>
            <w:shd w:fill="CEE8F6" w:val="clear"/>
            <w:vAlign w:val="center"/>
          </w:tcPr>
          <w:p>
            <w:pPr>
              <w:pStyle w:val="TableContents"/>
              <w:spacing w:lineRule="atLeast" w:line="240" w:before="0" w:after="0"/>
              <w:rPr/>
            </w:pPr>
            <w:r>
              <w:rPr/>
              <w:t> </w:t>
            </w:r>
          </w:p>
        </w:tc>
        <w:tc>
          <w:tcPr>
            <w:tcW w:w="60" w:type="dxa"/>
            <w:tcBorders/>
            <w:shd w:fill="CEE8F6" w:val="clear"/>
            <w:vAlign w:val="center"/>
          </w:tcPr>
          <w:p>
            <w:pPr>
              <w:pStyle w:val="TableContents"/>
              <w:spacing w:before="0" w:after="283"/>
              <w:rPr/>
            </w:pPr>
            <w:r>
              <w:rPr/>
              <w:t> </w:t>
            </w:r>
          </w:p>
        </w:tc>
        <w:tc>
          <w:tcPr>
            <w:tcW w:w="1445" w:type="dxa"/>
            <w:tcBorders/>
            <w:shd w:fill="CEE8F6" w:val="clear"/>
            <w:vAlign w:val="center"/>
          </w:tcPr>
          <w:p>
            <w:pPr>
              <w:pStyle w:val="TableContents"/>
              <w:spacing w:lineRule="atLeast" w:line="240" w:before="0" w:after="0"/>
              <w:jc w:val="center"/>
              <w:rPr>
                <w:rFonts w:ascii="ARIAL" w:hAnsi="ARIAL"/>
                <w:sz w:val="14"/>
              </w:rPr>
            </w:pPr>
            <w:r>
              <w:rPr>
                <w:rFonts w:ascii="ARIAL" w:hAnsi="ARIAL"/>
                <w:sz w:val="14"/>
              </w:rPr>
              <w:t>100,000</w:t>
            </w:r>
          </w:p>
        </w:tc>
        <w:tc>
          <w:tcPr>
            <w:tcW w:w="60" w:type="dxa"/>
            <w:tcBorders/>
            <w:shd w:fill="CEE8F6" w:val="clear"/>
            <w:vAlign w:val="center"/>
          </w:tcPr>
          <w:p>
            <w:pPr>
              <w:pStyle w:val="TableContents"/>
              <w:spacing w:before="0" w:after="283"/>
              <w:rPr/>
            </w:pPr>
            <w:r>
              <w:rPr/>
              <w:t> </w:t>
            </w:r>
          </w:p>
        </w:tc>
        <w:tc>
          <w:tcPr>
            <w:tcW w:w="1940" w:type="dxa"/>
            <w:tcBorders/>
            <w:shd w:fill="CEE8F6" w:val="clear"/>
            <w:vAlign w:val="center"/>
          </w:tcPr>
          <w:p>
            <w:pPr>
              <w:pStyle w:val="TableContents"/>
              <w:spacing w:lineRule="atLeast" w:line="240" w:before="0" w:after="0"/>
              <w:jc w:val="center"/>
              <w:rPr>
                <w:rFonts w:ascii="ARIAL" w:hAnsi="ARIAL"/>
                <w:sz w:val="14"/>
              </w:rPr>
            </w:pPr>
            <w:r>
              <w:rPr>
                <w:rFonts w:ascii="ARIAL" w:hAnsi="ARIAL"/>
                <w:sz w:val="14"/>
              </w:rPr>
              <w:t>-</w:t>
            </w:r>
          </w:p>
        </w:tc>
        <w:tc>
          <w:tcPr>
            <w:tcW w:w="60" w:type="dxa"/>
            <w:tcBorders/>
            <w:shd w:fill="CEE8F6" w:val="clear"/>
            <w:vAlign w:val="center"/>
          </w:tcPr>
          <w:p>
            <w:pPr>
              <w:pStyle w:val="TableContents"/>
              <w:spacing w:before="0" w:after="283"/>
              <w:rPr/>
            </w:pPr>
            <w:r>
              <w:rPr/>
              <w:t> </w:t>
            </w:r>
          </w:p>
        </w:tc>
        <w:tc>
          <w:tcPr>
            <w:tcW w:w="136" w:type="dxa"/>
            <w:tcBorders/>
            <w:shd w:fill="CEE8F6" w:val="clear"/>
            <w:vAlign w:val="center"/>
          </w:tcPr>
          <w:p>
            <w:pPr>
              <w:pStyle w:val="TableContents"/>
              <w:spacing w:lineRule="atLeast" w:line="240" w:before="0" w:after="0"/>
              <w:rPr>
                <w:rFonts w:ascii="ARIAL" w:hAnsi="ARIAL"/>
                <w:sz w:val="14"/>
              </w:rPr>
            </w:pPr>
            <w:r>
              <w:rPr>
                <w:rFonts w:ascii="ARIAL" w:hAnsi="ARIAL"/>
                <w:sz w:val="14"/>
              </w:rPr>
              <w:t>$</w:t>
            </w:r>
          </w:p>
        </w:tc>
        <w:tc>
          <w:tcPr>
            <w:tcW w:w="739" w:type="dxa"/>
            <w:tcBorders/>
            <w:shd w:fill="CEE8F6" w:val="clear"/>
            <w:vAlign w:val="center"/>
          </w:tcPr>
          <w:p>
            <w:pPr>
              <w:pStyle w:val="TableContents"/>
              <w:spacing w:lineRule="atLeast" w:line="240" w:before="0" w:after="0"/>
              <w:jc w:val="right"/>
              <w:rPr>
                <w:rFonts w:ascii="ARIAL" w:hAnsi="ARIAL"/>
                <w:sz w:val="14"/>
              </w:rPr>
            </w:pPr>
            <w:r>
              <w:rPr>
                <w:rFonts w:ascii="ARIAL" w:hAnsi="ARIAL"/>
                <w:sz w:val="14"/>
              </w:rPr>
              <w:t>10.1800</w:t>
            </w:r>
          </w:p>
        </w:tc>
        <w:tc>
          <w:tcPr>
            <w:tcW w:w="60" w:type="dxa"/>
            <w:tcBorders/>
            <w:shd w:fill="CEE8F6" w:val="clear"/>
            <w:vAlign w:val="center"/>
          </w:tcPr>
          <w:p>
            <w:pPr>
              <w:pStyle w:val="TableContents"/>
              <w:spacing w:lineRule="atLeast" w:line="240" w:before="0" w:after="0"/>
              <w:rPr/>
            </w:pPr>
            <w:r>
              <w:rPr/>
              <w:t> </w:t>
            </w:r>
          </w:p>
        </w:tc>
        <w:tc>
          <w:tcPr>
            <w:tcW w:w="120" w:type="dxa"/>
            <w:tcBorders/>
            <w:shd w:fill="CEE8F6" w:val="clear"/>
            <w:vAlign w:val="center"/>
          </w:tcPr>
          <w:p>
            <w:pPr>
              <w:pStyle w:val="TableContents"/>
              <w:spacing w:before="0" w:after="283"/>
              <w:rPr/>
            </w:pPr>
            <w:r>
              <w:rPr/>
              <w:t>  </w:t>
            </w:r>
          </w:p>
        </w:tc>
        <w:tc>
          <w:tcPr>
            <w:tcW w:w="176" w:type="dxa"/>
            <w:tcBorders/>
            <w:shd w:fill="CEE8F6" w:val="clear"/>
            <w:vAlign w:val="center"/>
          </w:tcPr>
          <w:p>
            <w:pPr>
              <w:pStyle w:val="TableContents"/>
              <w:spacing w:lineRule="atLeast" w:line="240" w:before="0" w:after="0"/>
              <w:rPr/>
            </w:pPr>
            <w:r>
              <w:rPr/>
              <w:t> </w:t>
            </w:r>
          </w:p>
        </w:tc>
        <w:tc>
          <w:tcPr>
            <w:tcW w:w="939" w:type="dxa"/>
            <w:tcBorders/>
            <w:shd w:fill="CEE8F6" w:val="clear"/>
            <w:vAlign w:val="center"/>
          </w:tcPr>
          <w:p>
            <w:pPr>
              <w:pStyle w:val="TableContents"/>
              <w:spacing w:lineRule="atLeast" w:line="240" w:before="0" w:after="0"/>
              <w:jc w:val="right"/>
              <w:rPr>
                <w:rFonts w:ascii="ARIAL" w:hAnsi="ARIAL"/>
                <w:sz w:val="14"/>
              </w:rPr>
            </w:pPr>
            <w:r>
              <w:rPr>
                <w:rFonts w:ascii="ARIAL" w:hAnsi="ARIAL"/>
                <w:sz w:val="14"/>
              </w:rPr>
              <w:t>2/28/2032</w:t>
            </w:r>
          </w:p>
        </w:tc>
        <w:tc>
          <w:tcPr>
            <w:tcW w:w="60" w:type="dxa"/>
            <w:tcBorders/>
            <w:shd w:fill="CEE8F6" w:val="clear"/>
            <w:vAlign w:val="center"/>
          </w:tcPr>
          <w:p>
            <w:pPr>
              <w:pStyle w:val="TableContents"/>
              <w:spacing w:lineRule="atLeast" w:line="240" w:before="0" w:after="0"/>
              <w:rPr/>
            </w:pPr>
            <w:r>
              <w:rPr/>
              <w:t> </w:t>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pPr>
            <w:r>
              <w:rPr/>
              <w:t> </w:t>
            </w:r>
          </w:p>
        </w:tc>
        <w:tc>
          <w:tcPr>
            <w:tcW w:w="64" w:type="dxa"/>
            <w:tcBorders/>
            <w:shd w:fill="CEE8F6" w:val="clear"/>
            <w:vAlign w:val="center"/>
          </w:tcPr>
          <w:p>
            <w:pPr>
              <w:pStyle w:val="TableContents"/>
              <w:spacing w:lineRule="atLeast" w:line="240" w:before="0" w:after="0"/>
              <w:rPr/>
            </w:pPr>
            <w:r>
              <w:rPr/>
              <w:t> </w:t>
            </w:r>
          </w:p>
        </w:tc>
        <w:tc>
          <w:tcPr>
            <w:tcW w:w="556" w:type="dxa"/>
            <w:tcBorders/>
            <w:shd w:fill="CEE8F6" w:val="clear"/>
            <w:vAlign w:val="center"/>
          </w:tcPr>
          <w:p>
            <w:pPr>
              <w:pStyle w:val="TableContents"/>
              <w:spacing w:lineRule="atLeast" w:line="240" w:before="0" w:after="0"/>
              <w:jc w:val="right"/>
              <w:rPr>
                <w:rFonts w:ascii="ARIAL" w:hAnsi="ARIAL"/>
                <w:sz w:val="14"/>
              </w:rPr>
            </w:pPr>
            <w:r>
              <w:rPr>
                <w:rFonts w:ascii="ARIAL" w:hAnsi="ARIAL"/>
                <w:sz w:val="14"/>
              </w:rPr>
              <w:t>191,667</w:t>
            </w:r>
          </w:p>
        </w:tc>
        <w:tc>
          <w:tcPr>
            <w:tcW w:w="60" w:type="dxa"/>
            <w:tcBorders/>
            <w:shd w:fill="CEE8F6" w:val="clear"/>
            <w:vAlign w:val="center"/>
          </w:tcPr>
          <w:p>
            <w:pPr>
              <w:pStyle w:val="TableContents"/>
              <w:spacing w:lineRule="atLeast" w:line="240" w:before="0" w:after="0"/>
              <w:rPr/>
            </w:pPr>
            <w:r>
              <w:rPr/>
              <w:t> </w:t>
            </w:r>
          </w:p>
        </w:tc>
        <w:tc>
          <w:tcPr>
            <w:tcW w:w="60" w:type="dxa"/>
            <w:tcBorders/>
            <w:shd w:fill="CEE8F6" w:val="clear"/>
            <w:vAlign w:val="center"/>
          </w:tcPr>
          <w:p>
            <w:pPr>
              <w:pStyle w:val="TableContents"/>
              <w:spacing w:before="0" w:after="283"/>
              <w:rPr/>
            </w:pPr>
            <w:r>
              <w:rPr/>
              <w:t> </w:t>
            </w:r>
          </w:p>
        </w:tc>
        <w:tc>
          <w:tcPr>
            <w:tcW w:w="75" w:type="dxa"/>
            <w:tcBorders/>
            <w:shd w:fill="CEE8F6" w:val="clear"/>
            <w:vAlign w:val="center"/>
          </w:tcPr>
          <w:p>
            <w:pPr>
              <w:pStyle w:val="TableContents"/>
              <w:spacing w:lineRule="atLeast" w:line="240" w:before="0" w:after="0"/>
              <w:rPr/>
            </w:pPr>
            <w:r>
              <w:rPr/>
              <w:t> </w:t>
            </w:r>
          </w:p>
        </w:tc>
        <w:tc>
          <w:tcPr>
            <w:tcW w:w="650" w:type="dxa"/>
            <w:tcBorders/>
            <w:shd w:fill="CEE8F6" w:val="clear"/>
            <w:vAlign w:val="center"/>
          </w:tcPr>
          <w:p>
            <w:pPr>
              <w:pStyle w:val="TableContents"/>
              <w:spacing w:lineRule="atLeast" w:line="240" w:before="0" w:after="0"/>
              <w:jc w:val="right"/>
              <w:rPr>
                <w:rFonts w:ascii="ARIAL" w:hAnsi="ARIAL"/>
                <w:sz w:val="14"/>
              </w:rPr>
            </w:pPr>
            <w:r>
              <w:rPr>
                <w:rFonts w:ascii="ARIAL" w:hAnsi="ARIAL"/>
                <w:sz w:val="14"/>
              </w:rPr>
              <w:t>828,001</w:t>
            </w:r>
          </w:p>
        </w:tc>
        <w:tc>
          <w:tcPr>
            <w:tcW w:w="60" w:type="dxa"/>
            <w:tcBorders/>
            <w:shd w:fill="CEE8F6" w:val="clear"/>
            <w:vAlign w:val="center"/>
          </w:tcPr>
          <w:p>
            <w:pPr>
              <w:pStyle w:val="TableContents"/>
              <w:spacing w:lineRule="atLeast" w:line="240" w:before="0" w:after="0"/>
              <w:rPr/>
            </w:pPr>
            <w:r>
              <w:rPr/>
              <w:t> </w:t>
            </w:r>
          </w:p>
        </w:tc>
        <w:tc>
          <w:tcPr>
            <w:tcW w:w="60" w:type="dxa"/>
            <w:tcBorders/>
            <w:shd w:fill="CEE8F6" w:val="clear"/>
            <w:vAlign w:val="center"/>
          </w:tcPr>
          <w:p>
            <w:pPr>
              <w:pStyle w:val="TableContents"/>
              <w:spacing w:before="0" w:after="283"/>
              <w:rPr/>
            </w:pPr>
            <w:r>
              <w:rPr/>
              <w:t> </w:t>
            </w:r>
          </w:p>
        </w:tc>
        <w:tc>
          <w:tcPr>
            <w:tcW w:w="108" w:type="dxa"/>
            <w:tcBorders/>
            <w:shd w:fill="CEE8F6" w:val="clear"/>
            <w:vAlign w:val="center"/>
          </w:tcPr>
          <w:p>
            <w:pPr>
              <w:pStyle w:val="TableContents"/>
              <w:spacing w:lineRule="atLeast" w:line="240" w:before="0" w:after="0"/>
              <w:rPr/>
            </w:pPr>
            <w:r>
              <w:rPr/>
              <w:t> </w:t>
            </w:r>
          </w:p>
        </w:tc>
        <w:tc>
          <w:tcPr>
            <w:tcW w:w="932" w:type="dxa"/>
            <w:tcBorders/>
            <w:shd w:fill="CEE8F6" w:val="clear"/>
            <w:vAlign w:val="center"/>
          </w:tcPr>
          <w:p>
            <w:pPr>
              <w:pStyle w:val="TableContents"/>
              <w:spacing w:lineRule="atLeast" w:line="240" w:before="0" w:after="0"/>
              <w:jc w:val="right"/>
              <w:rPr>
                <w:rFonts w:ascii="ARIAL" w:hAnsi="ARIAL"/>
                <w:sz w:val="14"/>
              </w:rPr>
            </w:pPr>
            <w:r>
              <w:rPr>
                <w:rFonts w:ascii="ARIAL" w:hAnsi="ARIAL"/>
                <w:sz w:val="14"/>
              </w:rPr>
              <w:t>550,000</w:t>
            </w:r>
          </w:p>
        </w:tc>
        <w:tc>
          <w:tcPr>
            <w:tcW w:w="60" w:type="dxa"/>
            <w:tcBorders/>
            <w:shd w:fill="CEE8F6" w:val="clear"/>
            <w:vAlign w:val="center"/>
          </w:tcPr>
          <w:p>
            <w:pPr>
              <w:pStyle w:val="TableContents"/>
              <w:spacing w:lineRule="atLeast" w:line="240" w:before="0" w:after="0"/>
              <w:rPr/>
            </w:pPr>
            <w:r>
              <w:rPr/>
              <w:t> </w:t>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lineRule="atLeast" w:line="240" w:before="0" w:after="0"/>
              <w:rPr/>
            </w:pPr>
            <w:r>
              <w:rPr/>
              <w:t> </w:t>
            </w:r>
          </w:p>
        </w:tc>
        <w:tc>
          <w:tcPr>
            <w:tcW w:w="635" w:type="dxa"/>
            <w:tcBorders/>
            <w:shd w:fill="CEE8F6" w:val="clear"/>
            <w:vAlign w:val="center"/>
          </w:tcPr>
          <w:p>
            <w:pPr>
              <w:pStyle w:val="TableContents"/>
              <w:spacing w:lineRule="atLeast" w:line="240" w:before="0" w:after="0"/>
              <w:jc w:val="right"/>
              <w:rPr>
                <w:rFonts w:ascii="ARIAL" w:hAnsi="ARIAL"/>
                <w:sz w:val="14"/>
              </w:rPr>
            </w:pPr>
            <w:r>
              <w:rPr>
                <w:rFonts w:ascii="ARIAL" w:hAnsi="ARIAL"/>
                <w:sz w:val="14"/>
              </w:rPr>
              <w:t>2,376,000</w:t>
            </w:r>
          </w:p>
        </w:tc>
        <w:tc>
          <w:tcPr>
            <w:tcW w:w="75" w:type="dxa"/>
            <w:tcBorders/>
            <w:shd w:fill="CEE8F6" w:val="clear"/>
            <w:vAlign w:val="center"/>
          </w:tcPr>
          <w:p>
            <w:pPr>
              <w:pStyle w:val="TableContents"/>
              <w:spacing w:lineRule="atLeast" w:line="240" w:before="0" w:after="0"/>
              <w:rPr/>
            </w:pPr>
            <w:r>
              <w:rPr/>
              <w:t> </w:t>
            </w:r>
          </w:p>
        </w:tc>
      </w:tr>
      <w:tr>
        <w:trPr/>
        <w:tc>
          <w:tcPr>
            <w:tcW w:w="1295" w:type="dxa"/>
            <w:tcBorders/>
            <w:shd w:fill="auto" w:val="clear"/>
            <w:vAlign w:val="center"/>
          </w:tcPr>
          <w:p>
            <w:pPr>
              <w:pStyle w:val="TableContents"/>
              <w:spacing w:lineRule="atLeast" w:line="240" w:before="0" w:after="0"/>
              <w:rPr>
                <w:rFonts w:ascii="ARIAL" w:hAnsi="ARIAL"/>
                <w:sz w:val="14"/>
              </w:rPr>
            </w:pPr>
            <w:r>
              <w:rPr>
                <w:rFonts w:ascii="ARIAL" w:hAnsi="ARIAL"/>
                <w:sz w:val="14"/>
              </w:rPr>
              <w:t>Wayne T. Smith</w:t>
            </w:r>
          </w:p>
        </w:tc>
        <w:tc>
          <w:tcPr>
            <w:tcW w:w="60" w:type="dxa"/>
            <w:tcBorders/>
            <w:shd w:fill="auto" w:val="clear"/>
            <w:vAlign w:val="center"/>
          </w:tcPr>
          <w:p>
            <w:pPr>
              <w:pStyle w:val="TableContents"/>
              <w:spacing w:before="0" w:after="283"/>
              <w:rPr/>
            </w:pPr>
            <w:r>
              <w:rPr/>
              <w:t> </w:t>
            </w:r>
          </w:p>
        </w:tc>
        <w:tc>
          <w:tcPr>
            <w:tcW w:w="132" w:type="dxa"/>
            <w:tcBorders/>
            <w:shd w:fill="auto" w:val="clear"/>
            <w:vAlign w:val="center"/>
          </w:tcPr>
          <w:p>
            <w:pPr>
              <w:pStyle w:val="TableContents"/>
              <w:spacing w:lineRule="atLeast" w:line="240" w:before="0" w:after="0"/>
              <w:rPr/>
            </w:pPr>
            <w:r>
              <w:rPr/>
              <w:t> </w:t>
            </w:r>
          </w:p>
        </w:tc>
        <w:tc>
          <w:tcPr>
            <w:tcW w:w="1133" w:type="dxa"/>
            <w:tcBorders/>
            <w:shd w:fill="auto" w:val="clear"/>
            <w:vAlign w:val="center"/>
          </w:tcPr>
          <w:p>
            <w:pPr>
              <w:pStyle w:val="TableContents"/>
              <w:spacing w:lineRule="atLeast" w:line="240" w:before="0" w:after="0"/>
              <w:jc w:val="right"/>
              <w:rPr>
                <w:rFonts w:ascii="ARIAL" w:hAnsi="ARIAL"/>
                <w:sz w:val="14"/>
              </w:rPr>
            </w:pPr>
            <w:r>
              <w:rPr>
                <w:rFonts w:ascii="ARIAL" w:hAnsi="ARIAL"/>
                <w:sz w:val="14"/>
              </w:rPr>
              <w:t>78,750</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1445" w:type="dxa"/>
            <w:tcBorders/>
            <w:shd w:fill="auto" w:val="clear"/>
            <w:vAlign w:val="center"/>
          </w:tcPr>
          <w:p>
            <w:pPr>
              <w:pStyle w:val="TableContents"/>
              <w:spacing w:lineRule="atLeast" w:line="240" w:before="0" w:after="0"/>
              <w:jc w:val="center"/>
              <w:rPr>
                <w:rFonts w:ascii="ARIAL" w:hAnsi="ARIAL"/>
                <w:sz w:val="14"/>
              </w:rPr>
            </w:pPr>
            <w:r>
              <w:rPr>
                <w:rFonts w:ascii="ARIAL" w:hAnsi="ARIAL"/>
                <w:sz w:val="14"/>
              </w:rPr>
              <w:t>-</w:t>
            </w:r>
          </w:p>
        </w:tc>
        <w:tc>
          <w:tcPr>
            <w:tcW w:w="60" w:type="dxa"/>
            <w:tcBorders/>
            <w:shd w:fill="auto" w:val="clear"/>
            <w:vAlign w:val="center"/>
          </w:tcPr>
          <w:p>
            <w:pPr>
              <w:pStyle w:val="TableContents"/>
              <w:spacing w:before="0" w:after="283"/>
              <w:rPr/>
            </w:pPr>
            <w:r>
              <w:rPr/>
              <w:t> </w:t>
            </w:r>
          </w:p>
        </w:tc>
        <w:tc>
          <w:tcPr>
            <w:tcW w:w="1940" w:type="dxa"/>
            <w:tcBorders/>
            <w:shd w:fill="auto" w:val="clear"/>
            <w:vAlign w:val="center"/>
          </w:tcPr>
          <w:p>
            <w:pPr>
              <w:pStyle w:val="TableContents"/>
              <w:spacing w:lineRule="atLeast" w:line="240" w:before="0" w:after="0"/>
              <w:jc w:val="center"/>
              <w:rPr>
                <w:rFonts w:ascii="ARIAL" w:hAnsi="ARIAL"/>
                <w:sz w:val="14"/>
              </w:rPr>
            </w:pPr>
            <w:r>
              <w:rPr>
                <w:rFonts w:ascii="ARIAL" w:hAnsi="ARIAL"/>
                <w:sz w:val="14"/>
              </w:rPr>
              <w:t>-</w:t>
            </w:r>
          </w:p>
        </w:tc>
        <w:tc>
          <w:tcPr>
            <w:tcW w:w="60" w:type="dxa"/>
            <w:tcBorders/>
            <w:shd w:fill="auto" w:val="clear"/>
            <w:vAlign w:val="center"/>
          </w:tcPr>
          <w:p>
            <w:pPr>
              <w:pStyle w:val="TableContents"/>
              <w:spacing w:before="0" w:after="283"/>
              <w:rPr/>
            </w:pPr>
            <w:r>
              <w:rPr/>
              <w:t> </w:t>
            </w:r>
          </w:p>
        </w:tc>
        <w:tc>
          <w:tcPr>
            <w:tcW w:w="136" w:type="dxa"/>
            <w:tcBorders/>
            <w:shd w:fill="auto" w:val="clear"/>
            <w:vAlign w:val="center"/>
          </w:tcPr>
          <w:p>
            <w:pPr>
              <w:pStyle w:val="TableContents"/>
              <w:spacing w:lineRule="atLeast" w:line="240" w:before="0" w:after="0"/>
              <w:rPr>
                <w:rFonts w:ascii="ARIAL" w:hAnsi="ARIAL"/>
                <w:sz w:val="14"/>
              </w:rPr>
            </w:pPr>
            <w:r>
              <w:rPr>
                <w:rFonts w:ascii="ARIAL" w:hAnsi="ARIAL"/>
                <w:sz w:val="14"/>
              </w:rPr>
              <w:t>$</w:t>
            </w:r>
          </w:p>
        </w:tc>
        <w:tc>
          <w:tcPr>
            <w:tcW w:w="739" w:type="dxa"/>
            <w:tcBorders/>
            <w:shd w:fill="auto" w:val="clear"/>
            <w:vAlign w:val="center"/>
          </w:tcPr>
          <w:p>
            <w:pPr>
              <w:pStyle w:val="TableContents"/>
              <w:spacing w:lineRule="atLeast" w:line="240" w:before="0" w:after="0"/>
              <w:jc w:val="right"/>
              <w:rPr>
                <w:rFonts w:ascii="ARIAL" w:hAnsi="ARIAL"/>
                <w:sz w:val="14"/>
              </w:rPr>
            </w:pPr>
            <w:r>
              <w:rPr>
                <w:rFonts w:ascii="ARIAL" w:hAnsi="ARIAL"/>
                <w:sz w:val="14"/>
              </w:rPr>
              <w:t>4.9900</w:t>
            </w:r>
          </w:p>
        </w:tc>
        <w:tc>
          <w:tcPr>
            <w:tcW w:w="60" w:type="dxa"/>
            <w:tcBorders/>
            <w:shd w:fill="auto" w:val="clear"/>
            <w:vAlign w:val="center"/>
          </w:tcPr>
          <w:p>
            <w:pPr>
              <w:pStyle w:val="TableContents"/>
              <w:spacing w:lineRule="atLeast" w:line="240" w:before="0" w:after="0"/>
              <w:rPr/>
            </w:pPr>
            <w:r>
              <w:rPr/>
              <w:t> </w:t>
            </w:r>
          </w:p>
        </w:tc>
        <w:tc>
          <w:tcPr>
            <w:tcW w:w="120" w:type="dxa"/>
            <w:tcBorders/>
            <w:shd w:fill="auto" w:val="clear"/>
            <w:vAlign w:val="center"/>
          </w:tcPr>
          <w:p>
            <w:pPr>
              <w:pStyle w:val="TableContents"/>
              <w:spacing w:before="0" w:after="283"/>
              <w:rPr/>
            </w:pPr>
            <w:r>
              <w:rPr/>
              <w:t>  </w:t>
            </w:r>
          </w:p>
        </w:tc>
        <w:tc>
          <w:tcPr>
            <w:tcW w:w="176" w:type="dxa"/>
            <w:tcBorders/>
            <w:shd w:fill="auto" w:val="clear"/>
            <w:vAlign w:val="center"/>
          </w:tcPr>
          <w:p>
            <w:pPr>
              <w:pStyle w:val="TableContents"/>
              <w:spacing w:lineRule="atLeast" w:line="240" w:before="0" w:after="0"/>
              <w:rPr/>
            </w:pPr>
            <w:r>
              <w:rPr/>
              <w:t> </w:t>
            </w:r>
          </w:p>
        </w:tc>
        <w:tc>
          <w:tcPr>
            <w:tcW w:w="939" w:type="dxa"/>
            <w:tcBorders/>
            <w:shd w:fill="auto" w:val="clear"/>
            <w:vAlign w:val="center"/>
          </w:tcPr>
          <w:p>
            <w:pPr>
              <w:pStyle w:val="TableContents"/>
              <w:spacing w:lineRule="atLeast" w:line="240" w:before="0" w:after="0"/>
              <w:jc w:val="right"/>
              <w:rPr>
                <w:rFonts w:ascii="ARIAL" w:hAnsi="ARIAL"/>
                <w:sz w:val="14"/>
              </w:rPr>
            </w:pPr>
            <w:r>
              <w:rPr>
                <w:rFonts w:ascii="ARIAL" w:hAnsi="ARIAL"/>
                <w:sz w:val="14"/>
              </w:rPr>
              <w:t>2/28/2029</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sz w:val="4"/>
                <w:szCs w:val="4"/>
              </w:rPr>
            </w:pPr>
            <w:r>
              <w:rPr>
                <w:sz w:val="4"/>
                <w:szCs w:val="4"/>
              </w:rPr>
            </w:r>
          </w:p>
        </w:tc>
        <w:tc>
          <w:tcPr>
            <w:tcW w:w="6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08" w:type="dxa"/>
            <w:tcBorders/>
            <w:shd w:fill="auto" w:val="clear"/>
            <w:vAlign w:val="center"/>
          </w:tcPr>
          <w:p>
            <w:pPr>
              <w:pStyle w:val="TableContents"/>
              <w:spacing w:before="0" w:after="283"/>
              <w:rPr>
                <w:sz w:val="4"/>
                <w:szCs w:val="4"/>
              </w:rPr>
            </w:pPr>
            <w:r>
              <w:rPr>
                <w:sz w:val="4"/>
                <w:szCs w:val="4"/>
              </w:rPr>
            </w:r>
          </w:p>
        </w:tc>
        <w:tc>
          <w:tcPr>
            <w:tcW w:w="9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35"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2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32" w:type="dxa"/>
            <w:tcBorders/>
            <w:shd w:fill="auto" w:val="clear"/>
            <w:vAlign w:val="center"/>
          </w:tcPr>
          <w:p>
            <w:pPr>
              <w:pStyle w:val="TableContents"/>
              <w:spacing w:lineRule="atLeast" w:line="240" w:before="0" w:after="0"/>
              <w:rPr/>
            </w:pPr>
            <w:r>
              <w:rPr/>
              <w:t> </w:t>
            </w:r>
          </w:p>
        </w:tc>
        <w:tc>
          <w:tcPr>
            <w:tcW w:w="1133" w:type="dxa"/>
            <w:tcBorders/>
            <w:shd w:fill="auto" w:val="clear"/>
            <w:vAlign w:val="center"/>
          </w:tcPr>
          <w:p>
            <w:pPr>
              <w:pStyle w:val="TableContents"/>
              <w:spacing w:lineRule="atLeast" w:line="240" w:before="0" w:after="0"/>
              <w:jc w:val="right"/>
              <w:rPr>
                <w:rFonts w:ascii="ARIAL" w:hAnsi="ARIAL"/>
                <w:sz w:val="14"/>
              </w:rPr>
            </w:pPr>
            <w:r>
              <w:rPr>
                <w:rFonts w:ascii="ARIAL" w:hAnsi="ARIAL"/>
                <w:sz w:val="14"/>
              </w:rPr>
              <w:t>75,000</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1445" w:type="dxa"/>
            <w:tcBorders/>
            <w:shd w:fill="auto" w:val="clear"/>
            <w:vAlign w:val="center"/>
          </w:tcPr>
          <w:p>
            <w:pPr>
              <w:pStyle w:val="TableContents"/>
              <w:spacing w:lineRule="atLeast" w:line="240" w:before="0" w:after="0"/>
              <w:jc w:val="center"/>
              <w:rPr>
                <w:rFonts w:ascii="ARIAL" w:hAnsi="ARIAL"/>
                <w:sz w:val="14"/>
              </w:rPr>
            </w:pPr>
            <w:r>
              <w:rPr>
                <w:rFonts w:ascii="ARIAL" w:hAnsi="ARIAL"/>
                <w:sz w:val="14"/>
              </w:rPr>
              <w:t>37,500</w:t>
            </w:r>
          </w:p>
        </w:tc>
        <w:tc>
          <w:tcPr>
            <w:tcW w:w="60" w:type="dxa"/>
            <w:tcBorders/>
            <w:shd w:fill="auto" w:val="clear"/>
            <w:vAlign w:val="center"/>
          </w:tcPr>
          <w:p>
            <w:pPr>
              <w:pStyle w:val="TableContents"/>
              <w:spacing w:before="0" w:after="283"/>
              <w:rPr/>
            </w:pPr>
            <w:r>
              <w:rPr/>
              <w:t> </w:t>
            </w:r>
          </w:p>
        </w:tc>
        <w:tc>
          <w:tcPr>
            <w:tcW w:w="1940" w:type="dxa"/>
            <w:tcBorders/>
            <w:shd w:fill="auto" w:val="clear"/>
            <w:vAlign w:val="center"/>
          </w:tcPr>
          <w:p>
            <w:pPr>
              <w:pStyle w:val="TableContents"/>
              <w:spacing w:lineRule="atLeast" w:line="240" w:before="0" w:after="0"/>
              <w:jc w:val="center"/>
              <w:rPr>
                <w:rFonts w:ascii="ARIAL" w:hAnsi="ARIAL"/>
                <w:sz w:val="14"/>
              </w:rPr>
            </w:pPr>
            <w:r>
              <w:rPr>
                <w:rFonts w:ascii="ARIAL" w:hAnsi="ARIAL"/>
                <w:sz w:val="14"/>
              </w:rPr>
              <w:t>-</w:t>
            </w:r>
          </w:p>
        </w:tc>
        <w:tc>
          <w:tcPr>
            <w:tcW w:w="60" w:type="dxa"/>
            <w:tcBorders/>
            <w:shd w:fill="auto" w:val="clear"/>
            <w:vAlign w:val="center"/>
          </w:tcPr>
          <w:p>
            <w:pPr>
              <w:pStyle w:val="TableContents"/>
              <w:spacing w:before="0" w:after="283"/>
              <w:rPr/>
            </w:pPr>
            <w:r>
              <w:rPr/>
              <w:t> </w:t>
            </w:r>
          </w:p>
        </w:tc>
        <w:tc>
          <w:tcPr>
            <w:tcW w:w="136" w:type="dxa"/>
            <w:tcBorders/>
            <w:shd w:fill="auto" w:val="clear"/>
            <w:vAlign w:val="center"/>
          </w:tcPr>
          <w:p>
            <w:pPr>
              <w:pStyle w:val="TableContents"/>
              <w:spacing w:lineRule="atLeast" w:line="240" w:before="0" w:after="0"/>
              <w:rPr>
                <w:rFonts w:ascii="ARIAL" w:hAnsi="ARIAL"/>
                <w:sz w:val="14"/>
              </w:rPr>
            </w:pPr>
            <w:r>
              <w:rPr>
                <w:rFonts w:ascii="ARIAL" w:hAnsi="ARIAL"/>
                <w:sz w:val="14"/>
              </w:rPr>
              <w:t>$</w:t>
            </w:r>
          </w:p>
        </w:tc>
        <w:tc>
          <w:tcPr>
            <w:tcW w:w="739" w:type="dxa"/>
            <w:tcBorders/>
            <w:shd w:fill="auto" w:val="clear"/>
            <w:vAlign w:val="center"/>
          </w:tcPr>
          <w:p>
            <w:pPr>
              <w:pStyle w:val="TableContents"/>
              <w:spacing w:lineRule="atLeast" w:line="240" w:before="0" w:after="0"/>
              <w:jc w:val="right"/>
              <w:rPr>
                <w:rFonts w:ascii="ARIAL" w:hAnsi="ARIAL"/>
                <w:sz w:val="14"/>
              </w:rPr>
            </w:pPr>
            <w:r>
              <w:rPr>
                <w:rFonts w:ascii="ARIAL" w:hAnsi="ARIAL"/>
                <w:sz w:val="14"/>
              </w:rPr>
              <w:t>4.9300</w:t>
            </w:r>
          </w:p>
        </w:tc>
        <w:tc>
          <w:tcPr>
            <w:tcW w:w="60" w:type="dxa"/>
            <w:tcBorders/>
            <w:shd w:fill="auto" w:val="clear"/>
            <w:vAlign w:val="center"/>
          </w:tcPr>
          <w:p>
            <w:pPr>
              <w:pStyle w:val="TableContents"/>
              <w:spacing w:lineRule="atLeast" w:line="240" w:before="0" w:after="0"/>
              <w:rPr/>
            </w:pPr>
            <w:r>
              <w:rPr/>
              <w:t> </w:t>
            </w:r>
          </w:p>
        </w:tc>
        <w:tc>
          <w:tcPr>
            <w:tcW w:w="120" w:type="dxa"/>
            <w:tcBorders/>
            <w:shd w:fill="auto" w:val="clear"/>
            <w:vAlign w:val="center"/>
          </w:tcPr>
          <w:p>
            <w:pPr>
              <w:pStyle w:val="TableContents"/>
              <w:spacing w:before="0" w:after="283"/>
              <w:rPr/>
            </w:pPr>
            <w:r>
              <w:rPr/>
              <w:t>  </w:t>
            </w:r>
          </w:p>
        </w:tc>
        <w:tc>
          <w:tcPr>
            <w:tcW w:w="176" w:type="dxa"/>
            <w:tcBorders/>
            <w:shd w:fill="auto" w:val="clear"/>
            <w:vAlign w:val="center"/>
          </w:tcPr>
          <w:p>
            <w:pPr>
              <w:pStyle w:val="TableContents"/>
              <w:spacing w:lineRule="atLeast" w:line="240" w:before="0" w:after="0"/>
              <w:rPr/>
            </w:pPr>
            <w:r>
              <w:rPr/>
              <w:t> </w:t>
            </w:r>
          </w:p>
        </w:tc>
        <w:tc>
          <w:tcPr>
            <w:tcW w:w="939" w:type="dxa"/>
            <w:tcBorders/>
            <w:shd w:fill="auto" w:val="clear"/>
            <w:vAlign w:val="center"/>
          </w:tcPr>
          <w:p>
            <w:pPr>
              <w:pStyle w:val="TableContents"/>
              <w:spacing w:lineRule="atLeast" w:line="240" w:before="0" w:after="0"/>
              <w:jc w:val="right"/>
              <w:rPr>
                <w:rFonts w:ascii="ARIAL" w:hAnsi="ARIAL"/>
                <w:sz w:val="14"/>
              </w:rPr>
            </w:pPr>
            <w:r>
              <w:rPr>
                <w:rFonts w:ascii="ARIAL" w:hAnsi="ARIAL"/>
                <w:sz w:val="14"/>
              </w:rPr>
              <w:t>2/28/2030</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sz w:val="4"/>
                <w:szCs w:val="4"/>
              </w:rPr>
            </w:pPr>
            <w:r>
              <w:rPr>
                <w:sz w:val="4"/>
                <w:szCs w:val="4"/>
              </w:rPr>
            </w:r>
          </w:p>
        </w:tc>
        <w:tc>
          <w:tcPr>
            <w:tcW w:w="6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08" w:type="dxa"/>
            <w:tcBorders/>
            <w:shd w:fill="auto" w:val="clear"/>
            <w:vAlign w:val="center"/>
          </w:tcPr>
          <w:p>
            <w:pPr>
              <w:pStyle w:val="TableContents"/>
              <w:spacing w:before="0" w:after="283"/>
              <w:rPr>
                <w:sz w:val="4"/>
                <w:szCs w:val="4"/>
              </w:rPr>
            </w:pPr>
            <w:r>
              <w:rPr>
                <w:sz w:val="4"/>
                <w:szCs w:val="4"/>
              </w:rPr>
            </w:r>
          </w:p>
        </w:tc>
        <w:tc>
          <w:tcPr>
            <w:tcW w:w="9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35"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2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32" w:type="dxa"/>
            <w:tcBorders/>
            <w:shd w:fill="auto" w:val="clear"/>
            <w:vAlign w:val="center"/>
          </w:tcPr>
          <w:p>
            <w:pPr>
              <w:pStyle w:val="TableContents"/>
              <w:spacing w:lineRule="atLeast" w:line="240" w:before="0" w:after="0"/>
              <w:rPr/>
            </w:pPr>
            <w:r>
              <w:rPr/>
              <w:t> </w:t>
            </w:r>
          </w:p>
        </w:tc>
        <w:tc>
          <w:tcPr>
            <w:tcW w:w="1133" w:type="dxa"/>
            <w:tcBorders/>
            <w:shd w:fill="auto" w:val="clear"/>
            <w:vAlign w:val="center"/>
          </w:tcPr>
          <w:p>
            <w:pPr>
              <w:pStyle w:val="TableContents"/>
              <w:spacing w:lineRule="atLeast" w:line="240" w:before="0" w:after="0"/>
              <w:jc w:val="right"/>
              <w:rPr>
                <w:rFonts w:ascii="ARIAL" w:hAnsi="ARIAL"/>
                <w:sz w:val="14"/>
              </w:rPr>
            </w:pPr>
            <w:r>
              <w:rPr>
                <w:rFonts w:ascii="ARIAL" w:hAnsi="ARIAL"/>
                <w:sz w:val="14"/>
              </w:rPr>
              <w:t>30,000</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1445" w:type="dxa"/>
            <w:tcBorders/>
            <w:shd w:fill="auto" w:val="clear"/>
            <w:vAlign w:val="center"/>
          </w:tcPr>
          <w:p>
            <w:pPr>
              <w:pStyle w:val="TableContents"/>
              <w:spacing w:lineRule="atLeast" w:line="240" w:before="0" w:after="0"/>
              <w:jc w:val="center"/>
              <w:rPr>
                <w:rFonts w:ascii="ARIAL" w:hAnsi="ARIAL"/>
                <w:sz w:val="14"/>
              </w:rPr>
            </w:pPr>
            <w:r>
              <w:rPr>
                <w:rFonts w:ascii="ARIAL" w:hAnsi="ARIAL"/>
                <w:sz w:val="14"/>
              </w:rPr>
              <w:t>60,000</w:t>
            </w:r>
          </w:p>
        </w:tc>
        <w:tc>
          <w:tcPr>
            <w:tcW w:w="60" w:type="dxa"/>
            <w:tcBorders/>
            <w:shd w:fill="auto" w:val="clear"/>
            <w:vAlign w:val="center"/>
          </w:tcPr>
          <w:p>
            <w:pPr>
              <w:pStyle w:val="TableContents"/>
              <w:spacing w:before="0" w:after="283"/>
              <w:rPr/>
            </w:pPr>
            <w:r>
              <w:rPr/>
              <w:t> </w:t>
            </w:r>
          </w:p>
        </w:tc>
        <w:tc>
          <w:tcPr>
            <w:tcW w:w="1940" w:type="dxa"/>
            <w:tcBorders/>
            <w:shd w:fill="auto" w:val="clear"/>
            <w:vAlign w:val="center"/>
          </w:tcPr>
          <w:p>
            <w:pPr>
              <w:pStyle w:val="TableContents"/>
              <w:spacing w:lineRule="atLeast" w:line="240" w:before="0" w:after="0"/>
              <w:jc w:val="center"/>
              <w:rPr>
                <w:rFonts w:ascii="ARIAL" w:hAnsi="ARIAL"/>
                <w:sz w:val="14"/>
              </w:rPr>
            </w:pPr>
            <w:r>
              <w:rPr>
                <w:rFonts w:ascii="ARIAL" w:hAnsi="ARIAL"/>
                <w:sz w:val="14"/>
              </w:rPr>
              <w:t>-</w:t>
            </w:r>
          </w:p>
        </w:tc>
        <w:tc>
          <w:tcPr>
            <w:tcW w:w="60" w:type="dxa"/>
            <w:tcBorders/>
            <w:shd w:fill="auto" w:val="clear"/>
            <w:vAlign w:val="center"/>
          </w:tcPr>
          <w:p>
            <w:pPr>
              <w:pStyle w:val="TableContents"/>
              <w:spacing w:before="0" w:after="283"/>
              <w:rPr/>
            </w:pPr>
            <w:r>
              <w:rPr/>
              <w:t> </w:t>
            </w:r>
          </w:p>
        </w:tc>
        <w:tc>
          <w:tcPr>
            <w:tcW w:w="136" w:type="dxa"/>
            <w:tcBorders/>
            <w:shd w:fill="auto" w:val="clear"/>
            <w:vAlign w:val="center"/>
          </w:tcPr>
          <w:p>
            <w:pPr>
              <w:pStyle w:val="TableContents"/>
              <w:spacing w:lineRule="atLeast" w:line="240" w:before="0" w:after="0"/>
              <w:rPr>
                <w:rFonts w:ascii="ARIAL" w:hAnsi="ARIAL"/>
                <w:sz w:val="14"/>
              </w:rPr>
            </w:pPr>
            <w:r>
              <w:rPr>
                <w:rFonts w:ascii="ARIAL" w:hAnsi="ARIAL"/>
                <w:sz w:val="14"/>
              </w:rPr>
              <w:t>$</w:t>
            </w:r>
          </w:p>
        </w:tc>
        <w:tc>
          <w:tcPr>
            <w:tcW w:w="739" w:type="dxa"/>
            <w:tcBorders/>
            <w:shd w:fill="auto" w:val="clear"/>
            <w:vAlign w:val="center"/>
          </w:tcPr>
          <w:p>
            <w:pPr>
              <w:pStyle w:val="TableContents"/>
              <w:spacing w:lineRule="atLeast" w:line="240" w:before="0" w:after="0"/>
              <w:jc w:val="right"/>
              <w:rPr>
                <w:rFonts w:ascii="ARIAL" w:hAnsi="ARIAL"/>
                <w:sz w:val="14"/>
              </w:rPr>
            </w:pPr>
            <w:r>
              <w:rPr>
                <w:rFonts w:ascii="ARIAL" w:hAnsi="ARIAL"/>
                <w:sz w:val="14"/>
              </w:rPr>
              <w:t>8.8100</w:t>
            </w:r>
          </w:p>
        </w:tc>
        <w:tc>
          <w:tcPr>
            <w:tcW w:w="60" w:type="dxa"/>
            <w:tcBorders/>
            <w:shd w:fill="auto" w:val="clear"/>
            <w:vAlign w:val="center"/>
          </w:tcPr>
          <w:p>
            <w:pPr>
              <w:pStyle w:val="TableContents"/>
              <w:spacing w:lineRule="atLeast" w:line="240" w:before="0" w:after="0"/>
              <w:rPr/>
            </w:pPr>
            <w:r>
              <w:rPr/>
              <w:t> </w:t>
            </w:r>
          </w:p>
        </w:tc>
        <w:tc>
          <w:tcPr>
            <w:tcW w:w="120" w:type="dxa"/>
            <w:tcBorders/>
            <w:shd w:fill="auto" w:val="clear"/>
            <w:vAlign w:val="center"/>
          </w:tcPr>
          <w:p>
            <w:pPr>
              <w:pStyle w:val="TableContents"/>
              <w:spacing w:before="0" w:after="283"/>
              <w:rPr/>
            </w:pPr>
            <w:r>
              <w:rPr/>
              <w:t>  </w:t>
            </w:r>
          </w:p>
        </w:tc>
        <w:tc>
          <w:tcPr>
            <w:tcW w:w="176" w:type="dxa"/>
            <w:tcBorders/>
            <w:shd w:fill="auto" w:val="clear"/>
            <w:vAlign w:val="center"/>
          </w:tcPr>
          <w:p>
            <w:pPr>
              <w:pStyle w:val="TableContents"/>
              <w:spacing w:lineRule="atLeast" w:line="240" w:before="0" w:after="0"/>
              <w:rPr/>
            </w:pPr>
            <w:r>
              <w:rPr/>
              <w:t> </w:t>
            </w:r>
          </w:p>
        </w:tc>
        <w:tc>
          <w:tcPr>
            <w:tcW w:w="939" w:type="dxa"/>
            <w:tcBorders/>
            <w:shd w:fill="auto" w:val="clear"/>
            <w:vAlign w:val="center"/>
          </w:tcPr>
          <w:p>
            <w:pPr>
              <w:pStyle w:val="TableContents"/>
              <w:spacing w:lineRule="atLeast" w:line="240" w:before="0" w:after="0"/>
              <w:jc w:val="right"/>
              <w:rPr>
                <w:rFonts w:ascii="ARIAL" w:hAnsi="ARIAL"/>
                <w:sz w:val="14"/>
              </w:rPr>
            </w:pPr>
            <w:r>
              <w:rPr>
                <w:rFonts w:ascii="ARIAL" w:hAnsi="ARIAL"/>
                <w:sz w:val="14"/>
              </w:rPr>
              <w:t>2/28/2031</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sz w:val="4"/>
                <w:szCs w:val="4"/>
              </w:rPr>
            </w:pPr>
            <w:r>
              <w:rPr>
                <w:sz w:val="4"/>
                <w:szCs w:val="4"/>
              </w:rPr>
            </w:r>
          </w:p>
        </w:tc>
        <w:tc>
          <w:tcPr>
            <w:tcW w:w="6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08" w:type="dxa"/>
            <w:tcBorders/>
            <w:shd w:fill="auto" w:val="clear"/>
            <w:vAlign w:val="center"/>
          </w:tcPr>
          <w:p>
            <w:pPr>
              <w:pStyle w:val="TableContents"/>
              <w:spacing w:before="0" w:after="283"/>
              <w:rPr>
                <w:sz w:val="4"/>
                <w:szCs w:val="4"/>
              </w:rPr>
            </w:pPr>
            <w:r>
              <w:rPr>
                <w:sz w:val="4"/>
                <w:szCs w:val="4"/>
              </w:rPr>
            </w:r>
          </w:p>
        </w:tc>
        <w:tc>
          <w:tcPr>
            <w:tcW w:w="9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35"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2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32" w:type="dxa"/>
            <w:tcBorders/>
            <w:shd w:fill="auto" w:val="clear"/>
            <w:vAlign w:val="center"/>
          </w:tcPr>
          <w:p>
            <w:pPr>
              <w:pStyle w:val="TableContents"/>
              <w:spacing w:lineRule="atLeast" w:line="240" w:before="0" w:after="0"/>
              <w:rPr/>
            </w:pPr>
            <w:r>
              <w:rPr/>
              <w:t> </w:t>
            </w:r>
          </w:p>
        </w:tc>
        <w:tc>
          <w:tcPr>
            <w:tcW w:w="1133" w:type="dxa"/>
            <w:tcBorders/>
            <w:shd w:fill="auto" w:val="clear"/>
            <w:vAlign w:val="center"/>
          </w:tcPr>
          <w:p>
            <w:pPr>
              <w:pStyle w:val="TableContents"/>
              <w:spacing w:lineRule="atLeast" w:line="240" w:before="0" w:after="0"/>
              <w:jc w:val="center"/>
              <w:rPr>
                <w:rFonts w:ascii="ARIAL" w:hAnsi="ARIAL"/>
                <w:sz w:val="14"/>
              </w:rPr>
            </w:pPr>
            <w:r>
              <w:rPr>
                <w:rFonts w:ascii="ARIAL" w:hAnsi="ARIAL"/>
                <w:sz w:val="14"/>
              </w:rPr>
              <w:t>-</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1445" w:type="dxa"/>
            <w:tcBorders/>
            <w:shd w:fill="auto" w:val="clear"/>
            <w:vAlign w:val="center"/>
          </w:tcPr>
          <w:p>
            <w:pPr>
              <w:pStyle w:val="TableContents"/>
              <w:spacing w:lineRule="atLeast" w:line="240" w:before="0" w:after="0"/>
              <w:jc w:val="center"/>
              <w:rPr>
                <w:rFonts w:ascii="ARIAL" w:hAnsi="ARIAL"/>
                <w:sz w:val="14"/>
              </w:rPr>
            </w:pPr>
            <w:r>
              <w:rPr>
                <w:rFonts w:ascii="ARIAL" w:hAnsi="ARIAL"/>
                <w:sz w:val="14"/>
              </w:rPr>
              <w:t>90,000</w:t>
            </w:r>
          </w:p>
        </w:tc>
        <w:tc>
          <w:tcPr>
            <w:tcW w:w="60" w:type="dxa"/>
            <w:tcBorders/>
            <w:shd w:fill="auto" w:val="clear"/>
            <w:vAlign w:val="center"/>
          </w:tcPr>
          <w:p>
            <w:pPr>
              <w:pStyle w:val="TableContents"/>
              <w:spacing w:before="0" w:after="283"/>
              <w:rPr/>
            </w:pPr>
            <w:r>
              <w:rPr/>
              <w:t> </w:t>
            </w:r>
          </w:p>
        </w:tc>
        <w:tc>
          <w:tcPr>
            <w:tcW w:w="1940" w:type="dxa"/>
            <w:tcBorders/>
            <w:shd w:fill="auto" w:val="clear"/>
            <w:vAlign w:val="center"/>
          </w:tcPr>
          <w:p>
            <w:pPr>
              <w:pStyle w:val="TableContents"/>
              <w:spacing w:lineRule="atLeast" w:line="240" w:before="0" w:after="0"/>
              <w:jc w:val="center"/>
              <w:rPr>
                <w:rFonts w:ascii="ARIAL" w:hAnsi="ARIAL"/>
                <w:sz w:val="14"/>
              </w:rPr>
            </w:pPr>
            <w:r>
              <w:rPr>
                <w:rFonts w:ascii="ARIAL" w:hAnsi="ARIAL"/>
                <w:sz w:val="14"/>
              </w:rPr>
              <w:t>-</w:t>
            </w:r>
          </w:p>
        </w:tc>
        <w:tc>
          <w:tcPr>
            <w:tcW w:w="60" w:type="dxa"/>
            <w:tcBorders/>
            <w:shd w:fill="auto" w:val="clear"/>
            <w:vAlign w:val="center"/>
          </w:tcPr>
          <w:p>
            <w:pPr>
              <w:pStyle w:val="TableContents"/>
              <w:spacing w:before="0" w:after="283"/>
              <w:rPr/>
            </w:pPr>
            <w:r>
              <w:rPr/>
              <w:t> </w:t>
            </w:r>
          </w:p>
        </w:tc>
        <w:tc>
          <w:tcPr>
            <w:tcW w:w="136" w:type="dxa"/>
            <w:tcBorders/>
            <w:shd w:fill="auto" w:val="clear"/>
            <w:vAlign w:val="center"/>
          </w:tcPr>
          <w:p>
            <w:pPr>
              <w:pStyle w:val="TableContents"/>
              <w:spacing w:lineRule="atLeast" w:line="240" w:before="0" w:after="0"/>
              <w:rPr>
                <w:rFonts w:ascii="ARIAL" w:hAnsi="ARIAL"/>
                <w:sz w:val="14"/>
              </w:rPr>
            </w:pPr>
            <w:r>
              <w:rPr>
                <w:rFonts w:ascii="ARIAL" w:hAnsi="ARIAL"/>
                <w:sz w:val="14"/>
              </w:rPr>
              <w:t>$</w:t>
            </w:r>
          </w:p>
        </w:tc>
        <w:tc>
          <w:tcPr>
            <w:tcW w:w="739" w:type="dxa"/>
            <w:tcBorders/>
            <w:shd w:fill="auto" w:val="clear"/>
            <w:vAlign w:val="center"/>
          </w:tcPr>
          <w:p>
            <w:pPr>
              <w:pStyle w:val="TableContents"/>
              <w:spacing w:lineRule="atLeast" w:line="240" w:before="0" w:after="0"/>
              <w:jc w:val="right"/>
              <w:rPr>
                <w:rFonts w:ascii="ARIAL" w:hAnsi="ARIAL"/>
                <w:sz w:val="14"/>
              </w:rPr>
            </w:pPr>
            <w:r>
              <w:rPr>
                <w:rFonts w:ascii="ARIAL" w:hAnsi="ARIAL"/>
                <w:sz w:val="14"/>
              </w:rPr>
              <w:t>10.1800</w:t>
            </w:r>
          </w:p>
        </w:tc>
        <w:tc>
          <w:tcPr>
            <w:tcW w:w="60" w:type="dxa"/>
            <w:tcBorders/>
            <w:shd w:fill="auto" w:val="clear"/>
            <w:vAlign w:val="center"/>
          </w:tcPr>
          <w:p>
            <w:pPr>
              <w:pStyle w:val="TableContents"/>
              <w:spacing w:lineRule="atLeast" w:line="240" w:before="0" w:after="0"/>
              <w:rPr/>
            </w:pPr>
            <w:r>
              <w:rPr/>
              <w:t> </w:t>
            </w:r>
          </w:p>
        </w:tc>
        <w:tc>
          <w:tcPr>
            <w:tcW w:w="120" w:type="dxa"/>
            <w:tcBorders/>
            <w:shd w:fill="auto" w:val="clear"/>
            <w:vAlign w:val="center"/>
          </w:tcPr>
          <w:p>
            <w:pPr>
              <w:pStyle w:val="TableContents"/>
              <w:spacing w:before="0" w:after="283"/>
              <w:rPr/>
            </w:pPr>
            <w:r>
              <w:rPr/>
              <w:t>  </w:t>
            </w:r>
          </w:p>
        </w:tc>
        <w:tc>
          <w:tcPr>
            <w:tcW w:w="176" w:type="dxa"/>
            <w:tcBorders/>
            <w:shd w:fill="auto" w:val="clear"/>
            <w:vAlign w:val="center"/>
          </w:tcPr>
          <w:p>
            <w:pPr>
              <w:pStyle w:val="TableContents"/>
              <w:spacing w:lineRule="atLeast" w:line="240" w:before="0" w:after="0"/>
              <w:rPr/>
            </w:pPr>
            <w:r>
              <w:rPr/>
              <w:t> </w:t>
            </w:r>
          </w:p>
        </w:tc>
        <w:tc>
          <w:tcPr>
            <w:tcW w:w="939" w:type="dxa"/>
            <w:tcBorders/>
            <w:shd w:fill="auto" w:val="clear"/>
            <w:vAlign w:val="center"/>
          </w:tcPr>
          <w:p>
            <w:pPr>
              <w:pStyle w:val="TableContents"/>
              <w:spacing w:lineRule="atLeast" w:line="240" w:before="0" w:after="0"/>
              <w:jc w:val="right"/>
              <w:rPr>
                <w:rFonts w:ascii="ARIAL" w:hAnsi="ARIAL"/>
                <w:sz w:val="14"/>
              </w:rPr>
            </w:pPr>
            <w:r>
              <w:rPr>
                <w:rFonts w:ascii="ARIAL" w:hAnsi="ARIAL"/>
                <w:sz w:val="14"/>
              </w:rPr>
              <w:t>2/28/2032</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lineRule="atLeast" w:line="240" w:before="0" w:after="0"/>
              <w:rPr/>
            </w:pPr>
            <w:r>
              <w:rPr/>
              <w:t> </w:t>
            </w:r>
          </w:p>
        </w:tc>
        <w:tc>
          <w:tcPr>
            <w:tcW w:w="556" w:type="dxa"/>
            <w:tcBorders/>
            <w:shd w:fill="auto" w:val="clear"/>
            <w:vAlign w:val="center"/>
          </w:tcPr>
          <w:p>
            <w:pPr>
              <w:pStyle w:val="TableContents"/>
              <w:spacing w:lineRule="atLeast" w:line="240" w:before="0" w:after="0"/>
              <w:jc w:val="right"/>
              <w:rPr>
                <w:rFonts w:ascii="ARIAL" w:hAnsi="ARIAL"/>
                <w:sz w:val="14"/>
              </w:rPr>
            </w:pPr>
            <w:r>
              <w:rPr>
                <w:rFonts w:ascii="ARIAL" w:hAnsi="ARIAL"/>
                <w:sz w:val="14"/>
              </w:rPr>
              <w:t>187,500</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lineRule="atLeast" w:line="240" w:before="0" w:after="0"/>
              <w:rPr/>
            </w:pPr>
            <w:r>
              <w:rPr/>
              <w:t> </w:t>
            </w:r>
          </w:p>
        </w:tc>
        <w:tc>
          <w:tcPr>
            <w:tcW w:w="650" w:type="dxa"/>
            <w:tcBorders/>
            <w:shd w:fill="auto" w:val="clear"/>
            <w:vAlign w:val="center"/>
          </w:tcPr>
          <w:p>
            <w:pPr>
              <w:pStyle w:val="TableContents"/>
              <w:spacing w:lineRule="atLeast" w:line="240" w:before="0" w:after="0"/>
              <w:jc w:val="right"/>
              <w:rPr>
                <w:rFonts w:ascii="ARIAL" w:hAnsi="ARIAL"/>
                <w:sz w:val="14"/>
              </w:rPr>
            </w:pPr>
            <w:r>
              <w:rPr>
                <w:rFonts w:ascii="ARIAL" w:hAnsi="ARIAL"/>
                <w:sz w:val="14"/>
              </w:rPr>
              <w:t>810,000</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108" w:type="dxa"/>
            <w:tcBorders/>
            <w:shd w:fill="auto" w:val="clear"/>
            <w:vAlign w:val="center"/>
          </w:tcPr>
          <w:p>
            <w:pPr>
              <w:pStyle w:val="TableContents"/>
              <w:spacing w:lineRule="atLeast" w:line="240" w:before="0" w:after="0"/>
              <w:rPr/>
            </w:pPr>
            <w:r>
              <w:rPr/>
              <w:t> </w:t>
            </w:r>
          </w:p>
        </w:tc>
        <w:tc>
          <w:tcPr>
            <w:tcW w:w="932" w:type="dxa"/>
            <w:tcBorders/>
            <w:shd w:fill="auto" w:val="clear"/>
            <w:vAlign w:val="center"/>
          </w:tcPr>
          <w:p>
            <w:pPr>
              <w:pStyle w:val="TableContents"/>
              <w:spacing w:lineRule="atLeast" w:line="240" w:before="0" w:after="0"/>
              <w:jc w:val="right"/>
              <w:rPr>
                <w:rFonts w:ascii="ARIAL" w:hAnsi="ARIAL"/>
                <w:sz w:val="14"/>
              </w:rPr>
            </w:pPr>
            <w:r>
              <w:rPr>
                <w:rFonts w:ascii="ARIAL" w:hAnsi="ARIAL"/>
                <w:sz w:val="14"/>
              </w:rPr>
              <w:t>585,000</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lineRule="atLeast" w:line="240" w:before="0" w:after="0"/>
              <w:rPr/>
            </w:pPr>
            <w:r>
              <w:rPr/>
              <w:t> </w:t>
            </w:r>
          </w:p>
        </w:tc>
        <w:tc>
          <w:tcPr>
            <w:tcW w:w="635" w:type="dxa"/>
            <w:tcBorders/>
            <w:shd w:fill="auto" w:val="clear"/>
            <w:vAlign w:val="center"/>
          </w:tcPr>
          <w:p>
            <w:pPr>
              <w:pStyle w:val="TableContents"/>
              <w:spacing w:lineRule="atLeast" w:line="240" w:before="0" w:after="0"/>
              <w:jc w:val="right"/>
              <w:rPr>
                <w:rFonts w:ascii="ARIAL" w:hAnsi="ARIAL"/>
                <w:sz w:val="14"/>
              </w:rPr>
            </w:pPr>
            <w:r>
              <w:rPr>
                <w:rFonts w:ascii="ARIAL" w:hAnsi="ARIAL"/>
                <w:sz w:val="14"/>
              </w:rPr>
              <w:t>2,527,200</w:t>
            </w:r>
          </w:p>
        </w:tc>
        <w:tc>
          <w:tcPr>
            <w:tcW w:w="75" w:type="dxa"/>
            <w:tcBorders/>
            <w:shd w:fill="auto" w:val="clear"/>
            <w:vAlign w:val="center"/>
          </w:tcPr>
          <w:p>
            <w:pPr>
              <w:pStyle w:val="TableContents"/>
              <w:spacing w:lineRule="atLeast" w:line="240" w:before="0" w:after="0"/>
              <w:rPr/>
            </w:pPr>
            <w:r>
              <w:rPr/>
              <w:t> </w:t>
            </w:r>
          </w:p>
        </w:tc>
      </w:tr>
      <w:tr>
        <w:trPr/>
        <w:tc>
          <w:tcPr>
            <w:tcW w:w="1295" w:type="dxa"/>
            <w:tcBorders/>
            <w:shd w:fill="CEE8F6" w:val="clear"/>
            <w:vAlign w:val="center"/>
          </w:tcPr>
          <w:p>
            <w:pPr>
              <w:pStyle w:val="TableContents"/>
              <w:spacing w:lineRule="atLeast" w:line="240" w:before="0" w:after="0"/>
              <w:rPr>
                <w:rFonts w:ascii="ARIAL" w:hAnsi="ARIAL"/>
                <w:sz w:val="14"/>
              </w:rPr>
            </w:pPr>
            <w:r>
              <w:rPr>
                <w:rFonts w:ascii="ARIAL" w:hAnsi="ARIAL"/>
                <w:sz w:val="14"/>
              </w:rPr>
              <w:t>Kevin J. Hammons</w:t>
            </w:r>
          </w:p>
        </w:tc>
        <w:tc>
          <w:tcPr>
            <w:tcW w:w="60" w:type="dxa"/>
            <w:tcBorders/>
            <w:shd w:fill="CEE8F6" w:val="clear"/>
            <w:vAlign w:val="center"/>
          </w:tcPr>
          <w:p>
            <w:pPr>
              <w:pStyle w:val="TableContents"/>
              <w:spacing w:before="0" w:after="283"/>
              <w:rPr/>
            </w:pPr>
            <w:r>
              <w:rPr/>
              <w:t> </w:t>
            </w:r>
          </w:p>
        </w:tc>
        <w:tc>
          <w:tcPr>
            <w:tcW w:w="132" w:type="dxa"/>
            <w:tcBorders/>
            <w:shd w:fill="CEE8F6" w:val="clear"/>
            <w:vAlign w:val="center"/>
          </w:tcPr>
          <w:p>
            <w:pPr>
              <w:pStyle w:val="TableContents"/>
              <w:spacing w:lineRule="atLeast" w:line="240" w:before="0" w:after="0"/>
              <w:rPr/>
            </w:pPr>
            <w:r>
              <w:rPr/>
              <w:t> </w:t>
            </w:r>
          </w:p>
        </w:tc>
        <w:tc>
          <w:tcPr>
            <w:tcW w:w="1133" w:type="dxa"/>
            <w:tcBorders/>
            <w:shd w:fill="CEE8F6" w:val="clear"/>
            <w:vAlign w:val="center"/>
          </w:tcPr>
          <w:p>
            <w:pPr>
              <w:pStyle w:val="TableContents"/>
              <w:spacing w:lineRule="atLeast" w:line="240" w:before="0" w:after="0"/>
              <w:jc w:val="right"/>
              <w:rPr>
                <w:rFonts w:ascii="ARIAL" w:hAnsi="ARIAL"/>
                <w:sz w:val="14"/>
              </w:rPr>
            </w:pPr>
            <w:r>
              <w:rPr>
                <w:rFonts w:ascii="ARIAL" w:hAnsi="ARIAL"/>
                <w:sz w:val="14"/>
              </w:rPr>
              <w:t>18,000</w:t>
            </w:r>
          </w:p>
        </w:tc>
        <w:tc>
          <w:tcPr>
            <w:tcW w:w="60" w:type="dxa"/>
            <w:tcBorders/>
            <w:shd w:fill="CEE8F6" w:val="clear"/>
            <w:vAlign w:val="center"/>
          </w:tcPr>
          <w:p>
            <w:pPr>
              <w:pStyle w:val="TableContents"/>
              <w:spacing w:lineRule="atLeast" w:line="240" w:before="0" w:after="0"/>
              <w:rPr/>
            </w:pPr>
            <w:r>
              <w:rPr/>
              <w:t> </w:t>
            </w:r>
          </w:p>
        </w:tc>
        <w:tc>
          <w:tcPr>
            <w:tcW w:w="60" w:type="dxa"/>
            <w:tcBorders/>
            <w:shd w:fill="CEE8F6" w:val="clear"/>
            <w:vAlign w:val="center"/>
          </w:tcPr>
          <w:p>
            <w:pPr>
              <w:pStyle w:val="TableContents"/>
              <w:spacing w:before="0" w:after="283"/>
              <w:rPr/>
            </w:pPr>
            <w:r>
              <w:rPr/>
              <w:t> </w:t>
            </w:r>
          </w:p>
        </w:tc>
        <w:tc>
          <w:tcPr>
            <w:tcW w:w="1445" w:type="dxa"/>
            <w:tcBorders/>
            <w:shd w:fill="CEE8F6" w:val="clear"/>
            <w:vAlign w:val="center"/>
          </w:tcPr>
          <w:p>
            <w:pPr>
              <w:pStyle w:val="TableContents"/>
              <w:spacing w:lineRule="atLeast" w:line="240" w:before="0" w:after="0"/>
              <w:jc w:val="center"/>
              <w:rPr>
                <w:rFonts w:ascii="ARIAL" w:hAnsi="ARIAL"/>
                <w:sz w:val="14"/>
              </w:rPr>
            </w:pPr>
            <w:r>
              <w:rPr>
                <w:rFonts w:ascii="ARIAL" w:hAnsi="ARIAL"/>
                <w:sz w:val="14"/>
              </w:rPr>
              <w:t>-</w:t>
            </w:r>
          </w:p>
        </w:tc>
        <w:tc>
          <w:tcPr>
            <w:tcW w:w="60" w:type="dxa"/>
            <w:tcBorders/>
            <w:shd w:fill="CEE8F6" w:val="clear"/>
            <w:vAlign w:val="center"/>
          </w:tcPr>
          <w:p>
            <w:pPr>
              <w:pStyle w:val="TableContents"/>
              <w:spacing w:before="0" w:after="283"/>
              <w:rPr/>
            </w:pPr>
            <w:r>
              <w:rPr/>
              <w:t> </w:t>
            </w:r>
          </w:p>
        </w:tc>
        <w:tc>
          <w:tcPr>
            <w:tcW w:w="1940" w:type="dxa"/>
            <w:tcBorders/>
            <w:shd w:fill="CEE8F6" w:val="clear"/>
            <w:vAlign w:val="center"/>
          </w:tcPr>
          <w:p>
            <w:pPr>
              <w:pStyle w:val="TableContents"/>
              <w:spacing w:lineRule="atLeast" w:line="240" w:before="0" w:after="0"/>
              <w:jc w:val="center"/>
              <w:rPr>
                <w:rFonts w:ascii="ARIAL" w:hAnsi="ARIAL"/>
                <w:sz w:val="14"/>
              </w:rPr>
            </w:pPr>
            <w:r>
              <w:rPr>
                <w:rFonts w:ascii="ARIAL" w:hAnsi="ARIAL"/>
                <w:sz w:val="14"/>
              </w:rPr>
              <w:t>-</w:t>
            </w:r>
          </w:p>
        </w:tc>
        <w:tc>
          <w:tcPr>
            <w:tcW w:w="60" w:type="dxa"/>
            <w:tcBorders/>
            <w:shd w:fill="CEE8F6" w:val="clear"/>
            <w:vAlign w:val="center"/>
          </w:tcPr>
          <w:p>
            <w:pPr>
              <w:pStyle w:val="TableContents"/>
              <w:spacing w:before="0" w:after="283"/>
              <w:rPr/>
            </w:pPr>
            <w:r>
              <w:rPr/>
              <w:t> </w:t>
            </w:r>
          </w:p>
        </w:tc>
        <w:tc>
          <w:tcPr>
            <w:tcW w:w="136" w:type="dxa"/>
            <w:tcBorders/>
            <w:shd w:fill="CEE8F6" w:val="clear"/>
            <w:vAlign w:val="center"/>
          </w:tcPr>
          <w:p>
            <w:pPr>
              <w:pStyle w:val="TableContents"/>
              <w:spacing w:lineRule="atLeast" w:line="240" w:before="0" w:after="0"/>
              <w:rPr>
                <w:rFonts w:ascii="ARIAL" w:hAnsi="ARIAL"/>
                <w:sz w:val="14"/>
              </w:rPr>
            </w:pPr>
            <w:r>
              <w:rPr>
                <w:rFonts w:ascii="ARIAL" w:hAnsi="ARIAL"/>
                <w:sz w:val="14"/>
              </w:rPr>
              <w:t>$</w:t>
            </w:r>
          </w:p>
        </w:tc>
        <w:tc>
          <w:tcPr>
            <w:tcW w:w="739" w:type="dxa"/>
            <w:tcBorders/>
            <w:shd w:fill="CEE8F6" w:val="clear"/>
            <w:vAlign w:val="center"/>
          </w:tcPr>
          <w:p>
            <w:pPr>
              <w:pStyle w:val="TableContents"/>
              <w:spacing w:lineRule="atLeast" w:line="240" w:before="0" w:after="0"/>
              <w:jc w:val="right"/>
              <w:rPr>
                <w:rFonts w:ascii="ARIAL" w:hAnsi="ARIAL"/>
                <w:sz w:val="14"/>
              </w:rPr>
            </w:pPr>
            <w:r>
              <w:rPr>
                <w:rFonts w:ascii="ARIAL" w:hAnsi="ARIAL"/>
                <w:sz w:val="14"/>
              </w:rPr>
              <w:t>4.9900</w:t>
            </w:r>
          </w:p>
        </w:tc>
        <w:tc>
          <w:tcPr>
            <w:tcW w:w="60" w:type="dxa"/>
            <w:tcBorders/>
            <w:shd w:fill="CEE8F6" w:val="clear"/>
            <w:vAlign w:val="center"/>
          </w:tcPr>
          <w:p>
            <w:pPr>
              <w:pStyle w:val="TableContents"/>
              <w:spacing w:lineRule="atLeast" w:line="240" w:before="0" w:after="0"/>
              <w:rPr/>
            </w:pPr>
            <w:r>
              <w:rPr/>
              <w:t> </w:t>
            </w:r>
          </w:p>
        </w:tc>
        <w:tc>
          <w:tcPr>
            <w:tcW w:w="120" w:type="dxa"/>
            <w:tcBorders/>
            <w:shd w:fill="CEE8F6" w:val="clear"/>
            <w:vAlign w:val="center"/>
          </w:tcPr>
          <w:p>
            <w:pPr>
              <w:pStyle w:val="TableContents"/>
              <w:spacing w:before="0" w:after="283"/>
              <w:rPr/>
            </w:pPr>
            <w:r>
              <w:rPr/>
              <w:t>  </w:t>
            </w:r>
          </w:p>
        </w:tc>
        <w:tc>
          <w:tcPr>
            <w:tcW w:w="176" w:type="dxa"/>
            <w:tcBorders/>
            <w:shd w:fill="CEE8F6" w:val="clear"/>
            <w:vAlign w:val="center"/>
          </w:tcPr>
          <w:p>
            <w:pPr>
              <w:pStyle w:val="TableContents"/>
              <w:spacing w:lineRule="atLeast" w:line="240" w:before="0" w:after="0"/>
              <w:rPr/>
            </w:pPr>
            <w:r>
              <w:rPr/>
              <w:t> </w:t>
            </w:r>
          </w:p>
        </w:tc>
        <w:tc>
          <w:tcPr>
            <w:tcW w:w="939" w:type="dxa"/>
            <w:tcBorders/>
            <w:shd w:fill="CEE8F6" w:val="clear"/>
            <w:vAlign w:val="center"/>
          </w:tcPr>
          <w:p>
            <w:pPr>
              <w:pStyle w:val="TableContents"/>
              <w:spacing w:lineRule="atLeast" w:line="240" w:before="0" w:after="0"/>
              <w:jc w:val="right"/>
              <w:rPr>
                <w:rFonts w:ascii="ARIAL" w:hAnsi="ARIAL"/>
                <w:sz w:val="14"/>
              </w:rPr>
            </w:pPr>
            <w:r>
              <w:rPr>
                <w:rFonts w:ascii="ARIAL" w:hAnsi="ARIAL"/>
                <w:sz w:val="14"/>
              </w:rPr>
              <w:t>2/28/2029</w:t>
            </w:r>
          </w:p>
        </w:tc>
        <w:tc>
          <w:tcPr>
            <w:tcW w:w="60" w:type="dxa"/>
            <w:tcBorders/>
            <w:shd w:fill="CEE8F6" w:val="clear"/>
            <w:vAlign w:val="center"/>
          </w:tcPr>
          <w:p>
            <w:pPr>
              <w:pStyle w:val="TableContents"/>
              <w:spacing w:lineRule="atLeast" w:line="240" w:before="0" w:after="0"/>
              <w:rPr/>
            </w:pPr>
            <w:r>
              <w:rPr/>
              <w:t> </w:t>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pPr>
            <w:r>
              <w:rPr/>
              <w:t> </w:t>
            </w:r>
          </w:p>
        </w:tc>
        <w:tc>
          <w:tcPr>
            <w:tcW w:w="64" w:type="dxa"/>
            <w:tcBorders/>
            <w:shd w:fill="CEE8F6" w:val="clear"/>
            <w:vAlign w:val="center"/>
          </w:tcPr>
          <w:p>
            <w:pPr>
              <w:pStyle w:val="TableContents"/>
              <w:spacing w:before="0" w:after="283"/>
              <w:rPr>
                <w:sz w:val="4"/>
                <w:szCs w:val="4"/>
              </w:rPr>
            </w:pPr>
            <w:r>
              <w:rPr>
                <w:sz w:val="4"/>
                <w:szCs w:val="4"/>
              </w:rPr>
            </w:r>
          </w:p>
        </w:tc>
        <w:tc>
          <w:tcPr>
            <w:tcW w:w="556"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pPr>
            <w:r>
              <w:rPr/>
              <w:t> </w:t>
            </w:r>
          </w:p>
        </w:tc>
        <w:tc>
          <w:tcPr>
            <w:tcW w:w="75" w:type="dxa"/>
            <w:tcBorders/>
            <w:shd w:fill="CEE8F6" w:val="clear"/>
            <w:vAlign w:val="center"/>
          </w:tcPr>
          <w:p>
            <w:pPr>
              <w:pStyle w:val="TableContents"/>
              <w:spacing w:before="0" w:after="283"/>
              <w:rPr>
                <w:sz w:val="4"/>
                <w:szCs w:val="4"/>
              </w:rPr>
            </w:pPr>
            <w:r>
              <w:rPr>
                <w:sz w:val="4"/>
                <w:szCs w:val="4"/>
              </w:rPr>
            </w:r>
          </w:p>
        </w:tc>
        <w:tc>
          <w:tcPr>
            <w:tcW w:w="65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pPr>
            <w:r>
              <w:rPr/>
              <w:t> </w:t>
            </w:r>
          </w:p>
        </w:tc>
        <w:tc>
          <w:tcPr>
            <w:tcW w:w="108" w:type="dxa"/>
            <w:tcBorders/>
            <w:shd w:fill="CEE8F6" w:val="clear"/>
            <w:vAlign w:val="center"/>
          </w:tcPr>
          <w:p>
            <w:pPr>
              <w:pStyle w:val="TableContents"/>
              <w:spacing w:before="0" w:after="283"/>
              <w:rPr>
                <w:sz w:val="4"/>
                <w:szCs w:val="4"/>
              </w:rPr>
            </w:pPr>
            <w:r>
              <w:rPr>
                <w:sz w:val="4"/>
                <w:szCs w:val="4"/>
              </w:rPr>
            </w:r>
          </w:p>
        </w:tc>
        <w:tc>
          <w:tcPr>
            <w:tcW w:w="932"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before="0" w:after="283"/>
              <w:rPr>
                <w:sz w:val="4"/>
                <w:szCs w:val="4"/>
              </w:rPr>
            </w:pPr>
            <w:r>
              <w:rPr>
                <w:sz w:val="4"/>
                <w:szCs w:val="4"/>
              </w:rPr>
            </w:r>
          </w:p>
        </w:tc>
        <w:tc>
          <w:tcPr>
            <w:tcW w:w="635" w:type="dxa"/>
            <w:tcBorders/>
            <w:shd w:fill="CEE8F6" w:val="clear"/>
            <w:vAlign w:val="center"/>
          </w:tcPr>
          <w:p>
            <w:pPr>
              <w:pStyle w:val="TableContents"/>
              <w:spacing w:before="0" w:after="283"/>
              <w:rPr>
                <w:sz w:val="4"/>
                <w:szCs w:val="4"/>
              </w:rPr>
            </w:pPr>
            <w:r>
              <w:rPr>
                <w:sz w:val="4"/>
                <w:szCs w:val="4"/>
              </w:rPr>
            </w:r>
          </w:p>
        </w:tc>
        <w:tc>
          <w:tcPr>
            <w:tcW w:w="75" w:type="dxa"/>
            <w:tcBorders/>
            <w:shd w:fill="CEE8F6" w:val="clear"/>
            <w:vAlign w:val="center"/>
          </w:tcPr>
          <w:p>
            <w:pPr>
              <w:pStyle w:val="TableContents"/>
              <w:spacing w:before="0" w:after="283"/>
              <w:rPr>
                <w:sz w:val="4"/>
                <w:szCs w:val="4"/>
              </w:rPr>
            </w:pPr>
            <w:r>
              <w:rPr>
                <w:sz w:val="4"/>
                <w:szCs w:val="4"/>
              </w:rPr>
            </w:r>
          </w:p>
        </w:tc>
      </w:tr>
      <w:tr>
        <w:trPr/>
        <w:tc>
          <w:tcPr>
            <w:tcW w:w="1295"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pPr>
            <w:r>
              <w:rPr/>
              <w:t> </w:t>
            </w:r>
          </w:p>
        </w:tc>
        <w:tc>
          <w:tcPr>
            <w:tcW w:w="132" w:type="dxa"/>
            <w:tcBorders/>
            <w:shd w:fill="CEE8F6" w:val="clear"/>
            <w:vAlign w:val="center"/>
          </w:tcPr>
          <w:p>
            <w:pPr>
              <w:pStyle w:val="TableContents"/>
              <w:spacing w:lineRule="atLeast" w:line="240" w:before="0" w:after="0"/>
              <w:rPr/>
            </w:pPr>
            <w:r>
              <w:rPr/>
              <w:t> </w:t>
            </w:r>
          </w:p>
        </w:tc>
        <w:tc>
          <w:tcPr>
            <w:tcW w:w="1133" w:type="dxa"/>
            <w:tcBorders/>
            <w:shd w:fill="CEE8F6" w:val="clear"/>
            <w:vAlign w:val="center"/>
          </w:tcPr>
          <w:p>
            <w:pPr>
              <w:pStyle w:val="TableContents"/>
              <w:spacing w:lineRule="atLeast" w:line="240" w:before="0" w:after="0"/>
              <w:jc w:val="right"/>
              <w:rPr>
                <w:rFonts w:ascii="ARIAL" w:hAnsi="ARIAL"/>
                <w:sz w:val="14"/>
              </w:rPr>
            </w:pPr>
            <w:r>
              <w:rPr>
                <w:rFonts w:ascii="ARIAL" w:hAnsi="ARIAL"/>
                <w:sz w:val="14"/>
              </w:rPr>
              <w:t>31,666</w:t>
            </w:r>
          </w:p>
        </w:tc>
        <w:tc>
          <w:tcPr>
            <w:tcW w:w="60" w:type="dxa"/>
            <w:tcBorders/>
            <w:shd w:fill="CEE8F6" w:val="clear"/>
            <w:vAlign w:val="center"/>
          </w:tcPr>
          <w:p>
            <w:pPr>
              <w:pStyle w:val="TableContents"/>
              <w:spacing w:lineRule="atLeast" w:line="240" w:before="0" w:after="0"/>
              <w:rPr/>
            </w:pPr>
            <w:r>
              <w:rPr/>
              <w:t> </w:t>
            </w:r>
          </w:p>
        </w:tc>
        <w:tc>
          <w:tcPr>
            <w:tcW w:w="60" w:type="dxa"/>
            <w:tcBorders/>
            <w:shd w:fill="CEE8F6" w:val="clear"/>
            <w:vAlign w:val="center"/>
          </w:tcPr>
          <w:p>
            <w:pPr>
              <w:pStyle w:val="TableContents"/>
              <w:spacing w:before="0" w:after="283"/>
              <w:rPr/>
            </w:pPr>
            <w:r>
              <w:rPr/>
              <w:t> </w:t>
            </w:r>
          </w:p>
        </w:tc>
        <w:tc>
          <w:tcPr>
            <w:tcW w:w="1445" w:type="dxa"/>
            <w:tcBorders/>
            <w:shd w:fill="CEE8F6" w:val="clear"/>
            <w:vAlign w:val="center"/>
          </w:tcPr>
          <w:p>
            <w:pPr>
              <w:pStyle w:val="TableContents"/>
              <w:spacing w:lineRule="atLeast" w:line="240" w:before="0" w:after="0"/>
              <w:jc w:val="center"/>
              <w:rPr>
                <w:rFonts w:ascii="ARIAL" w:hAnsi="ARIAL"/>
                <w:sz w:val="14"/>
              </w:rPr>
            </w:pPr>
            <w:r>
              <w:rPr>
                <w:rFonts w:ascii="ARIAL" w:hAnsi="ARIAL"/>
                <w:sz w:val="14"/>
              </w:rPr>
              <w:t>15,834</w:t>
            </w:r>
          </w:p>
        </w:tc>
        <w:tc>
          <w:tcPr>
            <w:tcW w:w="60" w:type="dxa"/>
            <w:tcBorders/>
            <w:shd w:fill="CEE8F6" w:val="clear"/>
            <w:vAlign w:val="center"/>
          </w:tcPr>
          <w:p>
            <w:pPr>
              <w:pStyle w:val="TableContents"/>
              <w:spacing w:before="0" w:after="283"/>
              <w:rPr/>
            </w:pPr>
            <w:r>
              <w:rPr/>
              <w:t> </w:t>
            </w:r>
          </w:p>
        </w:tc>
        <w:tc>
          <w:tcPr>
            <w:tcW w:w="1940" w:type="dxa"/>
            <w:tcBorders/>
            <w:shd w:fill="CEE8F6" w:val="clear"/>
            <w:vAlign w:val="center"/>
          </w:tcPr>
          <w:p>
            <w:pPr>
              <w:pStyle w:val="TableContents"/>
              <w:spacing w:lineRule="atLeast" w:line="240" w:before="0" w:after="0"/>
              <w:jc w:val="center"/>
              <w:rPr>
                <w:rFonts w:ascii="ARIAL" w:hAnsi="ARIAL"/>
                <w:sz w:val="14"/>
              </w:rPr>
            </w:pPr>
            <w:r>
              <w:rPr>
                <w:rFonts w:ascii="ARIAL" w:hAnsi="ARIAL"/>
                <w:sz w:val="14"/>
              </w:rPr>
              <w:t>-</w:t>
            </w:r>
          </w:p>
        </w:tc>
        <w:tc>
          <w:tcPr>
            <w:tcW w:w="60" w:type="dxa"/>
            <w:tcBorders/>
            <w:shd w:fill="CEE8F6" w:val="clear"/>
            <w:vAlign w:val="center"/>
          </w:tcPr>
          <w:p>
            <w:pPr>
              <w:pStyle w:val="TableContents"/>
              <w:spacing w:before="0" w:after="283"/>
              <w:rPr/>
            </w:pPr>
            <w:r>
              <w:rPr/>
              <w:t> </w:t>
            </w:r>
          </w:p>
        </w:tc>
        <w:tc>
          <w:tcPr>
            <w:tcW w:w="136" w:type="dxa"/>
            <w:tcBorders/>
            <w:shd w:fill="CEE8F6" w:val="clear"/>
            <w:vAlign w:val="center"/>
          </w:tcPr>
          <w:p>
            <w:pPr>
              <w:pStyle w:val="TableContents"/>
              <w:spacing w:lineRule="atLeast" w:line="240" w:before="0" w:after="0"/>
              <w:rPr>
                <w:rFonts w:ascii="ARIAL" w:hAnsi="ARIAL"/>
                <w:sz w:val="14"/>
              </w:rPr>
            </w:pPr>
            <w:r>
              <w:rPr>
                <w:rFonts w:ascii="ARIAL" w:hAnsi="ARIAL"/>
                <w:sz w:val="14"/>
              </w:rPr>
              <w:t>$</w:t>
            </w:r>
          </w:p>
        </w:tc>
        <w:tc>
          <w:tcPr>
            <w:tcW w:w="739" w:type="dxa"/>
            <w:tcBorders/>
            <w:shd w:fill="CEE8F6" w:val="clear"/>
            <w:vAlign w:val="center"/>
          </w:tcPr>
          <w:p>
            <w:pPr>
              <w:pStyle w:val="TableContents"/>
              <w:spacing w:lineRule="atLeast" w:line="240" w:before="0" w:after="0"/>
              <w:jc w:val="right"/>
              <w:rPr>
                <w:rFonts w:ascii="ARIAL" w:hAnsi="ARIAL"/>
                <w:sz w:val="14"/>
              </w:rPr>
            </w:pPr>
            <w:r>
              <w:rPr>
                <w:rFonts w:ascii="ARIAL" w:hAnsi="ARIAL"/>
                <w:sz w:val="14"/>
              </w:rPr>
              <w:t>4.9300</w:t>
            </w:r>
          </w:p>
        </w:tc>
        <w:tc>
          <w:tcPr>
            <w:tcW w:w="60" w:type="dxa"/>
            <w:tcBorders/>
            <w:shd w:fill="CEE8F6" w:val="clear"/>
            <w:vAlign w:val="center"/>
          </w:tcPr>
          <w:p>
            <w:pPr>
              <w:pStyle w:val="TableContents"/>
              <w:spacing w:lineRule="atLeast" w:line="240" w:before="0" w:after="0"/>
              <w:rPr/>
            </w:pPr>
            <w:r>
              <w:rPr/>
              <w:t> </w:t>
            </w:r>
          </w:p>
        </w:tc>
        <w:tc>
          <w:tcPr>
            <w:tcW w:w="120" w:type="dxa"/>
            <w:tcBorders/>
            <w:shd w:fill="CEE8F6" w:val="clear"/>
            <w:vAlign w:val="center"/>
          </w:tcPr>
          <w:p>
            <w:pPr>
              <w:pStyle w:val="TableContents"/>
              <w:spacing w:before="0" w:after="283"/>
              <w:rPr/>
            </w:pPr>
            <w:r>
              <w:rPr/>
              <w:t>  </w:t>
            </w:r>
          </w:p>
        </w:tc>
        <w:tc>
          <w:tcPr>
            <w:tcW w:w="176" w:type="dxa"/>
            <w:tcBorders/>
            <w:shd w:fill="CEE8F6" w:val="clear"/>
            <w:vAlign w:val="center"/>
          </w:tcPr>
          <w:p>
            <w:pPr>
              <w:pStyle w:val="TableContents"/>
              <w:spacing w:lineRule="atLeast" w:line="240" w:before="0" w:after="0"/>
              <w:rPr/>
            </w:pPr>
            <w:r>
              <w:rPr/>
              <w:t> </w:t>
            </w:r>
          </w:p>
        </w:tc>
        <w:tc>
          <w:tcPr>
            <w:tcW w:w="939" w:type="dxa"/>
            <w:tcBorders/>
            <w:shd w:fill="CEE8F6" w:val="clear"/>
            <w:vAlign w:val="center"/>
          </w:tcPr>
          <w:p>
            <w:pPr>
              <w:pStyle w:val="TableContents"/>
              <w:spacing w:lineRule="atLeast" w:line="240" w:before="0" w:after="0"/>
              <w:jc w:val="right"/>
              <w:rPr>
                <w:rFonts w:ascii="ARIAL" w:hAnsi="ARIAL"/>
                <w:sz w:val="14"/>
              </w:rPr>
            </w:pPr>
            <w:r>
              <w:rPr>
                <w:rFonts w:ascii="ARIAL" w:hAnsi="ARIAL"/>
                <w:sz w:val="14"/>
              </w:rPr>
              <w:t>2/28/2030</w:t>
            </w:r>
          </w:p>
        </w:tc>
        <w:tc>
          <w:tcPr>
            <w:tcW w:w="60" w:type="dxa"/>
            <w:tcBorders/>
            <w:shd w:fill="CEE8F6" w:val="clear"/>
            <w:vAlign w:val="center"/>
          </w:tcPr>
          <w:p>
            <w:pPr>
              <w:pStyle w:val="TableContents"/>
              <w:spacing w:lineRule="atLeast" w:line="240" w:before="0" w:after="0"/>
              <w:rPr/>
            </w:pPr>
            <w:r>
              <w:rPr/>
              <w:t> </w:t>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pPr>
            <w:r>
              <w:rPr/>
              <w:t> </w:t>
            </w:r>
          </w:p>
        </w:tc>
        <w:tc>
          <w:tcPr>
            <w:tcW w:w="64" w:type="dxa"/>
            <w:tcBorders/>
            <w:shd w:fill="CEE8F6" w:val="clear"/>
            <w:vAlign w:val="center"/>
          </w:tcPr>
          <w:p>
            <w:pPr>
              <w:pStyle w:val="TableContents"/>
              <w:spacing w:before="0" w:after="283"/>
              <w:rPr>
                <w:sz w:val="4"/>
                <w:szCs w:val="4"/>
              </w:rPr>
            </w:pPr>
            <w:r>
              <w:rPr>
                <w:sz w:val="4"/>
                <w:szCs w:val="4"/>
              </w:rPr>
            </w:r>
          </w:p>
        </w:tc>
        <w:tc>
          <w:tcPr>
            <w:tcW w:w="556"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pPr>
            <w:r>
              <w:rPr/>
              <w:t> </w:t>
            </w:r>
          </w:p>
        </w:tc>
        <w:tc>
          <w:tcPr>
            <w:tcW w:w="75" w:type="dxa"/>
            <w:tcBorders/>
            <w:shd w:fill="CEE8F6" w:val="clear"/>
            <w:vAlign w:val="center"/>
          </w:tcPr>
          <w:p>
            <w:pPr>
              <w:pStyle w:val="TableContents"/>
              <w:spacing w:before="0" w:after="283"/>
              <w:rPr>
                <w:sz w:val="4"/>
                <w:szCs w:val="4"/>
              </w:rPr>
            </w:pPr>
            <w:r>
              <w:rPr>
                <w:sz w:val="4"/>
                <w:szCs w:val="4"/>
              </w:rPr>
            </w:r>
          </w:p>
        </w:tc>
        <w:tc>
          <w:tcPr>
            <w:tcW w:w="65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pPr>
            <w:r>
              <w:rPr/>
              <w:t> </w:t>
            </w:r>
          </w:p>
        </w:tc>
        <w:tc>
          <w:tcPr>
            <w:tcW w:w="108" w:type="dxa"/>
            <w:tcBorders/>
            <w:shd w:fill="CEE8F6" w:val="clear"/>
            <w:vAlign w:val="center"/>
          </w:tcPr>
          <w:p>
            <w:pPr>
              <w:pStyle w:val="TableContents"/>
              <w:spacing w:before="0" w:after="283"/>
              <w:rPr>
                <w:sz w:val="4"/>
                <w:szCs w:val="4"/>
              </w:rPr>
            </w:pPr>
            <w:r>
              <w:rPr>
                <w:sz w:val="4"/>
                <w:szCs w:val="4"/>
              </w:rPr>
            </w:r>
          </w:p>
        </w:tc>
        <w:tc>
          <w:tcPr>
            <w:tcW w:w="932"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before="0" w:after="283"/>
              <w:rPr>
                <w:sz w:val="4"/>
                <w:szCs w:val="4"/>
              </w:rPr>
            </w:pPr>
            <w:r>
              <w:rPr>
                <w:sz w:val="4"/>
                <w:szCs w:val="4"/>
              </w:rPr>
            </w:r>
          </w:p>
        </w:tc>
        <w:tc>
          <w:tcPr>
            <w:tcW w:w="635" w:type="dxa"/>
            <w:tcBorders/>
            <w:shd w:fill="CEE8F6" w:val="clear"/>
            <w:vAlign w:val="center"/>
          </w:tcPr>
          <w:p>
            <w:pPr>
              <w:pStyle w:val="TableContents"/>
              <w:spacing w:before="0" w:after="283"/>
              <w:rPr>
                <w:sz w:val="4"/>
                <w:szCs w:val="4"/>
              </w:rPr>
            </w:pPr>
            <w:r>
              <w:rPr>
                <w:sz w:val="4"/>
                <w:szCs w:val="4"/>
              </w:rPr>
            </w:r>
          </w:p>
        </w:tc>
        <w:tc>
          <w:tcPr>
            <w:tcW w:w="75" w:type="dxa"/>
            <w:tcBorders/>
            <w:shd w:fill="CEE8F6" w:val="clear"/>
            <w:vAlign w:val="center"/>
          </w:tcPr>
          <w:p>
            <w:pPr>
              <w:pStyle w:val="TableContents"/>
              <w:spacing w:before="0" w:after="283"/>
              <w:rPr>
                <w:sz w:val="4"/>
                <w:szCs w:val="4"/>
              </w:rPr>
            </w:pPr>
            <w:r>
              <w:rPr>
                <w:sz w:val="4"/>
                <w:szCs w:val="4"/>
              </w:rPr>
            </w:r>
          </w:p>
        </w:tc>
      </w:tr>
      <w:tr>
        <w:trPr/>
        <w:tc>
          <w:tcPr>
            <w:tcW w:w="1295"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pPr>
            <w:r>
              <w:rPr/>
              <w:t> </w:t>
            </w:r>
          </w:p>
        </w:tc>
        <w:tc>
          <w:tcPr>
            <w:tcW w:w="132" w:type="dxa"/>
            <w:tcBorders/>
            <w:shd w:fill="CEE8F6" w:val="clear"/>
            <w:vAlign w:val="center"/>
          </w:tcPr>
          <w:p>
            <w:pPr>
              <w:pStyle w:val="TableContents"/>
              <w:spacing w:lineRule="atLeast" w:line="240" w:before="0" w:after="0"/>
              <w:rPr/>
            </w:pPr>
            <w:r>
              <w:rPr/>
              <w:t> </w:t>
            </w:r>
          </w:p>
        </w:tc>
        <w:tc>
          <w:tcPr>
            <w:tcW w:w="1133" w:type="dxa"/>
            <w:tcBorders/>
            <w:shd w:fill="CEE8F6" w:val="clear"/>
            <w:vAlign w:val="center"/>
          </w:tcPr>
          <w:p>
            <w:pPr>
              <w:pStyle w:val="TableContents"/>
              <w:spacing w:lineRule="atLeast" w:line="240" w:before="0" w:after="0"/>
              <w:jc w:val="right"/>
              <w:rPr>
                <w:rFonts w:ascii="ARIAL" w:hAnsi="ARIAL"/>
                <w:sz w:val="14"/>
              </w:rPr>
            </w:pPr>
            <w:r>
              <w:rPr>
                <w:rFonts w:ascii="ARIAL" w:hAnsi="ARIAL"/>
                <w:sz w:val="14"/>
              </w:rPr>
              <w:t>25,000</w:t>
            </w:r>
          </w:p>
        </w:tc>
        <w:tc>
          <w:tcPr>
            <w:tcW w:w="60" w:type="dxa"/>
            <w:tcBorders/>
            <w:shd w:fill="CEE8F6" w:val="clear"/>
            <w:vAlign w:val="center"/>
          </w:tcPr>
          <w:p>
            <w:pPr>
              <w:pStyle w:val="TableContents"/>
              <w:spacing w:lineRule="atLeast" w:line="240" w:before="0" w:after="0"/>
              <w:rPr/>
            </w:pPr>
            <w:r>
              <w:rPr/>
              <w:t> </w:t>
            </w:r>
          </w:p>
        </w:tc>
        <w:tc>
          <w:tcPr>
            <w:tcW w:w="60" w:type="dxa"/>
            <w:tcBorders/>
            <w:shd w:fill="CEE8F6" w:val="clear"/>
            <w:vAlign w:val="center"/>
          </w:tcPr>
          <w:p>
            <w:pPr>
              <w:pStyle w:val="TableContents"/>
              <w:spacing w:before="0" w:after="283"/>
              <w:rPr/>
            </w:pPr>
            <w:r>
              <w:rPr/>
              <w:t> </w:t>
            </w:r>
          </w:p>
        </w:tc>
        <w:tc>
          <w:tcPr>
            <w:tcW w:w="1445" w:type="dxa"/>
            <w:tcBorders/>
            <w:shd w:fill="CEE8F6" w:val="clear"/>
            <w:vAlign w:val="center"/>
          </w:tcPr>
          <w:p>
            <w:pPr>
              <w:pStyle w:val="TableContents"/>
              <w:spacing w:lineRule="atLeast" w:line="240" w:before="0" w:after="0"/>
              <w:jc w:val="center"/>
              <w:rPr>
                <w:rFonts w:ascii="ARIAL" w:hAnsi="ARIAL"/>
                <w:sz w:val="14"/>
              </w:rPr>
            </w:pPr>
            <w:r>
              <w:rPr>
                <w:rFonts w:ascii="ARIAL" w:hAnsi="ARIAL"/>
                <w:sz w:val="14"/>
              </w:rPr>
              <w:t>50,000</w:t>
            </w:r>
          </w:p>
        </w:tc>
        <w:tc>
          <w:tcPr>
            <w:tcW w:w="60" w:type="dxa"/>
            <w:tcBorders/>
            <w:shd w:fill="CEE8F6" w:val="clear"/>
            <w:vAlign w:val="center"/>
          </w:tcPr>
          <w:p>
            <w:pPr>
              <w:pStyle w:val="TableContents"/>
              <w:spacing w:before="0" w:after="283"/>
              <w:rPr/>
            </w:pPr>
            <w:r>
              <w:rPr/>
              <w:t> </w:t>
            </w:r>
          </w:p>
        </w:tc>
        <w:tc>
          <w:tcPr>
            <w:tcW w:w="1940" w:type="dxa"/>
            <w:tcBorders/>
            <w:shd w:fill="CEE8F6" w:val="clear"/>
            <w:vAlign w:val="center"/>
          </w:tcPr>
          <w:p>
            <w:pPr>
              <w:pStyle w:val="TableContents"/>
              <w:spacing w:lineRule="atLeast" w:line="240" w:before="0" w:after="0"/>
              <w:jc w:val="center"/>
              <w:rPr>
                <w:rFonts w:ascii="ARIAL" w:hAnsi="ARIAL"/>
                <w:sz w:val="14"/>
              </w:rPr>
            </w:pPr>
            <w:r>
              <w:rPr>
                <w:rFonts w:ascii="ARIAL" w:hAnsi="ARIAL"/>
                <w:sz w:val="14"/>
              </w:rPr>
              <w:t>-</w:t>
            </w:r>
          </w:p>
        </w:tc>
        <w:tc>
          <w:tcPr>
            <w:tcW w:w="60" w:type="dxa"/>
            <w:tcBorders/>
            <w:shd w:fill="CEE8F6" w:val="clear"/>
            <w:vAlign w:val="center"/>
          </w:tcPr>
          <w:p>
            <w:pPr>
              <w:pStyle w:val="TableContents"/>
              <w:spacing w:before="0" w:after="283"/>
              <w:rPr/>
            </w:pPr>
            <w:r>
              <w:rPr/>
              <w:t> </w:t>
            </w:r>
          </w:p>
        </w:tc>
        <w:tc>
          <w:tcPr>
            <w:tcW w:w="136" w:type="dxa"/>
            <w:tcBorders/>
            <w:shd w:fill="CEE8F6" w:val="clear"/>
            <w:vAlign w:val="center"/>
          </w:tcPr>
          <w:p>
            <w:pPr>
              <w:pStyle w:val="TableContents"/>
              <w:spacing w:lineRule="atLeast" w:line="240" w:before="0" w:after="0"/>
              <w:rPr>
                <w:rFonts w:ascii="ARIAL" w:hAnsi="ARIAL"/>
                <w:sz w:val="14"/>
              </w:rPr>
            </w:pPr>
            <w:r>
              <w:rPr>
                <w:rFonts w:ascii="ARIAL" w:hAnsi="ARIAL"/>
                <w:sz w:val="14"/>
              </w:rPr>
              <w:t>$</w:t>
            </w:r>
          </w:p>
        </w:tc>
        <w:tc>
          <w:tcPr>
            <w:tcW w:w="739" w:type="dxa"/>
            <w:tcBorders/>
            <w:shd w:fill="CEE8F6" w:val="clear"/>
            <w:vAlign w:val="center"/>
          </w:tcPr>
          <w:p>
            <w:pPr>
              <w:pStyle w:val="TableContents"/>
              <w:spacing w:lineRule="atLeast" w:line="240" w:before="0" w:after="0"/>
              <w:jc w:val="right"/>
              <w:rPr>
                <w:rFonts w:ascii="ARIAL" w:hAnsi="ARIAL"/>
                <w:sz w:val="14"/>
              </w:rPr>
            </w:pPr>
            <w:r>
              <w:rPr>
                <w:rFonts w:ascii="ARIAL" w:hAnsi="ARIAL"/>
                <w:sz w:val="14"/>
              </w:rPr>
              <w:t>8.8100</w:t>
            </w:r>
          </w:p>
        </w:tc>
        <w:tc>
          <w:tcPr>
            <w:tcW w:w="60" w:type="dxa"/>
            <w:tcBorders/>
            <w:shd w:fill="CEE8F6" w:val="clear"/>
            <w:vAlign w:val="center"/>
          </w:tcPr>
          <w:p>
            <w:pPr>
              <w:pStyle w:val="TableContents"/>
              <w:spacing w:lineRule="atLeast" w:line="240" w:before="0" w:after="0"/>
              <w:rPr/>
            </w:pPr>
            <w:r>
              <w:rPr/>
              <w:t> </w:t>
            </w:r>
          </w:p>
        </w:tc>
        <w:tc>
          <w:tcPr>
            <w:tcW w:w="120" w:type="dxa"/>
            <w:tcBorders/>
            <w:shd w:fill="CEE8F6" w:val="clear"/>
            <w:vAlign w:val="center"/>
          </w:tcPr>
          <w:p>
            <w:pPr>
              <w:pStyle w:val="TableContents"/>
              <w:spacing w:before="0" w:after="283"/>
              <w:rPr/>
            </w:pPr>
            <w:r>
              <w:rPr/>
              <w:t>  </w:t>
            </w:r>
          </w:p>
        </w:tc>
        <w:tc>
          <w:tcPr>
            <w:tcW w:w="176" w:type="dxa"/>
            <w:tcBorders/>
            <w:shd w:fill="CEE8F6" w:val="clear"/>
            <w:vAlign w:val="center"/>
          </w:tcPr>
          <w:p>
            <w:pPr>
              <w:pStyle w:val="TableContents"/>
              <w:spacing w:lineRule="atLeast" w:line="240" w:before="0" w:after="0"/>
              <w:rPr/>
            </w:pPr>
            <w:r>
              <w:rPr/>
              <w:t> </w:t>
            </w:r>
          </w:p>
        </w:tc>
        <w:tc>
          <w:tcPr>
            <w:tcW w:w="939" w:type="dxa"/>
            <w:tcBorders/>
            <w:shd w:fill="CEE8F6" w:val="clear"/>
            <w:vAlign w:val="center"/>
          </w:tcPr>
          <w:p>
            <w:pPr>
              <w:pStyle w:val="TableContents"/>
              <w:spacing w:lineRule="atLeast" w:line="240" w:before="0" w:after="0"/>
              <w:jc w:val="right"/>
              <w:rPr>
                <w:rFonts w:ascii="ARIAL" w:hAnsi="ARIAL"/>
                <w:sz w:val="14"/>
              </w:rPr>
            </w:pPr>
            <w:r>
              <w:rPr>
                <w:rFonts w:ascii="ARIAL" w:hAnsi="ARIAL"/>
                <w:sz w:val="14"/>
              </w:rPr>
              <w:t>2/28/2031</w:t>
            </w:r>
          </w:p>
        </w:tc>
        <w:tc>
          <w:tcPr>
            <w:tcW w:w="60" w:type="dxa"/>
            <w:tcBorders/>
            <w:shd w:fill="CEE8F6" w:val="clear"/>
            <w:vAlign w:val="center"/>
          </w:tcPr>
          <w:p>
            <w:pPr>
              <w:pStyle w:val="TableContents"/>
              <w:spacing w:lineRule="atLeast" w:line="240" w:before="0" w:after="0"/>
              <w:rPr/>
            </w:pPr>
            <w:r>
              <w:rPr/>
              <w:t> </w:t>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pPr>
            <w:r>
              <w:rPr/>
              <w:t> </w:t>
            </w:r>
          </w:p>
        </w:tc>
        <w:tc>
          <w:tcPr>
            <w:tcW w:w="64" w:type="dxa"/>
            <w:tcBorders/>
            <w:shd w:fill="CEE8F6" w:val="clear"/>
            <w:vAlign w:val="center"/>
          </w:tcPr>
          <w:p>
            <w:pPr>
              <w:pStyle w:val="TableContents"/>
              <w:spacing w:before="0" w:after="283"/>
              <w:rPr>
                <w:sz w:val="4"/>
                <w:szCs w:val="4"/>
              </w:rPr>
            </w:pPr>
            <w:r>
              <w:rPr>
                <w:sz w:val="4"/>
                <w:szCs w:val="4"/>
              </w:rPr>
            </w:r>
          </w:p>
        </w:tc>
        <w:tc>
          <w:tcPr>
            <w:tcW w:w="556"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pPr>
            <w:r>
              <w:rPr/>
              <w:t> </w:t>
            </w:r>
          </w:p>
        </w:tc>
        <w:tc>
          <w:tcPr>
            <w:tcW w:w="75" w:type="dxa"/>
            <w:tcBorders/>
            <w:shd w:fill="CEE8F6" w:val="clear"/>
            <w:vAlign w:val="center"/>
          </w:tcPr>
          <w:p>
            <w:pPr>
              <w:pStyle w:val="TableContents"/>
              <w:spacing w:before="0" w:after="283"/>
              <w:rPr>
                <w:sz w:val="4"/>
                <w:szCs w:val="4"/>
              </w:rPr>
            </w:pPr>
            <w:r>
              <w:rPr>
                <w:sz w:val="4"/>
                <w:szCs w:val="4"/>
              </w:rPr>
            </w:r>
          </w:p>
        </w:tc>
        <w:tc>
          <w:tcPr>
            <w:tcW w:w="65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pPr>
            <w:r>
              <w:rPr/>
              <w:t> </w:t>
            </w:r>
          </w:p>
        </w:tc>
        <w:tc>
          <w:tcPr>
            <w:tcW w:w="108" w:type="dxa"/>
            <w:tcBorders/>
            <w:shd w:fill="CEE8F6" w:val="clear"/>
            <w:vAlign w:val="center"/>
          </w:tcPr>
          <w:p>
            <w:pPr>
              <w:pStyle w:val="TableContents"/>
              <w:spacing w:before="0" w:after="283"/>
              <w:rPr>
                <w:sz w:val="4"/>
                <w:szCs w:val="4"/>
              </w:rPr>
            </w:pPr>
            <w:r>
              <w:rPr>
                <w:sz w:val="4"/>
                <w:szCs w:val="4"/>
              </w:rPr>
            </w:r>
          </w:p>
        </w:tc>
        <w:tc>
          <w:tcPr>
            <w:tcW w:w="932"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before="0" w:after="283"/>
              <w:rPr>
                <w:sz w:val="4"/>
                <w:szCs w:val="4"/>
              </w:rPr>
            </w:pPr>
            <w:r>
              <w:rPr>
                <w:sz w:val="4"/>
                <w:szCs w:val="4"/>
              </w:rPr>
            </w:r>
          </w:p>
        </w:tc>
        <w:tc>
          <w:tcPr>
            <w:tcW w:w="635" w:type="dxa"/>
            <w:tcBorders/>
            <w:shd w:fill="CEE8F6" w:val="clear"/>
            <w:vAlign w:val="center"/>
          </w:tcPr>
          <w:p>
            <w:pPr>
              <w:pStyle w:val="TableContents"/>
              <w:spacing w:before="0" w:after="283"/>
              <w:rPr>
                <w:sz w:val="4"/>
                <w:szCs w:val="4"/>
              </w:rPr>
            </w:pPr>
            <w:r>
              <w:rPr>
                <w:sz w:val="4"/>
                <w:szCs w:val="4"/>
              </w:rPr>
            </w:r>
          </w:p>
        </w:tc>
        <w:tc>
          <w:tcPr>
            <w:tcW w:w="75" w:type="dxa"/>
            <w:tcBorders/>
            <w:shd w:fill="CEE8F6" w:val="clear"/>
            <w:vAlign w:val="center"/>
          </w:tcPr>
          <w:p>
            <w:pPr>
              <w:pStyle w:val="TableContents"/>
              <w:spacing w:before="0" w:after="283"/>
              <w:rPr>
                <w:sz w:val="4"/>
                <w:szCs w:val="4"/>
              </w:rPr>
            </w:pPr>
            <w:r>
              <w:rPr>
                <w:sz w:val="4"/>
                <w:szCs w:val="4"/>
              </w:rPr>
            </w:r>
          </w:p>
        </w:tc>
      </w:tr>
      <w:tr>
        <w:trPr/>
        <w:tc>
          <w:tcPr>
            <w:tcW w:w="1295"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pPr>
            <w:r>
              <w:rPr/>
              <w:t> </w:t>
            </w:r>
          </w:p>
        </w:tc>
        <w:tc>
          <w:tcPr>
            <w:tcW w:w="132" w:type="dxa"/>
            <w:tcBorders/>
            <w:shd w:fill="CEE8F6" w:val="clear"/>
            <w:vAlign w:val="center"/>
          </w:tcPr>
          <w:p>
            <w:pPr>
              <w:pStyle w:val="TableContents"/>
              <w:spacing w:lineRule="atLeast" w:line="240" w:before="0" w:after="0"/>
              <w:rPr/>
            </w:pPr>
            <w:r>
              <w:rPr/>
              <w:t> </w:t>
            </w:r>
          </w:p>
        </w:tc>
        <w:tc>
          <w:tcPr>
            <w:tcW w:w="1133" w:type="dxa"/>
            <w:tcBorders/>
            <w:shd w:fill="CEE8F6" w:val="clear"/>
            <w:vAlign w:val="center"/>
          </w:tcPr>
          <w:p>
            <w:pPr>
              <w:pStyle w:val="TableContents"/>
              <w:spacing w:lineRule="atLeast" w:line="240" w:before="0" w:after="0"/>
              <w:jc w:val="center"/>
              <w:rPr>
                <w:rFonts w:ascii="ARIAL" w:hAnsi="ARIAL"/>
                <w:sz w:val="14"/>
              </w:rPr>
            </w:pPr>
            <w:r>
              <w:rPr>
                <w:rFonts w:ascii="ARIAL" w:hAnsi="ARIAL"/>
                <w:sz w:val="14"/>
              </w:rPr>
              <w:t>-</w:t>
            </w:r>
          </w:p>
        </w:tc>
        <w:tc>
          <w:tcPr>
            <w:tcW w:w="60" w:type="dxa"/>
            <w:tcBorders/>
            <w:shd w:fill="CEE8F6" w:val="clear"/>
            <w:vAlign w:val="center"/>
          </w:tcPr>
          <w:p>
            <w:pPr>
              <w:pStyle w:val="TableContents"/>
              <w:spacing w:lineRule="atLeast" w:line="240" w:before="0" w:after="0"/>
              <w:rPr/>
            </w:pPr>
            <w:r>
              <w:rPr/>
              <w:t> </w:t>
            </w:r>
          </w:p>
        </w:tc>
        <w:tc>
          <w:tcPr>
            <w:tcW w:w="60" w:type="dxa"/>
            <w:tcBorders/>
            <w:shd w:fill="CEE8F6" w:val="clear"/>
            <w:vAlign w:val="center"/>
          </w:tcPr>
          <w:p>
            <w:pPr>
              <w:pStyle w:val="TableContents"/>
              <w:spacing w:before="0" w:after="283"/>
              <w:rPr/>
            </w:pPr>
            <w:r>
              <w:rPr/>
              <w:t> </w:t>
            </w:r>
          </w:p>
        </w:tc>
        <w:tc>
          <w:tcPr>
            <w:tcW w:w="1445" w:type="dxa"/>
            <w:tcBorders/>
            <w:shd w:fill="CEE8F6" w:val="clear"/>
            <w:vAlign w:val="center"/>
          </w:tcPr>
          <w:p>
            <w:pPr>
              <w:pStyle w:val="TableContents"/>
              <w:spacing w:lineRule="atLeast" w:line="240" w:before="0" w:after="0"/>
              <w:jc w:val="center"/>
              <w:rPr>
                <w:rFonts w:ascii="ARIAL" w:hAnsi="ARIAL"/>
                <w:sz w:val="14"/>
              </w:rPr>
            </w:pPr>
            <w:r>
              <w:rPr>
                <w:rFonts w:ascii="ARIAL" w:hAnsi="ARIAL"/>
                <w:sz w:val="14"/>
              </w:rPr>
              <w:t>75,000</w:t>
            </w:r>
          </w:p>
        </w:tc>
        <w:tc>
          <w:tcPr>
            <w:tcW w:w="60" w:type="dxa"/>
            <w:tcBorders/>
            <w:shd w:fill="CEE8F6" w:val="clear"/>
            <w:vAlign w:val="center"/>
          </w:tcPr>
          <w:p>
            <w:pPr>
              <w:pStyle w:val="TableContents"/>
              <w:spacing w:before="0" w:after="283"/>
              <w:rPr/>
            </w:pPr>
            <w:r>
              <w:rPr/>
              <w:t> </w:t>
            </w:r>
          </w:p>
        </w:tc>
        <w:tc>
          <w:tcPr>
            <w:tcW w:w="1940" w:type="dxa"/>
            <w:tcBorders/>
            <w:shd w:fill="CEE8F6" w:val="clear"/>
            <w:vAlign w:val="center"/>
          </w:tcPr>
          <w:p>
            <w:pPr>
              <w:pStyle w:val="TableContents"/>
              <w:spacing w:lineRule="atLeast" w:line="240" w:before="0" w:after="0"/>
              <w:jc w:val="center"/>
              <w:rPr>
                <w:rFonts w:ascii="ARIAL" w:hAnsi="ARIAL"/>
                <w:sz w:val="14"/>
              </w:rPr>
            </w:pPr>
            <w:r>
              <w:rPr>
                <w:rFonts w:ascii="ARIAL" w:hAnsi="ARIAL"/>
                <w:sz w:val="14"/>
              </w:rPr>
              <w:t>-</w:t>
            </w:r>
          </w:p>
        </w:tc>
        <w:tc>
          <w:tcPr>
            <w:tcW w:w="60" w:type="dxa"/>
            <w:tcBorders/>
            <w:shd w:fill="CEE8F6" w:val="clear"/>
            <w:vAlign w:val="center"/>
          </w:tcPr>
          <w:p>
            <w:pPr>
              <w:pStyle w:val="TableContents"/>
              <w:spacing w:before="0" w:after="283"/>
              <w:rPr/>
            </w:pPr>
            <w:r>
              <w:rPr/>
              <w:t> </w:t>
            </w:r>
          </w:p>
        </w:tc>
        <w:tc>
          <w:tcPr>
            <w:tcW w:w="136" w:type="dxa"/>
            <w:tcBorders/>
            <w:shd w:fill="CEE8F6" w:val="clear"/>
            <w:vAlign w:val="center"/>
          </w:tcPr>
          <w:p>
            <w:pPr>
              <w:pStyle w:val="TableContents"/>
              <w:spacing w:lineRule="atLeast" w:line="240" w:before="0" w:after="0"/>
              <w:rPr>
                <w:rFonts w:ascii="ARIAL" w:hAnsi="ARIAL"/>
                <w:sz w:val="14"/>
              </w:rPr>
            </w:pPr>
            <w:r>
              <w:rPr>
                <w:rFonts w:ascii="ARIAL" w:hAnsi="ARIAL"/>
                <w:sz w:val="14"/>
              </w:rPr>
              <w:t>$</w:t>
            </w:r>
          </w:p>
        </w:tc>
        <w:tc>
          <w:tcPr>
            <w:tcW w:w="739" w:type="dxa"/>
            <w:tcBorders/>
            <w:shd w:fill="CEE8F6" w:val="clear"/>
            <w:vAlign w:val="center"/>
          </w:tcPr>
          <w:p>
            <w:pPr>
              <w:pStyle w:val="TableContents"/>
              <w:spacing w:lineRule="atLeast" w:line="240" w:before="0" w:after="0"/>
              <w:jc w:val="right"/>
              <w:rPr>
                <w:rFonts w:ascii="ARIAL" w:hAnsi="ARIAL"/>
                <w:sz w:val="14"/>
              </w:rPr>
            </w:pPr>
            <w:r>
              <w:rPr>
                <w:rFonts w:ascii="ARIAL" w:hAnsi="ARIAL"/>
                <w:sz w:val="14"/>
              </w:rPr>
              <w:t>10.1800</w:t>
            </w:r>
          </w:p>
        </w:tc>
        <w:tc>
          <w:tcPr>
            <w:tcW w:w="60" w:type="dxa"/>
            <w:tcBorders/>
            <w:shd w:fill="CEE8F6" w:val="clear"/>
            <w:vAlign w:val="center"/>
          </w:tcPr>
          <w:p>
            <w:pPr>
              <w:pStyle w:val="TableContents"/>
              <w:spacing w:lineRule="atLeast" w:line="240" w:before="0" w:after="0"/>
              <w:rPr/>
            </w:pPr>
            <w:r>
              <w:rPr/>
              <w:t> </w:t>
            </w:r>
          </w:p>
        </w:tc>
        <w:tc>
          <w:tcPr>
            <w:tcW w:w="120" w:type="dxa"/>
            <w:tcBorders/>
            <w:shd w:fill="CEE8F6" w:val="clear"/>
            <w:vAlign w:val="center"/>
          </w:tcPr>
          <w:p>
            <w:pPr>
              <w:pStyle w:val="TableContents"/>
              <w:spacing w:before="0" w:after="283"/>
              <w:rPr/>
            </w:pPr>
            <w:r>
              <w:rPr/>
              <w:t>  </w:t>
            </w:r>
          </w:p>
        </w:tc>
        <w:tc>
          <w:tcPr>
            <w:tcW w:w="176" w:type="dxa"/>
            <w:tcBorders/>
            <w:shd w:fill="CEE8F6" w:val="clear"/>
            <w:vAlign w:val="center"/>
          </w:tcPr>
          <w:p>
            <w:pPr>
              <w:pStyle w:val="TableContents"/>
              <w:spacing w:lineRule="atLeast" w:line="240" w:before="0" w:after="0"/>
              <w:rPr/>
            </w:pPr>
            <w:r>
              <w:rPr/>
              <w:t> </w:t>
            </w:r>
          </w:p>
        </w:tc>
        <w:tc>
          <w:tcPr>
            <w:tcW w:w="939" w:type="dxa"/>
            <w:tcBorders/>
            <w:shd w:fill="CEE8F6" w:val="clear"/>
            <w:vAlign w:val="center"/>
          </w:tcPr>
          <w:p>
            <w:pPr>
              <w:pStyle w:val="TableContents"/>
              <w:spacing w:lineRule="atLeast" w:line="240" w:before="0" w:after="0"/>
              <w:jc w:val="right"/>
              <w:rPr>
                <w:rFonts w:ascii="ARIAL" w:hAnsi="ARIAL"/>
                <w:sz w:val="14"/>
              </w:rPr>
            </w:pPr>
            <w:r>
              <w:rPr>
                <w:rFonts w:ascii="ARIAL" w:hAnsi="ARIAL"/>
                <w:sz w:val="14"/>
              </w:rPr>
              <w:t>2/28/2032</w:t>
            </w:r>
          </w:p>
        </w:tc>
        <w:tc>
          <w:tcPr>
            <w:tcW w:w="60" w:type="dxa"/>
            <w:tcBorders/>
            <w:shd w:fill="CEE8F6" w:val="clear"/>
            <w:vAlign w:val="center"/>
          </w:tcPr>
          <w:p>
            <w:pPr>
              <w:pStyle w:val="TableContents"/>
              <w:spacing w:lineRule="atLeast" w:line="240" w:before="0" w:after="0"/>
              <w:rPr/>
            </w:pPr>
            <w:r>
              <w:rPr/>
              <w:t> </w:t>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pPr>
            <w:r>
              <w:rPr/>
              <w:t> </w:t>
            </w:r>
          </w:p>
        </w:tc>
        <w:tc>
          <w:tcPr>
            <w:tcW w:w="64" w:type="dxa"/>
            <w:tcBorders/>
            <w:shd w:fill="CEE8F6" w:val="clear"/>
            <w:vAlign w:val="center"/>
          </w:tcPr>
          <w:p>
            <w:pPr>
              <w:pStyle w:val="TableContents"/>
              <w:spacing w:lineRule="atLeast" w:line="240" w:before="0" w:after="0"/>
              <w:rPr/>
            </w:pPr>
            <w:r>
              <w:rPr/>
              <w:t> </w:t>
            </w:r>
          </w:p>
        </w:tc>
        <w:tc>
          <w:tcPr>
            <w:tcW w:w="556" w:type="dxa"/>
            <w:tcBorders/>
            <w:shd w:fill="CEE8F6" w:val="clear"/>
            <w:vAlign w:val="center"/>
          </w:tcPr>
          <w:p>
            <w:pPr>
              <w:pStyle w:val="TableContents"/>
              <w:spacing w:lineRule="atLeast" w:line="240" w:before="0" w:after="0"/>
              <w:jc w:val="right"/>
              <w:rPr>
                <w:rFonts w:ascii="ARIAL" w:hAnsi="ARIAL"/>
                <w:sz w:val="14"/>
              </w:rPr>
            </w:pPr>
            <w:r>
              <w:rPr>
                <w:rFonts w:ascii="ARIAL" w:hAnsi="ARIAL"/>
                <w:sz w:val="14"/>
              </w:rPr>
              <w:t>140,834</w:t>
            </w:r>
          </w:p>
        </w:tc>
        <w:tc>
          <w:tcPr>
            <w:tcW w:w="60" w:type="dxa"/>
            <w:tcBorders/>
            <w:shd w:fill="CEE8F6" w:val="clear"/>
            <w:vAlign w:val="center"/>
          </w:tcPr>
          <w:p>
            <w:pPr>
              <w:pStyle w:val="TableContents"/>
              <w:spacing w:lineRule="atLeast" w:line="240" w:before="0" w:after="0"/>
              <w:rPr/>
            </w:pPr>
            <w:r>
              <w:rPr/>
              <w:t> </w:t>
            </w:r>
          </w:p>
        </w:tc>
        <w:tc>
          <w:tcPr>
            <w:tcW w:w="60" w:type="dxa"/>
            <w:tcBorders/>
            <w:shd w:fill="CEE8F6" w:val="clear"/>
            <w:vAlign w:val="center"/>
          </w:tcPr>
          <w:p>
            <w:pPr>
              <w:pStyle w:val="TableContents"/>
              <w:spacing w:before="0" w:after="283"/>
              <w:rPr/>
            </w:pPr>
            <w:r>
              <w:rPr/>
              <w:t> </w:t>
            </w:r>
          </w:p>
        </w:tc>
        <w:tc>
          <w:tcPr>
            <w:tcW w:w="75" w:type="dxa"/>
            <w:tcBorders/>
            <w:shd w:fill="CEE8F6" w:val="clear"/>
            <w:vAlign w:val="center"/>
          </w:tcPr>
          <w:p>
            <w:pPr>
              <w:pStyle w:val="TableContents"/>
              <w:spacing w:lineRule="atLeast" w:line="240" w:before="0" w:after="0"/>
              <w:rPr/>
            </w:pPr>
            <w:r>
              <w:rPr/>
              <w:t> </w:t>
            </w:r>
          </w:p>
        </w:tc>
        <w:tc>
          <w:tcPr>
            <w:tcW w:w="650" w:type="dxa"/>
            <w:tcBorders/>
            <w:shd w:fill="CEE8F6" w:val="clear"/>
            <w:vAlign w:val="center"/>
          </w:tcPr>
          <w:p>
            <w:pPr>
              <w:pStyle w:val="TableContents"/>
              <w:spacing w:lineRule="atLeast" w:line="240" w:before="0" w:after="0"/>
              <w:jc w:val="right"/>
              <w:rPr>
                <w:rFonts w:ascii="ARIAL" w:hAnsi="ARIAL"/>
                <w:sz w:val="14"/>
              </w:rPr>
            </w:pPr>
            <w:r>
              <w:rPr>
                <w:rFonts w:ascii="ARIAL" w:hAnsi="ARIAL"/>
                <w:sz w:val="14"/>
              </w:rPr>
              <w:t>608,403</w:t>
            </w:r>
          </w:p>
        </w:tc>
        <w:tc>
          <w:tcPr>
            <w:tcW w:w="60" w:type="dxa"/>
            <w:tcBorders/>
            <w:shd w:fill="CEE8F6" w:val="clear"/>
            <w:vAlign w:val="center"/>
          </w:tcPr>
          <w:p>
            <w:pPr>
              <w:pStyle w:val="TableContents"/>
              <w:spacing w:lineRule="atLeast" w:line="240" w:before="0" w:after="0"/>
              <w:rPr/>
            </w:pPr>
            <w:r>
              <w:rPr/>
              <w:t> </w:t>
            </w:r>
          </w:p>
        </w:tc>
        <w:tc>
          <w:tcPr>
            <w:tcW w:w="60" w:type="dxa"/>
            <w:tcBorders/>
            <w:shd w:fill="CEE8F6" w:val="clear"/>
            <w:vAlign w:val="center"/>
          </w:tcPr>
          <w:p>
            <w:pPr>
              <w:pStyle w:val="TableContents"/>
              <w:spacing w:before="0" w:after="283"/>
              <w:rPr/>
            </w:pPr>
            <w:r>
              <w:rPr/>
              <w:t> </w:t>
            </w:r>
          </w:p>
        </w:tc>
        <w:tc>
          <w:tcPr>
            <w:tcW w:w="108" w:type="dxa"/>
            <w:tcBorders/>
            <w:shd w:fill="CEE8F6" w:val="clear"/>
            <w:vAlign w:val="center"/>
          </w:tcPr>
          <w:p>
            <w:pPr>
              <w:pStyle w:val="TableContents"/>
              <w:spacing w:lineRule="atLeast" w:line="240" w:before="0" w:after="0"/>
              <w:rPr/>
            </w:pPr>
            <w:r>
              <w:rPr/>
              <w:t> </w:t>
            </w:r>
          </w:p>
        </w:tc>
        <w:tc>
          <w:tcPr>
            <w:tcW w:w="932" w:type="dxa"/>
            <w:tcBorders/>
            <w:shd w:fill="CEE8F6" w:val="clear"/>
            <w:vAlign w:val="center"/>
          </w:tcPr>
          <w:p>
            <w:pPr>
              <w:pStyle w:val="TableContents"/>
              <w:spacing w:lineRule="atLeast" w:line="240" w:before="0" w:after="0"/>
              <w:jc w:val="right"/>
              <w:rPr>
                <w:rFonts w:ascii="ARIAL" w:hAnsi="ARIAL"/>
                <w:sz w:val="14"/>
              </w:rPr>
            </w:pPr>
            <w:r>
              <w:rPr>
                <w:rFonts w:ascii="ARIAL" w:hAnsi="ARIAL"/>
                <w:sz w:val="14"/>
              </w:rPr>
              <w:t>395,000</w:t>
            </w:r>
          </w:p>
        </w:tc>
        <w:tc>
          <w:tcPr>
            <w:tcW w:w="60" w:type="dxa"/>
            <w:tcBorders/>
            <w:shd w:fill="CEE8F6" w:val="clear"/>
            <w:vAlign w:val="center"/>
          </w:tcPr>
          <w:p>
            <w:pPr>
              <w:pStyle w:val="TableContents"/>
              <w:spacing w:lineRule="atLeast" w:line="240" w:before="0" w:after="0"/>
              <w:rPr/>
            </w:pPr>
            <w:r>
              <w:rPr/>
              <w:t> </w:t>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lineRule="atLeast" w:line="240" w:before="0" w:after="0"/>
              <w:rPr/>
            </w:pPr>
            <w:r>
              <w:rPr/>
              <w:t> </w:t>
            </w:r>
          </w:p>
        </w:tc>
        <w:tc>
          <w:tcPr>
            <w:tcW w:w="635" w:type="dxa"/>
            <w:tcBorders/>
            <w:shd w:fill="CEE8F6" w:val="clear"/>
            <w:vAlign w:val="center"/>
          </w:tcPr>
          <w:p>
            <w:pPr>
              <w:pStyle w:val="TableContents"/>
              <w:spacing w:lineRule="atLeast" w:line="240" w:before="0" w:after="0"/>
              <w:jc w:val="right"/>
              <w:rPr>
                <w:rFonts w:ascii="ARIAL" w:hAnsi="ARIAL"/>
                <w:sz w:val="14"/>
              </w:rPr>
            </w:pPr>
            <w:r>
              <w:rPr>
                <w:rFonts w:ascii="ARIAL" w:hAnsi="ARIAL"/>
                <w:sz w:val="14"/>
              </w:rPr>
              <w:t>1,706,400</w:t>
            </w:r>
          </w:p>
        </w:tc>
        <w:tc>
          <w:tcPr>
            <w:tcW w:w="75" w:type="dxa"/>
            <w:tcBorders/>
            <w:shd w:fill="CEE8F6" w:val="clear"/>
            <w:vAlign w:val="center"/>
          </w:tcPr>
          <w:p>
            <w:pPr>
              <w:pStyle w:val="TableContents"/>
              <w:spacing w:lineRule="atLeast" w:line="240" w:before="0" w:after="0"/>
              <w:rPr/>
            </w:pPr>
            <w:r>
              <w:rPr/>
              <w:t> </w:t>
            </w:r>
          </w:p>
        </w:tc>
      </w:tr>
      <w:tr>
        <w:trPr/>
        <w:tc>
          <w:tcPr>
            <w:tcW w:w="1295" w:type="dxa"/>
            <w:tcBorders/>
            <w:shd w:fill="auto" w:val="clear"/>
            <w:vAlign w:val="center"/>
          </w:tcPr>
          <w:p>
            <w:pPr>
              <w:pStyle w:val="TableContents"/>
              <w:spacing w:lineRule="atLeast" w:line="240" w:before="0" w:after="0"/>
              <w:rPr>
                <w:rFonts w:ascii="ARIAL" w:hAnsi="ARIAL"/>
                <w:sz w:val="14"/>
              </w:rPr>
            </w:pPr>
            <w:r>
              <w:rPr>
                <w:rFonts w:ascii="ARIAL" w:hAnsi="ARIAL"/>
                <w:sz w:val="14"/>
              </w:rPr>
              <w:t>Lynn T. Simon, M.D.</w:t>
            </w:r>
          </w:p>
        </w:tc>
        <w:tc>
          <w:tcPr>
            <w:tcW w:w="60" w:type="dxa"/>
            <w:tcBorders/>
            <w:shd w:fill="auto" w:val="clear"/>
            <w:vAlign w:val="center"/>
          </w:tcPr>
          <w:p>
            <w:pPr>
              <w:pStyle w:val="TableContents"/>
              <w:spacing w:before="0" w:after="283"/>
              <w:rPr/>
            </w:pPr>
            <w:r>
              <w:rPr/>
              <w:t> </w:t>
            </w:r>
          </w:p>
        </w:tc>
        <w:tc>
          <w:tcPr>
            <w:tcW w:w="132" w:type="dxa"/>
            <w:tcBorders/>
            <w:shd w:fill="auto" w:val="clear"/>
            <w:vAlign w:val="center"/>
          </w:tcPr>
          <w:p>
            <w:pPr>
              <w:pStyle w:val="TableContents"/>
              <w:spacing w:lineRule="atLeast" w:line="240" w:before="0" w:after="0"/>
              <w:rPr/>
            </w:pPr>
            <w:r>
              <w:rPr/>
              <w:t> </w:t>
            </w:r>
          </w:p>
        </w:tc>
        <w:tc>
          <w:tcPr>
            <w:tcW w:w="1133" w:type="dxa"/>
            <w:tcBorders/>
            <w:shd w:fill="auto" w:val="clear"/>
            <w:vAlign w:val="center"/>
          </w:tcPr>
          <w:p>
            <w:pPr>
              <w:pStyle w:val="TableContents"/>
              <w:spacing w:lineRule="atLeast" w:line="240" w:before="0" w:after="0"/>
              <w:jc w:val="right"/>
              <w:rPr>
                <w:rFonts w:ascii="ARIAL" w:hAnsi="ARIAL"/>
                <w:sz w:val="14"/>
              </w:rPr>
            </w:pPr>
            <w:r>
              <w:rPr>
                <w:rFonts w:ascii="ARIAL" w:hAnsi="ARIAL"/>
                <w:sz w:val="14"/>
              </w:rPr>
              <w:t>26,250</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1445" w:type="dxa"/>
            <w:tcBorders/>
            <w:shd w:fill="auto" w:val="clear"/>
            <w:vAlign w:val="center"/>
          </w:tcPr>
          <w:p>
            <w:pPr>
              <w:pStyle w:val="TableContents"/>
              <w:spacing w:lineRule="atLeast" w:line="240" w:before="0" w:after="0"/>
              <w:jc w:val="center"/>
              <w:rPr>
                <w:rFonts w:ascii="ARIAL" w:hAnsi="ARIAL"/>
                <w:sz w:val="14"/>
              </w:rPr>
            </w:pPr>
            <w:r>
              <w:rPr>
                <w:rFonts w:ascii="ARIAL" w:hAnsi="ARIAL"/>
                <w:sz w:val="14"/>
              </w:rPr>
              <w:t>-</w:t>
            </w:r>
          </w:p>
        </w:tc>
        <w:tc>
          <w:tcPr>
            <w:tcW w:w="60" w:type="dxa"/>
            <w:tcBorders/>
            <w:shd w:fill="auto" w:val="clear"/>
            <w:vAlign w:val="center"/>
          </w:tcPr>
          <w:p>
            <w:pPr>
              <w:pStyle w:val="TableContents"/>
              <w:spacing w:before="0" w:after="283"/>
              <w:rPr/>
            </w:pPr>
            <w:r>
              <w:rPr/>
              <w:t> </w:t>
            </w:r>
          </w:p>
        </w:tc>
        <w:tc>
          <w:tcPr>
            <w:tcW w:w="1940" w:type="dxa"/>
            <w:tcBorders/>
            <w:shd w:fill="auto" w:val="clear"/>
            <w:vAlign w:val="center"/>
          </w:tcPr>
          <w:p>
            <w:pPr>
              <w:pStyle w:val="TableContents"/>
              <w:spacing w:lineRule="atLeast" w:line="240" w:before="0" w:after="0"/>
              <w:jc w:val="center"/>
              <w:rPr>
                <w:rFonts w:ascii="ARIAL" w:hAnsi="ARIAL"/>
                <w:sz w:val="14"/>
              </w:rPr>
            </w:pPr>
            <w:r>
              <w:rPr>
                <w:rFonts w:ascii="ARIAL" w:hAnsi="ARIAL"/>
                <w:sz w:val="14"/>
              </w:rPr>
              <w:t>-</w:t>
            </w:r>
          </w:p>
        </w:tc>
        <w:tc>
          <w:tcPr>
            <w:tcW w:w="60" w:type="dxa"/>
            <w:tcBorders/>
            <w:shd w:fill="auto" w:val="clear"/>
            <w:vAlign w:val="center"/>
          </w:tcPr>
          <w:p>
            <w:pPr>
              <w:pStyle w:val="TableContents"/>
              <w:spacing w:before="0" w:after="283"/>
              <w:rPr/>
            </w:pPr>
            <w:r>
              <w:rPr/>
              <w:t> </w:t>
            </w:r>
          </w:p>
        </w:tc>
        <w:tc>
          <w:tcPr>
            <w:tcW w:w="136" w:type="dxa"/>
            <w:tcBorders/>
            <w:shd w:fill="auto" w:val="clear"/>
            <w:vAlign w:val="center"/>
          </w:tcPr>
          <w:p>
            <w:pPr>
              <w:pStyle w:val="TableContents"/>
              <w:spacing w:lineRule="atLeast" w:line="240" w:before="0" w:after="0"/>
              <w:rPr>
                <w:rFonts w:ascii="ARIAL" w:hAnsi="ARIAL"/>
                <w:sz w:val="14"/>
              </w:rPr>
            </w:pPr>
            <w:r>
              <w:rPr>
                <w:rFonts w:ascii="ARIAL" w:hAnsi="ARIAL"/>
                <w:sz w:val="14"/>
              </w:rPr>
              <w:t>$</w:t>
            </w:r>
          </w:p>
        </w:tc>
        <w:tc>
          <w:tcPr>
            <w:tcW w:w="739" w:type="dxa"/>
            <w:tcBorders/>
            <w:shd w:fill="auto" w:val="clear"/>
            <w:vAlign w:val="center"/>
          </w:tcPr>
          <w:p>
            <w:pPr>
              <w:pStyle w:val="TableContents"/>
              <w:spacing w:lineRule="atLeast" w:line="240" w:before="0" w:after="0"/>
              <w:jc w:val="right"/>
              <w:rPr>
                <w:rFonts w:ascii="ARIAL" w:hAnsi="ARIAL"/>
                <w:sz w:val="14"/>
              </w:rPr>
            </w:pPr>
            <w:r>
              <w:rPr>
                <w:rFonts w:ascii="ARIAL" w:hAnsi="ARIAL"/>
                <w:sz w:val="14"/>
              </w:rPr>
              <w:t>4.9900</w:t>
            </w:r>
          </w:p>
        </w:tc>
        <w:tc>
          <w:tcPr>
            <w:tcW w:w="60" w:type="dxa"/>
            <w:tcBorders/>
            <w:shd w:fill="auto" w:val="clear"/>
            <w:vAlign w:val="center"/>
          </w:tcPr>
          <w:p>
            <w:pPr>
              <w:pStyle w:val="TableContents"/>
              <w:spacing w:lineRule="atLeast" w:line="240" w:before="0" w:after="0"/>
              <w:rPr/>
            </w:pPr>
            <w:r>
              <w:rPr/>
              <w:t> </w:t>
            </w:r>
          </w:p>
        </w:tc>
        <w:tc>
          <w:tcPr>
            <w:tcW w:w="120" w:type="dxa"/>
            <w:tcBorders/>
            <w:shd w:fill="auto" w:val="clear"/>
            <w:vAlign w:val="center"/>
          </w:tcPr>
          <w:p>
            <w:pPr>
              <w:pStyle w:val="TableContents"/>
              <w:spacing w:before="0" w:after="283"/>
              <w:rPr/>
            </w:pPr>
            <w:r>
              <w:rPr/>
              <w:t>  </w:t>
            </w:r>
          </w:p>
        </w:tc>
        <w:tc>
          <w:tcPr>
            <w:tcW w:w="176" w:type="dxa"/>
            <w:tcBorders/>
            <w:shd w:fill="auto" w:val="clear"/>
            <w:vAlign w:val="center"/>
          </w:tcPr>
          <w:p>
            <w:pPr>
              <w:pStyle w:val="TableContents"/>
              <w:spacing w:lineRule="atLeast" w:line="240" w:before="0" w:after="0"/>
              <w:rPr/>
            </w:pPr>
            <w:r>
              <w:rPr/>
              <w:t> </w:t>
            </w:r>
          </w:p>
        </w:tc>
        <w:tc>
          <w:tcPr>
            <w:tcW w:w="939" w:type="dxa"/>
            <w:tcBorders/>
            <w:shd w:fill="auto" w:val="clear"/>
            <w:vAlign w:val="center"/>
          </w:tcPr>
          <w:p>
            <w:pPr>
              <w:pStyle w:val="TableContents"/>
              <w:spacing w:lineRule="atLeast" w:line="240" w:before="0" w:after="0"/>
              <w:jc w:val="right"/>
              <w:rPr>
                <w:rFonts w:ascii="ARIAL" w:hAnsi="ARIAL"/>
                <w:sz w:val="14"/>
              </w:rPr>
            </w:pPr>
            <w:r>
              <w:rPr>
                <w:rFonts w:ascii="ARIAL" w:hAnsi="ARIAL"/>
                <w:sz w:val="14"/>
              </w:rPr>
              <w:t>2/28/2029</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sz w:val="4"/>
                <w:szCs w:val="4"/>
              </w:rPr>
            </w:pPr>
            <w:r>
              <w:rPr>
                <w:sz w:val="4"/>
                <w:szCs w:val="4"/>
              </w:rPr>
            </w:r>
          </w:p>
        </w:tc>
        <w:tc>
          <w:tcPr>
            <w:tcW w:w="6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08" w:type="dxa"/>
            <w:tcBorders/>
            <w:shd w:fill="auto" w:val="clear"/>
            <w:vAlign w:val="center"/>
          </w:tcPr>
          <w:p>
            <w:pPr>
              <w:pStyle w:val="TableContents"/>
              <w:spacing w:before="0" w:after="283"/>
              <w:rPr>
                <w:sz w:val="4"/>
                <w:szCs w:val="4"/>
              </w:rPr>
            </w:pPr>
            <w:r>
              <w:rPr>
                <w:sz w:val="4"/>
                <w:szCs w:val="4"/>
              </w:rPr>
            </w:r>
          </w:p>
        </w:tc>
        <w:tc>
          <w:tcPr>
            <w:tcW w:w="9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35"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2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32" w:type="dxa"/>
            <w:tcBorders/>
            <w:shd w:fill="auto" w:val="clear"/>
            <w:vAlign w:val="center"/>
          </w:tcPr>
          <w:p>
            <w:pPr>
              <w:pStyle w:val="TableContents"/>
              <w:spacing w:lineRule="atLeast" w:line="240" w:before="0" w:after="0"/>
              <w:rPr/>
            </w:pPr>
            <w:r>
              <w:rPr/>
              <w:t> </w:t>
            </w:r>
          </w:p>
        </w:tc>
        <w:tc>
          <w:tcPr>
            <w:tcW w:w="1133" w:type="dxa"/>
            <w:tcBorders/>
            <w:shd w:fill="auto" w:val="clear"/>
            <w:vAlign w:val="center"/>
          </w:tcPr>
          <w:p>
            <w:pPr>
              <w:pStyle w:val="TableContents"/>
              <w:spacing w:lineRule="atLeast" w:line="240" w:before="0" w:after="0"/>
              <w:jc w:val="right"/>
              <w:rPr>
                <w:rFonts w:ascii="ARIAL" w:hAnsi="ARIAL"/>
                <w:sz w:val="14"/>
              </w:rPr>
            </w:pPr>
            <w:r>
              <w:rPr>
                <w:rFonts w:ascii="ARIAL" w:hAnsi="ARIAL"/>
                <w:sz w:val="14"/>
              </w:rPr>
              <w:t>17,500</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1445" w:type="dxa"/>
            <w:tcBorders/>
            <w:shd w:fill="auto" w:val="clear"/>
            <w:vAlign w:val="center"/>
          </w:tcPr>
          <w:p>
            <w:pPr>
              <w:pStyle w:val="TableContents"/>
              <w:spacing w:lineRule="atLeast" w:line="240" w:before="0" w:after="0"/>
              <w:jc w:val="center"/>
              <w:rPr>
                <w:rFonts w:ascii="ARIAL" w:hAnsi="ARIAL"/>
                <w:sz w:val="14"/>
              </w:rPr>
            </w:pPr>
            <w:r>
              <w:rPr>
                <w:rFonts w:ascii="ARIAL" w:hAnsi="ARIAL"/>
                <w:sz w:val="14"/>
              </w:rPr>
              <w:t>8,750</w:t>
            </w:r>
          </w:p>
        </w:tc>
        <w:tc>
          <w:tcPr>
            <w:tcW w:w="60" w:type="dxa"/>
            <w:tcBorders/>
            <w:shd w:fill="auto" w:val="clear"/>
            <w:vAlign w:val="center"/>
          </w:tcPr>
          <w:p>
            <w:pPr>
              <w:pStyle w:val="TableContents"/>
              <w:spacing w:before="0" w:after="283"/>
              <w:rPr/>
            </w:pPr>
            <w:r>
              <w:rPr/>
              <w:t> </w:t>
            </w:r>
          </w:p>
        </w:tc>
        <w:tc>
          <w:tcPr>
            <w:tcW w:w="1940" w:type="dxa"/>
            <w:tcBorders/>
            <w:shd w:fill="auto" w:val="clear"/>
            <w:vAlign w:val="center"/>
          </w:tcPr>
          <w:p>
            <w:pPr>
              <w:pStyle w:val="TableContents"/>
              <w:spacing w:lineRule="atLeast" w:line="240" w:before="0" w:after="0"/>
              <w:jc w:val="center"/>
              <w:rPr>
                <w:rFonts w:ascii="ARIAL" w:hAnsi="ARIAL"/>
                <w:sz w:val="14"/>
              </w:rPr>
            </w:pPr>
            <w:r>
              <w:rPr>
                <w:rFonts w:ascii="ARIAL" w:hAnsi="ARIAL"/>
                <w:sz w:val="14"/>
              </w:rPr>
              <w:t>-</w:t>
            </w:r>
          </w:p>
        </w:tc>
        <w:tc>
          <w:tcPr>
            <w:tcW w:w="60" w:type="dxa"/>
            <w:tcBorders/>
            <w:shd w:fill="auto" w:val="clear"/>
            <w:vAlign w:val="center"/>
          </w:tcPr>
          <w:p>
            <w:pPr>
              <w:pStyle w:val="TableContents"/>
              <w:spacing w:before="0" w:after="283"/>
              <w:rPr/>
            </w:pPr>
            <w:r>
              <w:rPr/>
              <w:t> </w:t>
            </w:r>
          </w:p>
        </w:tc>
        <w:tc>
          <w:tcPr>
            <w:tcW w:w="136" w:type="dxa"/>
            <w:tcBorders/>
            <w:shd w:fill="auto" w:val="clear"/>
            <w:vAlign w:val="center"/>
          </w:tcPr>
          <w:p>
            <w:pPr>
              <w:pStyle w:val="TableContents"/>
              <w:spacing w:lineRule="atLeast" w:line="240" w:before="0" w:after="0"/>
              <w:rPr>
                <w:rFonts w:ascii="ARIAL" w:hAnsi="ARIAL"/>
                <w:sz w:val="14"/>
              </w:rPr>
            </w:pPr>
            <w:r>
              <w:rPr>
                <w:rFonts w:ascii="ARIAL" w:hAnsi="ARIAL"/>
                <w:sz w:val="14"/>
              </w:rPr>
              <w:t>$</w:t>
            </w:r>
          </w:p>
        </w:tc>
        <w:tc>
          <w:tcPr>
            <w:tcW w:w="739" w:type="dxa"/>
            <w:tcBorders/>
            <w:shd w:fill="auto" w:val="clear"/>
            <w:vAlign w:val="center"/>
          </w:tcPr>
          <w:p>
            <w:pPr>
              <w:pStyle w:val="TableContents"/>
              <w:spacing w:lineRule="atLeast" w:line="240" w:before="0" w:after="0"/>
              <w:jc w:val="right"/>
              <w:rPr>
                <w:rFonts w:ascii="ARIAL" w:hAnsi="ARIAL"/>
                <w:sz w:val="14"/>
              </w:rPr>
            </w:pPr>
            <w:r>
              <w:rPr>
                <w:rFonts w:ascii="ARIAL" w:hAnsi="ARIAL"/>
                <w:sz w:val="14"/>
              </w:rPr>
              <w:t>4.9300</w:t>
            </w:r>
          </w:p>
        </w:tc>
        <w:tc>
          <w:tcPr>
            <w:tcW w:w="60" w:type="dxa"/>
            <w:tcBorders/>
            <w:shd w:fill="auto" w:val="clear"/>
            <w:vAlign w:val="center"/>
          </w:tcPr>
          <w:p>
            <w:pPr>
              <w:pStyle w:val="TableContents"/>
              <w:spacing w:lineRule="atLeast" w:line="240" w:before="0" w:after="0"/>
              <w:rPr/>
            </w:pPr>
            <w:r>
              <w:rPr/>
              <w:t> </w:t>
            </w:r>
          </w:p>
        </w:tc>
        <w:tc>
          <w:tcPr>
            <w:tcW w:w="120" w:type="dxa"/>
            <w:tcBorders/>
            <w:shd w:fill="auto" w:val="clear"/>
            <w:vAlign w:val="center"/>
          </w:tcPr>
          <w:p>
            <w:pPr>
              <w:pStyle w:val="TableContents"/>
              <w:spacing w:before="0" w:after="283"/>
              <w:rPr/>
            </w:pPr>
            <w:r>
              <w:rPr/>
              <w:t>  </w:t>
            </w:r>
          </w:p>
        </w:tc>
        <w:tc>
          <w:tcPr>
            <w:tcW w:w="176" w:type="dxa"/>
            <w:tcBorders/>
            <w:shd w:fill="auto" w:val="clear"/>
            <w:vAlign w:val="center"/>
          </w:tcPr>
          <w:p>
            <w:pPr>
              <w:pStyle w:val="TableContents"/>
              <w:spacing w:lineRule="atLeast" w:line="240" w:before="0" w:after="0"/>
              <w:rPr/>
            </w:pPr>
            <w:r>
              <w:rPr/>
              <w:t> </w:t>
            </w:r>
          </w:p>
        </w:tc>
        <w:tc>
          <w:tcPr>
            <w:tcW w:w="939" w:type="dxa"/>
            <w:tcBorders/>
            <w:shd w:fill="auto" w:val="clear"/>
            <w:vAlign w:val="center"/>
          </w:tcPr>
          <w:p>
            <w:pPr>
              <w:pStyle w:val="TableContents"/>
              <w:spacing w:lineRule="atLeast" w:line="240" w:before="0" w:after="0"/>
              <w:jc w:val="right"/>
              <w:rPr>
                <w:rFonts w:ascii="ARIAL" w:hAnsi="ARIAL"/>
                <w:sz w:val="14"/>
              </w:rPr>
            </w:pPr>
            <w:r>
              <w:rPr>
                <w:rFonts w:ascii="ARIAL" w:hAnsi="ARIAL"/>
                <w:sz w:val="14"/>
              </w:rPr>
              <w:t>2/28/2030</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sz w:val="4"/>
                <w:szCs w:val="4"/>
              </w:rPr>
            </w:pPr>
            <w:r>
              <w:rPr>
                <w:sz w:val="4"/>
                <w:szCs w:val="4"/>
              </w:rPr>
            </w:r>
          </w:p>
        </w:tc>
        <w:tc>
          <w:tcPr>
            <w:tcW w:w="6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08" w:type="dxa"/>
            <w:tcBorders/>
            <w:shd w:fill="auto" w:val="clear"/>
            <w:vAlign w:val="center"/>
          </w:tcPr>
          <w:p>
            <w:pPr>
              <w:pStyle w:val="TableContents"/>
              <w:spacing w:before="0" w:after="283"/>
              <w:rPr>
                <w:sz w:val="4"/>
                <w:szCs w:val="4"/>
              </w:rPr>
            </w:pPr>
            <w:r>
              <w:rPr>
                <w:sz w:val="4"/>
                <w:szCs w:val="4"/>
              </w:rPr>
            </w:r>
          </w:p>
        </w:tc>
        <w:tc>
          <w:tcPr>
            <w:tcW w:w="9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35"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2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32" w:type="dxa"/>
            <w:tcBorders/>
            <w:shd w:fill="auto" w:val="clear"/>
            <w:vAlign w:val="center"/>
          </w:tcPr>
          <w:p>
            <w:pPr>
              <w:pStyle w:val="TableContents"/>
              <w:spacing w:lineRule="atLeast" w:line="240" w:before="0" w:after="0"/>
              <w:rPr/>
            </w:pPr>
            <w:r>
              <w:rPr/>
              <w:t> </w:t>
            </w:r>
          </w:p>
        </w:tc>
        <w:tc>
          <w:tcPr>
            <w:tcW w:w="1133" w:type="dxa"/>
            <w:tcBorders/>
            <w:shd w:fill="auto" w:val="clear"/>
            <w:vAlign w:val="center"/>
          </w:tcPr>
          <w:p>
            <w:pPr>
              <w:pStyle w:val="TableContents"/>
              <w:spacing w:lineRule="atLeast" w:line="240" w:before="0" w:after="0"/>
              <w:jc w:val="right"/>
              <w:rPr>
                <w:rFonts w:ascii="ARIAL" w:hAnsi="ARIAL"/>
                <w:sz w:val="14"/>
              </w:rPr>
            </w:pPr>
            <w:r>
              <w:rPr>
                <w:rFonts w:ascii="ARIAL" w:hAnsi="ARIAL"/>
                <w:sz w:val="14"/>
              </w:rPr>
              <w:t>13,333</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1445" w:type="dxa"/>
            <w:tcBorders/>
            <w:shd w:fill="auto" w:val="clear"/>
            <w:vAlign w:val="center"/>
          </w:tcPr>
          <w:p>
            <w:pPr>
              <w:pStyle w:val="TableContents"/>
              <w:spacing w:lineRule="atLeast" w:line="240" w:before="0" w:after="0"/>
              <w:jc w:val="center"/>
              <w:rPr>
                <w:rFonts w:ascii="ARIAL" w:hAnsi="ARIAL"/>
                <w:sz w:val="14"/>
              </w:rPr>
            </w:pPr>
            <w:r>
              <w:rPr>
                <w:rFonts w:ascii="ARIAL" w:hAnsi="ARIAL"/>
                <w:sz w:val="14"/>
              </w:rPr>
              <w:t>26,667</w:t>
            </w:r>
          </w:p>
        </w:tc>
        <w:tc>
          <w:tcPr>
            <w:tcW w:w="60" w:type="dxa"/>
            <w:tcBorders/>
            <w:shd w:fill="auto" w:val="clear"/>
            <w:vAlign w:val="center"/>
          </w:tcPr>
          <w:p>
            <w:pPr>
              <w:pStyle w:val="TableContents"/>
              <w:spacing w:before="0" w:after="283"/>
              <w:rPr/>
            </w:pPr>
            <w:r>
              <w:rPr/>
              <w:t> </w:t>
            </w:r>
          </w:p>
        </w:tc>
        <w:tc>
          <w:tcPr>
            <w:tcW w:w="1940" w:type="dxa"/>
            <w:tcBorders/>
            <w:shd w:fill="auto" w:val="clear"/>
            <w:vAlign w:val="center"/>
          </w:tcPr>
          <w:p>
            <w:pPr>
              <w:pStyle w:val="TableContents"/>
              <w:spacing w:lineRule="atLeast" w:line="240" w:before="0" w:after="0"/>
              <w:jc w:val="center"/>
              <w:rPr>
                <w:rFonts w:ascii="ARIAL" w:hAnsi="ARIAL"/>
                <w:sz w:val="14"/>
              </w:rPr>
            </w:pPr>
            <w:r>
              <w:rPr>
                <w:rFonts w:ascii="ARIAL" w:hAnsi="ARIAL"/>
                <w:sz w:val="14"/>
              </w:rPr>
              <w:t>-</w:t>
            </w:r>
          </w:p>
        </w:tc>
        <w:tc>
          <w:tcPr>
            <w:tcW w:w="60" w:type="dxa"/>
            <w:tcBorders/>
            <w:shd w:fill="auto" w:val="clear"/>
            <w:vAlign w:val="center"/>
          </w:tcPr>
          <w:p>
            <w:pPr>
              <w:pStyle w:val="TableContents"/>
              <w:spacing w:before="0" w:after="283"/>
              <w:rPr/>
            </w:pPr>
            <w:r>
              <w:rPr/>
              <w:t> </w:t>
            </w:r>
          </w:p>
        </w:tc>
        <w:tc>
          <w:tcPr>
            <w:tcW w:w="136" w:type="dxa"/>
            <w:tcBorders/>
            <w:shd w:fill="auto" w:val="clear"/>
            <w:vAlign w:val="center"/>
          </w:tcPr>
          <w:p>
            <w:pPr>
              <w:pStyle w:val="TableContents"/>
              <w:spacing w:lineRule="atLeast" w:line="240" w:before="0" w:after="0"/>
              <w:rPr>
                <w:rFonts w:ascii="ARIAL" w:hAnsi="ARIAL"/>
                <w:sz w:val="14"/>
              </w:rPr>
            </w:pPr>
            <w:r>
              <w:rPr>
                <w:rFonts w:ascii="ARIAL" w:hAnsi="ARIAL"/>
                <w:sz w:val="14"/>
              </w:rPr>
              <w:t>$</w:t>
            </w:r>
          </w:p>
        </w:tc>
        <w:tc>
          <w:tcPr>
            <w:tcW w:w="739" w:type="dxa"/>
            <w:tcBorders/>
            <w:shd w:fill="auto" w:val="clear"/>
            <w:vAlign w:val="center"/>
          </w:tcPr>
          <w:p>
            <w:pPr>
              <w:pStyle w:val="TableContents"/>
              <w:spacing w:lineRule="atLeast" w:line="240" w:before="0" w:after="0"/>
              <w:jc w:val="right"/>
              <w:rPr>
                <w:rFonts w:ascii="ARIAL" w:hAnsi="ARIAL"/>
                <w:sz w:val="14"/>
              </w:rPr>
            </w:pPr>
            <w:r>
              <w:rPr>
                <w:rFonts w:ascii="ARIAL" w:hAnsi="ARIAL"/>
                <w:sz w:val="14"/>
              </w:rPr>
              <w:t>8.8100</w:t>
            </w:r>
          </w:p>
        </w:tc>
        <w:tc>
          <w:tcPr>
            <w:tcW w:w="60" w:type="dxa"/>
            <w:tcBorders/>
            <w:shd w:fill="auto" w:val="clear"/>
            <w:vAlign w:val="center"/>
          </w:tcPr>
          <w:p>
            <w:pPr>
              <w:pStyle w:val="TableContents"/>
              <w:spacing w:lineRule="atLeast" w:line="240" w:before="0" w:after="0"/>
              <w:rPr/>
            </w:pPr>
            <w:r>
              <w:rPr/>
              <w:t> </w:t>
            </w:r>
          </w:p>
        </w:tc>
        <w:tc>
          <w:tcPr>
            <w:tcW w:w="120" w:type="dxa"/>
            <w:tcBorders/>
            <w:shd w:fill="auto" w:val="clear"/>
            <w:vAlign w:val="center"/>
          </w:tcPr>
          <w:p>
            <w:pPr>
              <w:pStyle w:val="TableContents"/>
              <w:spacing w:before="0" w:after="283"/>
              <w:rPr/>
            </w:pPr>
            <w:r>
              <w:rPr/>
              <w:t>  </w:t>
            </w:r>
          </w:p>
        </w:tc>
        <w:tc>
          <w:tcPr>
            <w:tcW w:w="176" w:type="dxa"/>
            <w:tcBorders/>
            <w:shd w:fill="auto" w:val="clear"/>
            <w:vAlign w:val="center"/>
          </w:tcPr>
          <w:p>
            <w:pPr>
              <w:pStyle w:val="TableContents"/>
              <w:spacing w:lineRule="atLeast" w:line="240" w:before="0" w:after="0"/>
              <w:rPr/>
            </w:pPr>
            <w:r>
              <w:rPr/>
              <w:t> </w:t>
            </w:r>
          </w:p>
        </w:tc>
        <w:tc>
          <w:tcPr>
            <w:tcW w:w="939" w:type="dxa"/>
            <w:tcBorders/>
            <w:shd w:fill="auto" w:val="clear"/>
            <w:vAlign w:val="center"/>
          </w:tcPr>
          <w:p>
            <w:pPr>
              <w:pStyle w:val="TableContents"/>
              <w:spacing w:lineRule="atLeast" w:line="240" w:before="0" w:after="0"/>
              <w:jc w:val="right"/>
              <w:rPr>
                <w:rFonts w:ascii="ARIAL" w:hAnsi="ARIAL"/>
                <w:sz w:val="14"/>
              </w:rPr>
            </w:pPr>
            <w:r>
              <w:rPr>
                <w:rFonts w:ascii="ARIAL" w:hAnsi="ARIAL"/>
                <w:sz w:val="14"/>
              </w:rPr>
              <w:t>2/28/2031</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sz w:val="4"/>
                <w:szCs w:val="4"/>
              </w:rPr>
            </w:pPr>
            <w:r>
              <w:rPr>
                <w:sz w:val="4"/>
                <w:szCs w:val="4"/>
              </w:rPr>
            </w:r>
          </w:p>
        </w:tc>
        <w:tc>
          <w:tcPr>
            <w:tcW w:w="6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08" w:type="dxa"/>
            <w:tcBorders/>
            <w:shd w:fill="auto" w:val="clear"/>
            <w:vAlign w:val="center"/>
          </w:tcPr>
          <w:p>
            <w:pPr>
              <w:pStyle w:val="TableContents"/>
              <w:spacing w:before="0" w:after="283"/>
              <w:rPr>
                <w:sz w:val="4"/>
                <w:szCs w:val="4"/>
              </w:rPr>
            </w:pPr>
            <w:r>
              <w:rPr>
                <w:sz w:val="4"/>
                <w:szCs w:val="4"/>
              </w:rPr>
            </w:r>
          </w:p>
        </w:tc>
        <w:tc>
          <w:tcPr>
            <w:tcW w:w="9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35"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2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32" w:type="dxa"/>
            <w:tcBorders/>
            <w:shd w:fill="auto" w:val="clear"/>
            <w:vAlign w:val="center"/>
          </w:tcPr>
          <w:p>
            <w:pPr>
              <w:pStyle w:val="TableContents"/>
              <w:spacing w:lineRule="atLeast" w:line="240" w:before="0" w:after="0"/>
              <w:rPr/>
            </w:pPr>
            <w:r>
              <w:rPr/>
              <w:t> </w:t>
            </w:r>
          </w:p>
        </w:tc>
        <w:tc>
          <w:tcPr>
            <w:tcW w:w="1133" w:type="dxa"/>
            <w:tcBorders/>
            <w:shd w:fill="auto" w:val="clear"/>
            <w:vAlign w:val="center"/>
          </w:tcPr>
          <w:p>
            <w:pPr>
              <w:pStyle w:val="TableContents"/>
              <w:spacing w:lineRule="atLeast" w:line="240" w:before="0" w:after="0"/>
              <w:jc w:val="center"/>
              <w:rPr>
                <w:rFonts w:ascii="ARIAL" w:hAnsi="ARIAL"/>
                <w:sz w:val="14"/>
              </w:rPr>
            </w:pPr>
            <w:r>
              <w:rPr>
                <w:rFonts w:ascii="ARIAL" w:hAnsi="ARIAL"/>
                <w:sz w:val="14"/>
              </w:rPr>
              <w:t>-</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1445" w:type="dxa"/>
            <w:tcBorders/>
            <w:shd w:fill="auto" w:val="clear"/>
            <w:vAlign w:val="center"/>
          </w:tcPr>
          <w:p>
            <w:pPr>
              <w:pStyle w:val="TableContents"/>
              <w:spacing w:lineRule="atLeast" w:line="240" w:before="0" w:after="0"/>
              <w:jc w:val="center"/>
              <w:rPr>
                <w:rFonts w:ascii="ARIAL" w:hAnsi="ARIAL"/>
                <w:sz w:val="14"/>
              </w:rPr>
            </w:pPr>
            <w:r>
              <w:rPr>
                <w:rFonts w:ascii="ARIAL" w:hAnsi="ARIAL"/>
                <w:sz w:val="14"/>
              </w:rPr>
              <w:t>40,000</w:t>
            </w:r>
          </w:p>
        </w:tc>
        <w:tc>
          <w:tcPr>
            <w:tcW w:w="60" w:type="dxa"/>
            <w:tcBorders/>
            <w:shd w:fill="auto" w:val="clear"/>
            <w:vAlign w:val="center"/>
          </w:tcPr>
          <w:p>
            <w:pPr>
              <w:pStyle w:val="TableContents"/>
              <w:spacing w:before="0" w:after="283"/>
              <w:rPr/>
            </w:pPr>
            <w:r>
              <w:rPr/>
              <w:t> </w:t>
            </w:r>
          </w:p>
        </w:tc>
        <w:tc>
          <w:tcPr>
            <w:tcW w:w="1940" w:type="dxa"/>
            <w:tcBorders/>
            <w:shd w:fill="auto" w:val="clear"/>
            <w:vAlign w:val="center"/>
          </w:tcPr>
          <w:p>
            <w:pPr>
              <w:pStyle w:val="TableContents"/>
              <w:spacing w:lineRule="atLeast" w:line="240" w:before="0" w:after="0"/>
              <w:jc w:val="center"/>
              <w:rPr>
                <w:rFonts w:ascii="ARIAL" w:hAnsi="ARIAL"/>
                <w:sz w:val="14"/>
              </w:rPr>
            </w:pPr>
            <w:r>
              <w:rPr>
                <w:rFonts w:ascii="ARIAL" w:hAnsi="ARIAL"/>
                <w:sz w:val="14"/>
              </w:rPr>
              <w:t>-</w:t>
            </w:r>
          </w:p>
        </w:tc>
        <w:tc>
          <w:tcPr>
            <w:tcW w:w="60" w:type="dxa"/>
            <w:tcBorders/>
            <w:shd w:fill="auto" w:val="clear"/>
            <w:vAlign w:val="center"/>
          </w:tcPr>
          <w:p>
            <w:pPr>
              <w:pStyle w:val="TableContents"/>
              <w:spacing w:before="0" w:after="283"/>
              <w:rPr/>
            </w:pPr>
            <w:r>
              <w:rPr/>
              <w:t> </w:t>
            </w:r>
          </w:p>
        </w:tc>
        <w:tc>
          <w:tcPr>
            <w:tcW w:w="136" w:type="dxa"/>
            <w:tcBorders/>
            <w:shd w:fill="auto" w:val="clear"/>
            <w:vAlign w:val="center"/>
          </w:tcPr>
          <w:p>
            <w:pPr>
              <w:pStyle w:val="TableContents"/>
              <w:spacing w:lineRule="atLeast" w:line="240" w:before="0" w:after="0"/>
              <w:rPr>
                <w:rFonts w:ascii="ARIAL" w:hAnsi="ARIAL"/>
                <w:sz w:val="14"/>
              </w:rPr>
            </w:pPr>
            <w:r>
              <w:rPr>
                <w:rFonts w:ascii="ARIAL" w:hAnsi="ARIAL"/>
                <w:sz w:val="14"/>
              </w:rPr>
              <w:t>$</w:t>
            </w:r>
          </w:p>
        </w:tc>
        <w:tc>
          <w:tcPr>
            <w:tcW w:w="739" w:type="dxa"/>
            <w:tcBorders/>
            <w:shd w:fill="auto" w:val="clear"/>
            <w:vAlign w:val="center"/>
          </w:tcPr>
          <w:p>
            <w:pPr>
              <w:pStyle w:val="TableContents"/>
              <w:spacing w:lineRule="atLeast" w:line="240" w:before="0" w:after="0"/>
              <w:jc w:val="right"/>
              <w:rPr>
                <w:rFonts w:ascii="ARIAL" w:hAnsi="ARIAL"/>
                <w:sz w:val="14"/>
              </w:rPr>
            </w:pPr>
            <w:r>
              <w:rPr>
                <w:rFonts w:ascii="ARIAL" w:hAnsi="ARIAL"/>
                <w:sz w:val="14"/>
              </w:rPr>
              <w:t>10.1800</w:t>
            </w:r>
          </w:p>
        </w:tc>
        <w:tc>
          <w:tcPr>
            <w:tcW w:w="60" w:type="dxa"/>
            <w:tcBorders/>
            <w:shd w:fill="auto" w:val="clear"/>
            <w:vAlign w:val="center"/>
          </w:tcPr>
          <w:p>
            <w:pPr>
              <w:pStyle w:val="TableContents"/>
              <w:spacing w:lineRule="atLeast" w:line="240" w:before="0" w:after="0"/>
              <w:rPr/>
            </w:pPr>
            <w:r>
              <w:rPr/>
              <w:t> </w:t>
            </w:r>
          </w:p>
        </w:tc>
        <w:tc>
          <w:tcPr>
            <w:tcW w:w="120" w:type="dxa"/>
            <w:tcBorders/>
            <w:shd w:fill="auto" w:val="clear"/>
            <w:vAlign w:val="center"/>
          </w:tcPr>
          <w:p>
            <w:pPr>
              <w:pStyle w:val="TableContents"/>
              <w:spacing w:before="0" w:after="283"/>
              <w:rPr/>
            </w:pPr>
            <w:r>
              <w:rPr/>
              <w:t>  </w:t>
            </w:r>
          </w:p>
        </w:tc>
        <w:tc>
          <w:tcPr>
            <w:tcW w:w="176" w:type="dxa"/>
            <w:tcBorders/>
            <w:shd w:fill="auto" w:val="clear"/>
            <w:vAlign w:val="center"/>
          </w:tcPr>
          <w:p>
            <w:pPr>
              <w:pStyle w:val="TableContents"/>
              <w:spacing w:lineRule="atLeast" w:line="240" w:before="0" w:after="0"/>
              <w:rPr/>
            </w:pPr>
            <w:r>
              <w:rPr/>
              <w:t> </w:t>
            </w:r>
          </w:p>
        </w:tc>
        <w:tc>
          <w:tcPr>
            <w:tcW w:w="939" w:type="dxa"/>
            <w:tcBorders/>
            <w:shd w:fill="auto" w:val="clear"/>
            <w:vAlign w:val="center"/>
          </w:tcPr>
          <w:p>
            <w:pPr>
              <w:pStyle w:val="TableContents"/>
              <w:spacing w:lineRule="atLeast" w:line="240" w:before="0" w:after="0"/>
              <w:jc w:val="right"/>
              <w:rPr>
                <w:rFonts w:ascii="ARIAL" w:hAnsi="ARIAL"/>
                <w:sz w:val="14"/>
              </w:rPr>
            </w:pPr>
            <w:r>
              <w:rPr>
                <w:rFonts w:ascii="ARIAL" w:hAnsi="ARIAL"/>
                <w:sz w:val="14"/>
              </w:rPr>
              <w:t>2/28/2032</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lineRule="atLeast" w:line="240" w:before="0" w:after="0"/>
              <w:rPr/>
            </w:pPr>
            <w:r>
              <w:rPr/>
              <w:t> </w:t>
            </w:r>
          </w:p>
        </w:tc>
        <w:tc>
          <w:tcPr>
            <w:tcW w:w="556" w:type="dxa"/>
            <w:tcBorders/>
            <w:shd w:fill="auto" w:val="clear"/>
            <w:vAlign w:val="center"/>
          </w:tcPr>
          <w:p>
            <w:pPr>
              <w:pStyle w:val="TableContents"/>
              <w:spacing w:lineRule="atLeast" w:line="240" w:before="0" w:after="0"/>
              <w:jc w:val="right"/>
              <w:rPr>
                <w:rFonts w:ascii="ARIAL" w:hAnsi="ARIAL"/>
                <w:sz w:val="14"/>
              </w:rPr>
            </w:pPr>
            <w:r>
              <w:rPr>
                <w:rFonts w:ascii="ARIAL" w:hAnsi="ARIAL"/>
                <w:sz w:val="14"/>
              </w:rPr>
              <w:t>75,417</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lineRule="atLeast" w:line="240" w:before="0" w:after="0"/>
              <w:rPr/>
            </w:pPr>
            <w:r>
              <w:rPr/>
              <w:t> </w:t>
            </w:r>
          </w:p>
        </w:tc>
        <w:tc>
          <w:tcPr>
            <w:tcW w:w="650" w:type="dxa"/>
            <w:tcBorders/>
            <w:shd w:fill="auto" w:val="clear"/>
            <w:vAlign w:val="center"/>
          </w:tcPr>
          <w:p>
            <w:pPr>
              <w:pStyle w:val="TableContents"/>
              <w:spacing w:lineRule="atLeast" w:line="240" w:before="0" w:after="0"/>
              <w:jc w:val="right"/>
              <w:rPr>
                <w:rFonts w:ascii="ARIAL" w:hAnsi="ARIAL"/>
                <w:sz w:val="14"/>
              </w:rPr>
            </w:pPr>
            <w:r>
              <w:rPr>
                <w:rFonts w:ascii="ARIAL" w:hAnsi="ARIAL"/>
                <w:sz w:val="14"/>
              </w:rPr>
              <w:t>325,801</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108" w:type="dxa"/>
            <w:tcBorders/>
            <w:shd w:fill="auto" w:val="clear"/>
            <w:vAlign w:val="center"/>
          </w:tcPr>
          <w:p>
            <w:pPr>
              <w:pStyle w:val="TableContents"/>
              <w:spacing w:lineRule="atLeast" w:line="240" w:before="0" w:after="0"/>
              <w:rPr/>
            </w:pPr>
            <w:r>
              <w:rPr/>
              <w:t> </w:t>
            </w:r>
          </w:p>
        </w:tc>
        <w:tc>
          <w:tcPr>
            <w:tcW w:w="932" w:type="dxa"/>
            <w:tcBorders/>
            <w:shd w:fill="auto" w:val="clear"/>
            <w:vAlign w:val="center"/>
          </w:tcPr>
          <w:p>
            <w:pPr>
              <w:pStyle w:val="TableContents"/>
              <w:spacing w:lineRule="atLeast" w:line="240" w:before="0" w:after="0"/>
              <w:jc w:val="right"/>
              <w:rPr>
                <w:rFonts w:ascii="ARIAL" w:hAnsi="ARIAL"/>
                <w:sz w:val="14"/>
              </w:rPr>
            </w:pPr>
            <w:r>
              <w:rPr>
                <w:rFonts w:ascii="ARIAL" w:hAnsi="ARIAL"/>
                <w:sz w:val="14"/>
              </w:rPr>
              <w:t>212,500</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lineRule="atLeast" w:line="240" w:before="0" w:after="0"/>
              <w:rPr/>
            </w:pPr>
            <w:r>
              <w:rPr/>
              <w:t> </w:t>
            </w:r>
          </w:p>
        </w:tc>
        <w:tc>
          <w:tcPr>
            <w:tcW w:w="635" w:type="dxa"/>
            <w:tcBorders/>
            <w:shd w:fill="auto" w:val="clear"/>
            <w:vAlign w:val="center"/>
          </w:tcPr>
          <w:p>
            <w:pPr>
              <w:pStyle w:val="TableContents"/>
              <w:spacing w:lineRule="atLeast" w:line="240" w:before="0" w:after="0"/>
              <w:jc w:val="right"/>
              <w:rPr>
                <w:rFonts w:ascii="ARIAL" w:hAnsi="ARIAL"/>
                <w:sz w:val="14"/>
              </w:rPr>
            </w:pPr>
            <w:r>
              <w:rPr>
                <w:rFonts w:ascii="ARIAL" w:hAnsi="ARIAL"/>
                <w:sz w:val="14"/>
              </w:rPr>
              <w:t>918,000</w:t>
            </w:r>
          </w:p>
        </w:tc>
        <w:tc>
          <w:tcPr>
            <w:tcW w:w="75" w:type="dxa"/>
            <w:tcBorders/>
            <w:shd w:fill="auto" w:val="clear"/>
            <w:vAlign w:val="center"/>
          </w:tcPr>
          <w:p>
            <w:pPr>
              <w:pStyle w:val="TableContents"/>
              <w:spacing w:lineRule="atLeast" w:line="240" w:before="0" w:after="0"/>
              <w:rPr/>
            </w:pPr>
            <w:r>
              <w:rPr/>
              <w:t> </w:t>
            </w:r>
          </w:p>
        </w:tc>
      </w:tr>
      <w:tr>
        <w:trPr/>
        <w:tc>
          <w:tcPr>
            <w:tcW w:w="1295" w:type="dxa"/>
            <w:tcBorders/>
            <w:shd w:fill="CEE8F6" w:val="clear"/>
            <w:vAlign w:val="center"/>
          </w:tcPr>
          <w:p>
            <w:pPr>
              <w:pStyle w:val="TableContents"/>
              <w:spacing w:lineRule="atLeast" w:line="240" w:before="0" w:after="0"/>
              <w:rPr>
                <w:rFonts w:ascii="ARIAL" w:hAnsi="ARIAL"/>
                <w:sz w:val="14"/>
              </w:rPr>
            </w:pPr>
            <w:r>
              <w:rPr>
                <w:rFonts w:ascii="ARIAL" w:hAnsi="ARIAL"/>
                <w:sz w:val="14"/>
              </w:rPr>
              <w:t>Mark B. Medley</w:t>
            </w:r>
          </w:p>
        </w:tc>
        <w:tc>
          <w:tcPr>
            <w:tcW w:w="60" w:type="dxa"/>
            <w:tcBorders/>
            <w:shd w:fill="CEE8F6" w:val="clear"/>
            <w:vAlign w:val="center"/>
          </w:tcPr>
          <w:p>
            <w:pPr>
              <w:pStyle w:val="TableContents"/>
              <w:spacing w:before="0" w:after="283"/>
              <w:rPr/>
            </w:pPr>
            <w:r>
              <w:rPr/>
              <w:t> </w:t>
            </w:r>
          </w:p>
        </w:tc>
        <w:tc>
          <w:tcPr>
            <w:tcW w:w="132" w:type="dxa"/>
            <w:tcBorders/>
            <w:shd w:fill="CEE8F6" w:val="clear"/>
            <w:vAlign w:val="center"/>
          </w:tcPr>
          <w:p>
            <w:pPr>
              <w:pStyle w:val="TableContents"/>
              <w:spacing w:lineRule="atLeast" w:line="240" w:before="0" w:after="0"/>
              <w:rPr/>
            </w:pPr>
            <w:r>
              <w:rPr/>
              <w:t> </w:t>
            </w:r>
          </w:p>
        </w:tc>
        <w:tc>
          <w:tcPr>
            <w:tcW w:w="1133" w:type="dxa"/>
            <w:tcBorders/>
            <w:shd w:fill="CEE8F6" w:val="clear"/>
            <w:vAlign w:val="center"/>
          </w:tcPr>
          <w:p>
            <w:pPr>
              <w:pStyle w:val="TableContents"/>
              <w:spacing w:lineRule="atLeast" w:line="240" w:before="0" w:after="0"/>
              <w:jc w:val="right"/>
              <w:rPr>
                <w:rFonts w:ascii="ARIAL" w:hAnsi="ARIAL"/>
                <w:sz w:val="14"/>
              </w:rPr>
            </w:pPr>
            <w:r>
              <w:rPr>
                <w:rFonts w:ascii="ARIAL" w:hAnsi="ARIAL"/>
                <w:sz w:val="14"/>
              </w:rPr>
              <w:t>12,000</w:t>
            </w:r>
          </w:p>
        </w:tc>
        <w:tc>
          <w:tcPr>
            <w:tcW w:w="60" w:type="dxa"/>
            <w:tcBorders/>
            <w:shd w:fill="CEE8F6" w:val="clear"/>
            <w:vAlign w:val="center"/>
          </w:tcPr>
          <w:p>
            <w:pPr>
              <w:pStyle w:val="TableContents"/>
              <w:spacing w:lineRule="atLeast" w:line="240" w:before="0" w:after="0"/>
              <w:rPr/>
            </w:pPr>
            <w:r>
              <w:rPr/>
              <w:t> </w:t>
            </w:r>
          </w:p>
        </w:tc>
        <w:tc>
          <w:tcPr>
            <w:tcW w:w="60" w:type="dxa"/>
            <w:tcBorders/>
            <w:shd w:fill="CEE8F6" w:val="clear"/>
            <w:vAlign w:val="center"/>
          </w:tcPr>
          <w:p>
            <w:pPr>
              <w:pStyle w:val="TableContents"/>
              <w:spacing w:before="0" w:after="283"/>
              <w:rPr/>
            </w:pPr>
            <w:r>
              <w:rPr/>
              <w:t> </w:t>
            </w:r>
          </w:p>
        </w:tc>
        <w:tc>
          <w:tcPr>
            <w:tcW w:w="1445" w:type="dxa"/>
            <w:tcBorders/>
            <w:shd w:fill="CEE8F6" w:val="clear"/>
            <w:vAlign w:val="center"/>
          </w:tcPr>
          <w:p>
            <w:pPr>
              <w:pStyle w:val="TableContents"/>
              <w:spacing w:lineRule="atLeast" w:line="240" w:before="0" w:after="0"/>
              <w:jc w:val="center"/>
              <w:rPr>
                <w:rFonts w:ascii="ARIAL" w:hAnsi="ARIAL"/>
                <w:sz w:val="14"/>
              </w:rPr>
            </w:pPr>
            <w:r>
              <w:rPr>
                <w:rFonts w:ascii="ARIAL" w:hAnsi="ARIAL"/>
                <w:sz w:val="14"/>
              </w:rPr>
              <w:t>-</w:t>
            </w:r>
          </w:p>
        </w:tc>
        <w:tc>
          <w:tcPr>
            <w:tcW w:w="60" w:type="dxa"/>
            <w:tcBorders/>
            <w:shd w:fill="CEE8F6" w:val="clear"/>
            <w:vAlign w:val="center"/>
          </w:tcPr>
          <w:p>
            <w:pPr>
              <w:pStyle w:val="TableContents"/>
              <w:spacing w:before="0" w:after="283"/>
              <w:rPr/>
            </w:pPr>
            <w:r>
              <w:rPr/>
              <w:t> </w:t>
            </w:r>
          </w:p>
        </w:tc>
        <w:tc>
          <w:tcPr>
            <w:tcW w:w="1940" w:type="dxa"/>
            <w:tcBorders/>
            <w:shd w:fill="CEE8F6" w:val="clear"/>
            <w:vAlign w:val="center"/>
          </w:tcPr>
          <w:p>
            <w:pPr>
              <w:pStyle w:val="TableContents"/>
              <w:spacing w:lineRule="atLeast" w:line="240" w:before="0" w:after="0"/>
              <w:jc w:val="center"/>
              <w:rPr>
                <w:rFonts w:ascii="ARIAL" w:hAnsi="ARIAL"/>
                <w:sz w:val="14"/>
              </w:rPr>
            </w:pPr>
            <w:r>
              <w:rPr>
                <w:rFonts w:ascii="ARIAL" w:hAnsi="ARIAL"/>
                <w:sz w:val="14"/>
              </w:rPr>
              <w:t>-</w:t>
            </w:r>
          </w:p>
        </w:tc>
        <w:tc>
          <w:tcPr>
            <w:tcW w:w="60" w:type="dxa"/>
            <w:tcBorders/>
            <w:shd w:fill="CEE8F6" w:val="clear"/>
            <w:vAlign w:val="center"/>
          </w:tcPr>
          <w:p>
            <w:pPr>
              <w:pStyle w:val="TableContents"/>
              <w:spacing w:before="0" w:after="283"/>
              <w:rPr/>
            </w:pPr>
            <w:r>
              <w:rPr/>
              <w:t> </w:t>
            </w:r>
          </w:p>
        </w:tc>
        <w:tc>
          <w:tcPr>
            <w:tcW w:w="136" w:type="dxa"/>
            <w:tcBorders/>
            <w:shd w:fill="CEE8F6" w:val="clear"/>
            <w:vAlign w:val="center"/>
          </w:tcPr>
          <w:p>
            <w:pPr>
              <w:pStyle w:val="TableContents"/>
              <w:spacing w:lineRule="atLeast" w:line="240" w:before="0" w:after="0"/>
              <w:rPr>
                <w:rFonts w:ascii="ARIAL" w:hAnsi="ARIAL"/>
                <w:sz w:val="14"/>
              </w:rPr>
            </w:pPr>
            <w:r>
              <w:rPr>
                <w:rFonts w:ascii="ARIAL" w:hAnsi="ARIAL"/>
                <w:sz w:val="14"/>
              </w:rPr>
              <w:t>$</w:t>
            </w:r>
          </w:p>
        </w:tc>
        <w:tc>
          <w:tcPr>
            <w:tcW w:w="739" w:type="dxa"/>
            <w:tcBorders/>
            <w:shd w:fill="CEE8F6" w:val="clear"/>
            <w:vAlign w:val="center"/>
          </w:tcPr>
          <w:p>
            <w:pPr>
              <w:pStyle w:val="TableContents"/>
              <w:spacing w:lineRule="atLeast" w:line="240" w:before="0" w:after="0"/>
              <w:jc w:val="right"/>
              <w:rPr>
                <w:rFonts w:ascii="ARIAL" w:hAnsi="ARIAL"/>
                <w:sz w:val="14"/>
              </w:rPr>
            </w:pPr>
            <w:r>
              <w:rPr>
                <w:rFonts w:ascii="ARIAL" w:hAnsi="ARIAL"/>
                <w:sz w:val="14"/>
              </w:rPr>
              <w:t>2.6600</w:t>
            </w:r>
          </w:p>
        </w:tc>
        <w:tc>
          <w:tcPr>
            <w:tcW w:w="60" w:type="dxa"/>
            <w:tcBorders/>
            <w:shd w:fill="CEE8F6" w:val="clear"/>
            <w:vAlign w:val="center"/>
          </w:tcPr>
          <w:p>
            <w:pPr>
              <w:pStyle w:val="TableContents"/>
              <w:spacing w:lineRule="atLeast" w:line="240" w:before="0" w:after="0"/>
              <w:rPr/>
            </w:pPr>
            <w:r>
              <w:rPr/>
              <w:t> </w:t>
            </w:r>
          </w:p>
        </w:tc>
        <w:tc>
          <w:tcPr>
            <w:tcW w:w="120" w:type="dxa"/>
            <w:tcBorders/>
            <w:shd w:fill="CEE8F6" w:val="clear"/>
            <w:vAlign w:val="center"/>
          </w:tcPr>
          <w:p>
            <w:pPr>
              <w:pStyle w:val="TableContents"/>
              <w:spacing w:before="0" w:after="283"/>
              <w:rPr/>
            </w:pPr>
            <w:r>
              <w:rPr/>
              <w:t>  </w:t>
            </w:r>
          </w:p>
        </w:tc>
        <w:tc>
          <w:tcPr>
            <w:tcW w:w="176" w:type="dxa"/>
            <w:tcBorders/>
            <w:shd w:fill="CEE8F6" w:val="clear"/>
            <w:vAlign w:val="center"/>
          </w:tcPr>
          <w:p>
            <w:pPr>
              <w:pStyle w:val="TableContents"/>
              <w:spacing w:lineRule="atLeast" w:line="240" w:before="0" w:after="0"/>
              <w:rPr/>
            </w:pPr>
            <w:r>
              <w:rPr/>
              <w:t> </w:t>
            </w:r>
          </w:p>
        </w:tc>
        <w:tc>
          <w:tcPr>
            <w:tcW w:w="939" w:type="dxa"/>
            <w:tcBorders/>
            <w:shd w:fill="CEE8F6" w:val="clear"/>
            <w:vAlign w:val="center"/>
          </w:tcPr>
          <w:p>
            <w:pPr>
              <w:pStyle w:val="TableContents"/>
              <w:spacing w:lineRule="atLeast" w:line="240" w:before="0" w:after="0"/>
              <w:jc w:val="right"/>
              <w:rPr>
                <w:rFonts w:ascii="ARIAL" w:hAnsi="ARIAL"/>
                <w:sz w:val="14"/>
              </w:rPr>
            </w:pPr>
            <w:r>
              <w:rPr>
                <w:rFonts w:ascii="ARIAL" w:hAnsi="ARIAL"/>
                <w:sz w:val="14"/>
              </w:rPr>
              <w:t>5/31/2029</w:t>
            </w:r>
          </w:p>
        </w:tc>
        <w:tc>
          <w:tcPr>
            <w:tcW w:w="60" w:type="dxa"/>
            <w:tcBorders/>
            <w:shd w:fill="CEE8F6" w:val="clear"/>
            <w:vAlign w:val="center"/>
          </w:tcPr>
          <w:p>
            <w:pPr>
              <w:pStyle w:val="TableContents"/>
              <w:spacing w:lineRule="atLeast" w:line="240" w:before="0" w:after="0"/>
              <w:rPr/>
            </w:pPr>
            <w:r>
              <w:rPr/>
              <w:t> </w:t>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pPr>
            <w:r>
              <w:rPr/>
              <w:t> </w:t>
            </w:r>
          </w:p>
        </w:tc>
        <w:tc>
          <w:tcPr>
            <w:tcW w:w="64" w:type="dxa"/>
            <w:tcBorders/>
            <w:shd w:fill="CEE8F6" w:val="clear"/>
            <w:vAlign w:val="center"/>
          </w:tcPr>
          <w:p>
            <w:pPr>
              <w:pStyle w:val="TableContents"/>
              <w:spacing w:before="0" w:after="283"/>
              <w:rPr>
                <w:sz w:val="4"/>
                <w:szCs w:val="4"/>
              </w:rPr>
            </w:pPr>
            <w:r>
              <w:rPr>
                <w:sz w:val="4"/>
                <w:szCs w:val="4"/>
              </w:rPr>
            </w:r>
          </w:p>
        </w:tc>
        <w:tc>
          <w:tcPr>
            <w:tcW w:w="556"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pPr>
            <w:r>
              <w:rPr/>
              <w:t> </w:t>
            </w:r>
          </w:p>
        </w:tc>
        <w:tc>
          <w:tcPr>
            <w:tcW w:w="75" w:type="dxa"/>
            <w:tcBorders/>
            <w:shd w:fill="CEE8F6" w:val="clear"/>
            <w:vAlign w:val="center"/>
          </w:tcPr>
          <w:p>
            <w:pPr>
              <w:pStyle w:val="TableContents"/>
              <w:spacing w:before="0" w:after="283"/>
              <w:rPr>
                <w:sz w:val="4"/>
                <w:szCs w:val="4"/>
              </w:rPr>
            </w:pPr>
            <w:r>
              <w:rPr>
                <w:sz w:val="4"/>
                <w:szCs w:val="4"/>
              </w:rPr>
            </w:r>
          </w:p>
        </w:tc>
        <w:tc>
          <w:tcPr>
            <w:tcW w:w="65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pPr>
            <w:r>
              <w:rPr/>
              <w:t> </w:t>
            </w:r>
          </w:p>
        </w:tc>
        <w:tc>
          <w:tcPr>
            <w:tcW w:w="108" w:type="dxa"/>
            <w:tcBorders/>
            <w:shd w:fill="CEE8F6" w:val="clear"/>
            <w:vAlign w:val="center"/>
          </w:tcPr>
          <w:p>
            <w:pPr>
              <w:pStyle w:val="TableContents"/>
              <w:spacing w:before="0" w:after="283"/>
              <w:rPr>
                <w:sz w:val="4"/>
                <w:szCs w:val="4"/>
              </w:rPr>
            </w:pPr>
            <w:r>
              <w:rPr>
                <w:sz w:val="4"/>
                <w:szCs w:val="4"/>
              </w:rPr>
            </w:r>
          </w:p>
        </w:tc>
        <w:tc>
          <w:tcPr>
            <w:tcW w:w="932"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before="0" w:after="283"/>
              <w:rPr>
                <w:sz w:val="4"/>
                <w:szCs w:val="4"/>
              </w:rPr>
            </w:pPr>
            <w:r>
              <w:rPr>
                <w:sz w:val="4"/>
                <w:szCs w:val="4"/>
              </w:rPr>
            </w:r>
          </w:p>
        </w:tc>
        <w:tc>
          <w:tcPr>
            <w:tcW w:w="635" w:type="dxa"/>
            <w:tcBorders/>
            <w:shd w:fill="CEE8F6" w:val="clear"/>
            <w:vAlign w:val="center"/>
          </w:tcPr>
          <w:p>
            <w:pPr>
              <w:pStyle w:val="TableContents"/>
              <w:spacing w:before="0" w:after="283"/>
              <w:rPr>
                <w:sz w:val="4"/>
                <w:szCs w:val="4"/>
              </w:rPr>
            </w:pPr>
            <w:r>
              <w:rPr>
                <w:sz w:val="4"/>
                <w:szCs w:val="4"/>
              </w:rPr>
            </w:r>
          </w:p>
        </w:tc>
        <w:tc>
          <w:tcPr>
            <w:tcW w:w="75" w:type="dxa"/>
            <w:tcBorders/>
            <w:shd w:fill="CEE8F6" w:val="clear"/>
            <w:vAlign w:val="center"/>
          </w:tcPr>
          <w:p>
            <w:pPr>
              <w:pStyle w:val="TableContents"/>
              <w:spacing w:before="0" w:after="283"/>
              <w:rPr>
                <w:sz w:val="4"/>
                <w:szCs w:val="4"/>
              </w:rPr>
            </w:pPr>
            <w:r>
              <w:rPr>
                <w:sz w:val="4"/>
                <w:szCs w:val="4"/>
              </w:rPr>
            </w:r>
          </w:p>
        </w:tc>
      </w:tr>
      <w:tr>
        <w:trPr/>
        <w:tc>
          <w:tcPr>
            <w:tcW w:w="1295"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pPr>
            <w:r>
              <w:rPr/>
              <w:t> </w:t>
            </w:r>
          </w:p>
        </w:tc>
        <w:tc>
          <w:tcPr>
            <w:tcW w:w="132" w:type="dxa"/>
            <w:tcBorders/>
            <w:shd w:fill="CEE8F6" w:val="clear"/>
            <w:vAlign w:val="center"/>
          </w:tcPr>
          <w:p>
            <w:pPr>
              <w:pStyle w:val="TableContents"/>
              <w:spacing w:lineRule="atLeast" w:line="240" w:before="0" w:after="0"/>
              <w:rPr/>
            </w:pPr>
            <w:r>
              <w:rPr/>
              <w:t> </w:t>
            </w:r>
          </w:p>
        </w:tc>
        <w:tc>
          <w:tcPr>
            <w:tcW w:w="1133" w:type="dxa"/>
            <w:tcBorders/>
            <w:shd w:fill="CEE8F6" w:val="clear"/>
            <w:vAlign w:val="center"/>
          </w:tcPr>
          <w:p>
            <w:pPr>
              <w:pStyle w:val="TableContents"/>
              <w:spacing w:lineRule="atLeast" w:line="240" w:before="0" w:after="0"/>
              <w:jc w:val="right"/>
              <w:rPr>
                <w:rFonts w:ascii="ARIAL" w:hAnsi="ARIAL"/>
                <w:sz w:val="14"/>
              </w:rPr>
            </w:pPr>
            <w:r>
              <w:rPr>
                <w:rFonts w:ascii="ARIAL" w:hAnsi="ARIAL"/>
                <w:sz w:val="14"/>
              </w:rPr>
              <w:t>10,000</w:t>
            </w:r>
          </w:p>
        </w:tc>
        <w:tc>
          <w:tcPr>
            <w:tcW w:w="60" w:type="dxa"/>
            <w:tcBorders/>
            <w:shd w:fill="CEE8F6" w:val="clear"/>
            <w:vAlign w:val="center"/>
          </w:tcPr>
          <w:p>
            <w:pPr>
              <w:pStyle w:val="TableContents"/>
              <w:spacing w:lineRule="atLeast" w:line="240" w:before="0" w:after="0"/>
              <w:rPr/>
            </w:pPr>
            <w:r>
              <w:rPr/>
              <w:t> </w:t>
            </w:r>
          </w:p>
        </w:tc>
        <w:tc>
          <w:tcPr>
            <w:tcW w:w="60" w:type="dxa"/>
            <w:tcBorders/>
            <w:shd w:fill="CEE8F6" w:val="clear"/>
            <w:vAlign w:val="center"/>
          </w:tcPr>
          <w:p>
            <w:pPr>
              <w:pStyle w:val="TableContents"/>
              <w:spacing w:before="0" w:after="283"/>
              <w:rPr/>
            </w:pPr>
            <w:r>
              <w:rPr/>
              <w:t> </w:t>
            </w:r>
          </w:p>
        </w:tc>
        <w:tc>
          <w:tcPr>
            <w:tcW w:w="1445" w:type="dxa"/>
            <w:tcBorders/>
            <w:shd w:fill="CEE8F6" w:val="clear"/>
            <w:vAlign w:val="center"/>
          </w:tcPr>
          <w:p>
            <w:pPr>
              <w:pStyle w:val="TableContents"/>
              <w:spacing w:lineRule="atLeast" w:line="240" w:before="0" w:after="0"/>
              <w:jc w:val="center"/>
              <w:rPr>
                <w:rFonts w:ascii="ARIAL" w:hAnsi="ARIAL"/>
                <w:sz w:val="14"/>
              </w:rPr>
            </w:pPr>
            <w:r>
              <w:rPr>
                <w:rFonts w:ascii="ARIAL" w:hAnsi="ARIAL"/>
                <w:sz w:val="14"/>
              </w:rPr>
              <w:t>5,000</w:t>
            </w:r>
          </w:p>
        </w:tc>
        <w:tc>
          <w:tcPr>
            <w:tcW w:w="60" w:type="dxa"/>
            <w:tcBorders/>
            <w:shd w:fill="CEE8F6" w:val="clear"/>
            <w:vAlign w:val="center"/>
          </w:tcPr>
          <w:p>
            <w:pPr>
              <w:pStyle w:val="TableContents"/>
              <w:spacing w:before="0" w:after="283"/>
              <w:rPr/>
            </w:pPr>
            <w:r>
              <w:rPr/>
              <w:t> </w:t>
            </w:r>
          </w:p>
        </w:tc>
        <w:tc>
          <w:tcPr>
            <w:tcW w:w="1940" w:type="dxa"/>
            <w:tcBorders/>
            <w:shd w:fill="CEE8F6" w:val="clear"/>
            <w:vAlign w:val="center"/>
          </w:tcPr>
          <w:p>
            <w:pPr>
              <w:pStyle w:val="TableContents"/>
              <w:spacing w:lineRule="atLeast" w:line="240" w:before="0" w:after="0"/>
              <w:jc w:val="center"/>
              <w:rPr>
                <w:rFonts w:ascii="ARIAL" w:hAnsi="ARIAL"/>
                <w:sz w:val="14"/>
              </w:rPr>
            </w:pPr>
            <w:r>
              <w:rPr>
                <w:rFonts w:ascii="ARIAL" w:hAnsi="ARIAL"/>
                <w:sz w:val="14"/>
              </w:rPr>
              <w:t>-</w:t>
            </w:r>
          </w:p>
        </w:tc>
        <w:tc>
          <w:tcPr>
            <w:tcW w:w="60" w:type="dxa"/>
            <w:tcBorders/>
            <w:shd w:fill="CEE8F6" w:val="clear"/>
            <w:vAlign w:val="center"/>
          </w:tcPr>
          <w:p>
            <w:pPr>
              <w:pStyle w:val="TableContents"/>
              <w:spacing w:before="0" w:after="283"/>
              <w:rPr/>
            </w:pPr>
            <w:r>
              <w:rPr/>
              <w:t> </w:t>
            </w:r>
          </w:p>
        </w:tc>
        <w:tc>
          <w:tcPr>
            <w:tcW w:w="136" w:type="dxa"/>
            <w:tcBorders/>
            <w:shd w:fill="CEE8F6" w:val="clear"/>
            <w:vAlign w:val="center"/>
          </w:tcPr>
          <w:p>
            <w:pPr>
              <w:pStyle w:val="TableContents"/>
              <w:spacing w:lineRule="atLeast" w:line="240" w:before="0" w:after="0"/>
              <w:rPr>
                <w:rFonts w:ascii="ARIAL" w:hAnsi="ARIAL"/>
                <w:sz w:val="14"/>
              </w:rPr>
            </w:pPr>
            <w:r>
              <w:rPr>
                <w:rFonts w:ascii="ARIAL" w:hAnsi="ARIAL"/>
                <w:sz w:val="14"/>
              </w:rPr>
              <w:t>$</w:t>
            </w:r>
          </w:p>
        </w:tc>
        <w:tc>
          <w:tcPr>
            <w:tcW w:w="739" w:type="dxa"/>
            <w:tcBorders/>
            <w:shd w:fill="CEE8F6" w:val="clear"/>
            <w:vAlign w:val="center"/>
          </w:tcPr>
          <w:p>
            <w:pPr>
              <w:pStyle w:val="TableContents"/>
              <w:spacing w:lineRule="atLeast" w:line="240" w:before="0" w:after="0"/>
              <w:jc w:val="right"/>
              <w:rPr>
                <w:rFonts w:ascii="ARIAL" w:hAnsi="ARIAL"/>
                <w:sz w:val="14"/>
              </w:rPr>
            </w:pPr>
            <w:r>
              <w:rPr>
                <w:rFonts w:ascii="ARIAL" w:hAnsi="ARIAL"/>
                <w:sz w:val="14"/>
              </w:rPr>
              <w:t>4.9300</w:t>
            </w:r>
          </w:p>
        </w:tc>
        <w:tc>
          <w:tcPr>
            <w:tcW w:w="60" w:type="dxa"/>
            <w:tcBorders/>
            <w:shd w:fill="CEE8F6" w:val="clear"/>
            <w:vAlign w:val="center"/>
          </w:tcPr>
          <w:p>
            <w:pPr>
              <w:pStyle w:val="TableContents"/>
              <w:spacing w:lineRule="atLeast" w:line="240" w:before="0" w:after="0"/>
              <w:rPr/>
            </w:pPr>
            <w:r>
              <w:rPr/>
              <w:t> </w:t>
            </w:r>
          </w:p>
        </w:tc>
        <w:tc>
          <w:tcPr>
            <w:tcW w:w="120" w:type="dxa"/>
            <w:tcBorders/>
            <w:shd w:fill="CEE8F6" w:val="clear"/>
            <w:vAlign w:val="center"/>
          </w:tcPr>
          <w:p>
            <w:pPr>
              <w:pStyle w:val="TableContents"/>
              <w:spacing w:before="0" w:after="283"/>
              <w:rPr/>
            </w:pPr>
            <w:r>
              <w:rPr/>
              <w:t>  </w:t>
            </w:r>
          </w:p>
        </w:tc>
        <w:tc>
          <w:tcPr>
            <w:tcW w:w="176" w:type="dxa"/>
            <w:tcBorders/>
            <w:shd w:fill="CEE8F6" w:val="clear"/>
            <w:vAlign w:val="center"/>
          </w:tcPr>
          <w:p>
            <w:pPr>
              <w:pStyle w:val="TableContents"/>
              <w:spacing w:lineRule="atLeast" w:line="240" w:before="0" w:after="0"/>
              <w:rPr/>
            </w:pPr>
            <w:r>
              <w:rPr/>
              <w:t> </w:t>
            </w:r>
          </w:p>
        </w:tc>
        <w:tc>
          <w:tcPr>
            <w:tcW w:w="939" w:type="dxa"/>
            <w:tcBorders/>
            <w:shd w:fill="CEE8F6" w:val="clear"/>
            <w:vAlign w:val="center"/>
          </w:tcPr>
          <w:p>
            <w:pPr>
              <w:pStyle w:val="TableContents"/>
              <w:spacing w:lineRule="atLeast" w:line="240" w:before="0" w:after="0"/>
              <w:jc w:val="right"/>
              <w:rPr>
                <w:rFonts w:ascii="ARIAL" w:hAnsi="ARIAL"/>
                <w:sz w:val="14"/>
              </w:rPr>
            </w:pPr>
            <w:r>
              <w:rPr>
                <w:rFonts w:ascii="ARIAL" w:hAnsi="ARIAL"/>
                <w:sz w:val="14"/>
              </w:rPr>
              <w:t>2/28/2030</w:t>
            </w:r>
          </w:p>
        </w:tc>
        <w:tc>
          <w:tcPr>
            <w:tcW w:w="60" w:type="dxa"/>
            <w:tcBorders/>
            <w:shd w:fill="CEE8F6" w:val="clear"/>
            <w:vAlign w:val="center"/>
          </w:tcPr>
          <w:p>
            <w:pPr>
              <w:pStyle w:val="TableContents"/>
              <w:spacing w:lineRule="atLeast" w:line="240" w:before="0" w:after="0"/>
              <w:rPr/>
            </w:pPr>
            <w:r>
              <w:rPr/>
              <w:t> </w:t>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pPr>
            <w:r>
              <w:rPr/>
              <w:t> </w:t>
            </w:r>
          </w:p>
        </w:tc>
        <w:tc>
          <w:tcPr>
            <w:tcW w:w="64" w:type="dxa"/>
            <w:tcBorders/>
            <w:shd w:fill="CEE8F6" w:val="clear"/>
            <w:vAlign w:val="center"/>
          </w:tcPr>
          <w:p>
            <w:pPr>
              <w:pStyle w:val="TableContents"/>
              <w:spacing w:before="0" w:after="283"/>
              <w:rPr>
                <w:sz w:val="4"/>
                <w:szCs w:val="4"/>
              </w:rPr>
            </w:pPr>
            <w:r>
              <w:rPr>
                <w:sz w:val="4"/>
                <w:szCs w:val="4"/>
              </w:rPr>
            </w:r>
          </w:p>
        </w:tc>
        <w:tc>
          <w:tcPr>
            <w:tcW w:w="556"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pPr>
            <w:r>
              <w:rPr/>
              <w:t> </w:t>
            </w:r>
          </w:p>
        </w:tc>
        <w:tc>
          <w:tcPr>
            <w:tcW w:w="75" w:type="dxa"/>
            <w:tcBorders/>
            <w:shd w:fill="CEE8F6" w:val="clear"/>
            <w:vAlign w:val="center"/>
          </w:tcPr>
          <w:p>
            <w:pPr>
              <w:pStyle w:val="TableContents"/>
              <w:spacing w:before="0" w:after="283"/>
              <w:rPr>
                <w:sz w:val="4"/>
                <w:szCs w:val="4"/>
              </w:rPr>
            </w:pPr>
            <w:r>
              <w:rPr>
                <w:sz w:val="4"/>
                <w:szCs w:val="4"/>
              </w:rPr>
            </w:r>
          </w:p>
        </w:tc>
        <w:tc>
          <w:tcPr>
            <w:tcW w:w="65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pPr>
            <w:r>
              <w:rPr/>
              <w:t> </w:t>
            </w:r>
          </w:p>
        </w:tc>
        <w:tc>
          <w:tcPr>
            <w:tcW w:w="108" w:type="dxa"/>
            <w:tcBorders/>
            <w:shd w:fill="CEE8F6" w:val="clear"/>
            <w:vAlign w:val="center"/>
          </w:tcPr>
          <w:p>
            <w:pPr>
              <w:pStyle w:val="TableContents"/>
              <w:spacing w:before="0" w:after="283"/>
              <w:rPr>
                <w:sz w:val="4"/>
                <w:szCs w:val="4"/>
              </w:rPr>
            </w:pPr>
            <w:r>
              <w:rPr>
                <w:sz w:val="4"/>
                <w:szCs w:val="4"/>
              </w:rPr>
            </w:r>
          </w:p>
        </w:tc>
        <w:tc>
          <w:tcPr>
            <w:tcW w:w="932"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before="0" w:after="283"/>
              <w:rPr>
                <w:sz w:val="4"/>
                <w:szCs w:val="4"/>
              </w:rPr>
            </w:pPr>
            <w:r>
              <w:rPr>
                <w:sz w:val="4"/>
                <w:szCs w:val="4"/>
              </w:rPr>
            </w:r>
          </w:p>
        </w:tc>
        <w:tc>
          <w:tcPr>
            <w:tcW w:w="635" w:type="dxa"/>
            <w:tcBorders/>
            <w:shd w:fill="CEE8F6" w:val="clear"/>
            <w:vAlign w:val="center"/>
          </w:tcPr>
          <w:p>
            <w:pPr>
              <w:pStyle w:val="TableContents"/>
              <w:spacing w:before="0" w:after="283"/>
              <w:rPr>
                <w:sz w:val="4"/>
                <w:szCs w:val="4"/>
              </w:rPr>
            </w:pPr>
            <w:r>
              <w:rPr>
                <w:sz w:val="4"/>
                <w:szCs w:val="4"/>
              </w:rPr>
            </w:r>
          </w:p>
        </w:tc>
        <w:tc>
          <w:tcPr>
            <w:tcW w:w="75" w:type="dxa"/>
            <w:tcBorders/>
            <w:shd w:fill="CEE8F6" w:val="clear"/>
            <w:vAlign w:val="center"/>
          </w:tcPr>
          <w:p>
            <w:pPr>
              <w:pStyle w:val="TableContents"/>
              <w:spacing w:before="0" w:after="283"/>
              <w:rPr>
                <w:sz w:val="4"/>
                <w:szCs w:val="4"/>
              </w:rPr>
            </w:pPr>
            <w:r>
              <w:rPr>
                <w:sz w:val="4"/>
                <w:szCs w:val="4"/>
              </w:rPr>
            </w:r>
          </w:p>
        </w:tc>
      </w:tr>
      <w:tr>
        <w:trPr/>
        <w:tc>
          <w:tcPr>
            <w:tcW w:w="1295"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pPr>
            <w:r>
              <w:rPr/>
              <w:t> </w:t>
            </w:r>
          </w:p>
        </w:tc>
        <w:tc>
          <w:tcPr>
            <w:tcW w:w="132" w:type="dxa"/>
            <w:tcBorders/>
            <w:shd w:fill="CEE8F6" w:val="clear"/>
            <w:vAlign w:val="center"/>
          </w:tcPr>
          <w:p>
            <w:pPr>
              <w:pStyle w:val="TableContents"/>
              <w:spacing w:lineRule="atLeast" w:line="240" w:before="0" w:after="0"/>
              <w:rPr/>
            </w:pPr>
            <w:r>
              <w:rPr/>
              <w:t> </w:t>
            </w:r>
          </w:p>
        </w:tc>
        <w:tc>
          <w:tcPr>
            <w:tcW w:w="1133" w:type="dxa"/>
            <w:tcBorders/>
            <w:shd w:fill="CEE8F6" w:val="clear"/>
            <w:vAlign w:val="center"/>
          </w:tcPr>
          <w:p>
            <w:pPr>
              <w:pStyle w:val="TableContents"/>
              <w:spacing w:lineRule="atLeast" w:line="240" w:before="0" w:after="0"/>
              <w:jc w:val="right"/>
              <w:rPr>
                <w:rFonts w:ascii="ARIAL" w:hAnsi="ARIAL"/>
                <w:sz w:val="14"/>
              </w:rPr>
            </w:pPr>
            <w:r>
              <w:rPr>
                <w:rFonts w:ascii="ARIAL" w:hAnsi="ARIAL"/>
                <w:sz w:val="14"/>
              </w:rPr>
              <w:t>5,000</w:t>
            </w:r>
          </w:p>
        </w:tc>
        <w:tc>
          <w:tcPr>
            <w:tcW w:w="60" w:type="dxa"/>
            <w:tcBorders/>
            <w:shd w:fill="CEE8F6" w:val="clear"/>
            <w:vAlign w:val="center"/>
          </w:tcPr>
          <w:p>
            <w:pPr>
              <w:pStyle w:val="TableContents"/>
              <w:spacing w:lineRule="atLeast" w:line="240" w:before="0" w:after="0"/>
              <w:rPr/>
            </w:pPr>
            <w:r>
              <w:rPr/>
              <w:t> </w:t>
            </w:r>
          </w:p>
        </w:tc>
        <w:tc>
          <w:tcPr>
            <w:tcW w:w="60" w:type="dxa"/>
            <w:tcBorders/>
            <w:shd w:fill="CEE8F6" w:val="clear"/>
            <w:vAlign w:val="center"/>
          </w:tcPr>
          <w:p>
            <w:pPr>
              <w:pStyle w:val="TableContents"/>
              <w:spacing w:before="0" w:after="283"/>
              <w:rPr/>
            </w:pPr>
            <w:r>
              <w:rPr/>
              <w:t> </w:t>
            </w:r>
          </w:p>
        </w:tc>
        <w:tc>
          <w:tcPr>
            <w:tcW w:w="1445" w:type="dxa"/>
            <w:tcBorders/>
            <w:shd w:fill="CEE8F6" w:val="clear"/>
            <w:vAlign w:val="center"/>
          </w:tcPr>
          <w:p>
            <w:pPr>
              <w:pStyle w:val="TableContents"/>
              <w:spacing w:lineRule="atLeast" w:line="240" w:before="0" w:after="0"/>
              <w:jc w:val="center"/>
              <w:rPr>
                <w:rFonts w:ascii="ARIAL" w:hAnsi="ARIAL"/>
                <w:sz w:val="14"/>
              </w:rPr>
            </w:pPr>
            <w:r>
              <w:rPr>
                <w:rFonts w:ascii="ARIAL" w:hAnsi="ARIAL"/>
                <w:sz w:val="14"/>
              </w:rPr>
              <w:t>10,000</w:t>
            </w:r>
          </w:p>
        </w:tc>
        <w:tc>
          <w:tcPr>
            <w:tcW w:w="60" w:type="dxa"/>
            <w:tcBorders/>
            <w:shd w:fill="CEE8F6" w:val="clear"/>
            <w:vAlign w:val="center"/>
          </w:tcPr>
          <w:p>
            <w:pPr>
              <w:pStyle w:val="TableContents"/>
              <w:spacing w:before="0" w:after="283"/>
              <w:rPr/>
            </w:pPr>
            <w:r>
              <w:rPr/>
              <w:t> </w:t>
            </w:r>
          </w:p>
        </w:tc>
        <w:tc>
          <w:tcPr>
            <w:tcW w:w="1940" w:type="dxa"/>
            <w:tcBorders/>
            <w:shd w:fill="CEE8F6" w:val="clear"/>
            <w:vAlign w:val="center"/>
          </w:tcPr>
          <w:p>
            <w:pPr>
              <w:pStyle w:val="TableContents"/>
              <w:spacing w:lineRule="atLeast" w:line="240" w:before="0" w:after="0"/>
              <w:jc w:val="center"/>
              <w:rPr>
                <w:rFonts w:ascii="ARIAL" w:hAnsi="ARIAL"/>
                <w:sz w:val="14"/>
              </w:rPr>
            </w:pPr>
            <w:r>
              <w:rPr>
                <w:rFonts w:ascii="ARIAL" w:hAnsi="ARIAL"/>
                <w:sz w:val="14"/>
              </w:rPr>
              <w:t>-</w:t>
            </w:r>
          </w:p>
        </w:tc>
        <w:tc>
          <w:tcPr>
            <w:tcW w:w="60" w:type="dxa"/>
            <w:tcBorders/>
            <w:shd w:fill="CEE8F6" w:val="clear"/>
            <w:vAlign w:val="center"/>
          </w:tcPr>
          <w:p>
            <w:pPr>
              <w:pStyle w:val="TableContents"/>
              <w:spacing w:before="0" w:after="283"/>
              <w:rPr/>
            </w:pPr>
            <w:r>
              <w:rPr/>
              <w:t> </w:t>
            </w:r>
          </w:p>
        </w:tc>
        <w:tc>
          <w:tcPr>
            <w:tcW w:w="136" w:type="dxa"/>
            <w:tcBorders/>
            <w:shd w:fill="CEE8F6" w:val="clear"/>
            <w:vAlign w:val="center"/>
          </w:tcPr>
          <w:p>
            <w:pPr>
              <w:pStyle w:val="TableContents"/>
              <w:spacing w:lineRule="atLeast" w:line="240" w:before="0" w:after="0"/>
              <w:rPr>
                <w:rFonts w:ascii="ARIAL" w:hAnsi="ARIAL"/>
                <w:sz w:val="14"/>
              </w:rPr>
            </w:pPr>
            <w:r>
              <w:rPr>
                <w:rFonts w:ascii="ARIAL" w:hAnsi="ARIAL"/>
                <w:sz w:val="14"/>
              </w:rPr>
              <w:t>$</w:t>
            </w:r>
          </w:p>
        </w:tc>
        <w:tc>
          <w:tcPr>
            <w:tcW w:w="739" w:type="dxa"/>
            <w:tcBorders/>
            <w:shd w:fill="CEE8F6" w:val="clear"/>
            <w:vAlign w:val="center"/>
          </w:tcPr>
          <w:p>
            <w:pPr>
              <w:pStyle w:val="TableContents"/>
              <w:spacing w:lineRule="atLeast" w:line="240" w:before="0" w:after="0"/>
              <w:jc w:val="right"/>
              <w:rPr>
                <w:rFonts w:ascii="ARIAL" w:hAnsi="ARIAL"/>
                <w:sz w:val="14"/>
              </w:rPr>
            </w:pPr>
            <w:r>
              <w:rPr>
                <w:rFonts w:ascii="ARIAL" w:hAnsi="ARIAL"/>
                <w:sz w:val="14"/>
              </w:rPr>
              <w:t>8.8100</w:t>
            </w:r>
          </w:p>
        </w:tc>
        <w:tc>
          <w:tcPr>
            <w:tcW w:w="60" w:type="dxa"/>
            <w:tcBorders/>
            <w:shd w:fill="CEE8F6" w:val="clear"/>
            <w:vAlign w:val="center"/>
          </w:tcPr>
          <w:p>
            <w:pPr>
              <w:pStyle w:val="TableContents"/>
              <w:spacing w:lineRule="atLeast" w:line="240" w:before="0" w:after="0"/>
              <w:rPr/>
            </w:pPr>
            <w:r>
              <w:rPr/>
              <w:t> </w:t>
            </w:r>
          </w:p>
        </w:tc>
        <w:tc>
          <w:tcPr>
            <w:tcW w:w="120" w:type="dxa"/>
            <w:tcBorders/>
            <w:shd w:fill="CEE8F6" w:val="clear"/>
            <w:vAlign w:val="center"/>
          </w:tcPr>
          <w:p>
            <w:pPr>
              <w:pStyle w:val="TableContents"/>
              <w:spacing w:before="0" w:after="283"/>
              <w:rPr/>
            </w:pPr>
            <w:r>
              <w:rPr/>
              <w:t>  </w:t>
            </w:r>
          </w:p>
        </w:tc>
        <w:tc>
          <w:tcPr>
            <w:tcW w:w="176" w:type="dxa"/>
            <w:tcBorders/>
            <w:shd w:fill="CEE8F6" w:val="clear"/>
            <w:vAlign w:val="center"/>
          </w:tcPr>
          <w:p>
            <w:pPr>
              <w:pStyle w:val="TableContents"/>
              <w:spacing w:lineRule="atLeast" w:line="240" w:before="0" w:after="0"/>
              <w:rPr/>
            </w:pPr>
            <w:r>
              <w:rPr/>
              <w:t> </w:t>
            </w:r>
          </w:p>
        </w:tc>
        <w:tc>
          <w:tcPr>
            <w:tcW w:w="939" w:type="dxa"/>
            <w:tcBorders/>
            <w:shd w:fill="CEE8F6" w:val="clear"/>
            <w:vAlign w:val="center"/>
          </w:tcPr>
          <w:p>
            <w:pPr>
              <w:pStyle w:val="TableContents"/>
              <w:spacing w:lineRule="atLeast" w:line="240" w:before="0" w:after="0"/>
              <w:jc w:val="right"/>
              <w:rPr>
                <w:rFonts w:ascii="ARIAL" w:hAnsi="ARIAL"/>
                <w:sz w:val="14"/>
              </w:rPr>
            </w:pPr>
            <w:r>
              <w:rPr>
                <w:rFonts w:ascii="ARIAL" w:hAnsi="ARIAL"/>
                <w:sz w:val="14"/>
              </w:rPr>
              <w:t>2/28/2031</w:t>
            </w:r>
          </w:p>
        </w:tc>
        <w:tc>
          <w:tcPr>
            <w:tcW w:w="60" w:type="dxa"/>
            <w:tcBorders/>
            <w:shd w:fill="CEE8F6" w:val="clear"/>
            <w:vAlign w:val="center"/>
          </w:tcPr>
          <w:p>
            <w:pPr>
              <w:pStyle w:val="TableContents"/>
              <w:spacing w:lineRule="atLeast" w:line="240" w:before="0" w:after="0"/>
              <w:rPr/>
            </w:pPr>
            <w:r>
              <w:rPr/>
              <w:t> </w:t>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pPr>
            <w:r>
              <w:rPr/>
              <w:t> </w:t>
            </w:r>
          </w:p>
        </w:tc>
        <w:tc>
          <w:tcPr>
            <w:tcW w:w="64" w:type="dxa"/>
            <w:tcBorders/>
            <w:shd w:fill="CEE8F6" w:val="clear"/>
            <w:vAlign w:val="center"/>
          </w:tcPr>
          <w:p>
            <w:pPr>
              <w:pStyle w:val="TableContents"/>
              <w:spacing w:before="0" w:after="283"/>
              <w:rPr>
                <w:sz w:val="4"/>
                <w:szCs w:val="4"/>
              </w:rPr>
            </w:pPr>
            <w:r>
              <w:rPr>
                <w:sz w:val="4"/>
                <w:szCs w:val="4"/>
              </w:rPr>
            </w:r>
          </w:p>
        </w:tc>
        <w:tc>
          <w:tcPr>
            <w:tcW w:w="556"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pPr>
            <w:r>
              <w:rPr/>
              <w:t> </w:t>
            </w:r>
          </w:p>
        </w:tc>
        <w:tc>
          <w:tcPr>
            <w:tcW w:w="75" w:type="dxa"/>
            <w:tcBorders/>
            <w:shd w:fill="CEE8F6" w:val="clear"/>
            <w:vAlign w:val="center"/>
          </w:tcPr>
          <w:p>
            <w:pPr>
              <w:pStyle w:val="TableContents"/>
              <w:spacing w:before="0" w:after="283"/>
              <w:rPr>
                <w:sz w:val="4"/>
                <w:szCs w:val="4"/>
              </w:rPr>
            </w:pPr>
            <w:r>
              <w:rPr>
                <w:sz w:val="4"/>
                <w:szCs w:val="4"/>
              </w:rPr>
            </w:r>
          </w:p>
        </w:tc>
        <w:tc>
          <w:tcPr>
            <w:tcW w:w="65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pPr>
            <w:r>
              <w:rPr/>
              <w:t> </w:t>
            </w:r>
          </w:p>
        </w:tc>
        <w:tc>
          <w:tcPr>
            <w:tcW w:w="108" w:type="dxa"/>
            <w:tcBorders/>
            <w:shd w:fill="CEE8F6" w:val="clear"/>
            <w:vAlign w:val="center"/>
          </w:tcPr>
          <w:p>
            <w:pPr>
              <w:pStyle w:val="TableContents"/>
              <w:spacing w:before="0" w:after="283"/>
              <w:rPr>
                <w:sz w:val="4"/>
                <w:szCs w:val="4"/>
              </w:rPr>
            </w:pPr>
            <w:r>
              <w:rPr>
                <w:sz w:val="4"/>
                <w:szCs w:val="4"/>
              </w:rPr>
            </w:r>
          </w:p>
        </w:tc>
        <w:tc>
          <w:tcPr>
            <w:tcW w:w="932"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before="0" w:after="283"/>
              <w:rPr>
                <w:sz w:val="4"/>
                <w:szCs w:val="4"/>
              </w:rPr>
            </w:pPr>
            <w:r>
              <w:rPr>
                <w:sz w:val="4"/>
                <w:szCs w:val="4"/>
              </w:rPr>
            </w:r>
          </w:p>
        </w:tc>
        <w:tc>
          <w:tcPr>
            <w:tcW w:w="635" w:type="dxa"/>
            <w:tcBorders/>
            <w:shd w:fill="CEE8F6" w:val="clear"/>
            <w:vAlign w:val="center"/>
          </w:tcPr>
          <w:p>
            <w:pPr>
              <w:pStyle w:val="TableContents"/>
              <w:spacing w:before="0" w:after="283"/>
              <w:rPr>
                <w:sz w:val="4"/>
                <w:szCs w:val="4"/>
              </w:rPr>
            </w:pPr>
            <w:r>
              <w:rPr>
                <w:sz w:val="4"/>
                <w:szCs w:val="4"/>
              </w:rPr>
            </w:r>
          </w:p>
        </w:tc>
        <w:tc>
          <w:tcPr>
            <w:tcW w:w="75" w:type="dxa"/>
            <w:tcBorders/>
            <w:shd w:fill="CEE8F6" w:val="clear"/>
            <w:vAlign w:val="center"/>
          </w:tcPr>
          <w:p>
            <w:pPr>
              <w:pStyle w:val="TableContents"/>
              <w:spacing w:before="0" w:after="283"/>
              <w:rPr>
                <w:sz w:val="4"/>
                <w:szCs w:val="4"/>
              </w:rPr>
            </w:pPr>
            <w:r>
              <w:rPr>
                <w:sz w:val="4"/>
                <w:szCs w:val="4"/>
              </w:rPr>
            </w:r>
          </w:p>
        </w:tc>
      </w:tr>
      <w:tr>
        <w:trPr/>
        <w:tc>
          <w:tcPr>
            <w:tcW w:w="1295"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pPr>
            <w:r>
              <w:rPr/>
              <w:t> </w:t>
            </w:r>
          </w:p>
        </w:tc>
        <w:tc>
          <w:tcPr>
            <w:tcW w:w="132" w:type="dxa"/>
            <w:tcBorders/>
            <w:shd w:fill="CEE8F6" w:val="clear"/>
            <w:vAlign w:val="center"/>
          </w:tcPr>
          <w:p>
            <w:pPr>
              <w:pStyle w:val="TableContents"/>
              <w:spacing w:lineRule="atLeast" w:line="240" w:before="0" w:after="0"/>
              <w:rPr/>
            </w:pPr>
            <w:r>
              <w:rPr/>
              <w:t> </w:t>
            </w:r>
          </w:p>
        </w:tc>
        <w:tc>
          <w:tcPr>
            <w:tcW w:w="1133" w:type="dxa"/>
            <w:tcBorders/>
            <w:shd w:fill="CEE8F6" w:val="clear"/>
            <w:vAlign w:val="center"/>
          </w:tcPr>
          <w:p>
            <w:pPr>
              <w:pStyle w:val="TableContents"/>
              <w:spacing w:lineRule="atLeast" w:line="240" w:before="0" w:after="0"/>
              <w:jc w:val="center"/>
              <w:rPr>
                <w:rFonts w:ascii="ARIAL" w:hAnsi="ARIAL"/>
                <w:sz w:val="14"/>
              </w:rPr>
            </w:pPr>
            <w:r>
              <w:rPr>
                <w:rFonts w:ascii="ARIAL" w:hAnsi="ARIAL"/>
                <w:sz w:val="14"/>
              </w:rPr>
              <w:t>-</w:t>
            </w:r>
          </w:p>
        </w:tc>
        <w:tc>
          <w:tcPr>
            <w:tcW w:w="60" w:type="dxa"/>
            <w:tcBorders/>
            <w:shd w:fill="CEE8F6" w:val="clear"/>
            <w:vAlign w:val="center"/>
          </w:tcPr>
          <w:p>
            <w:pPr>
              <w:pStyle w:val="TableContents"/>
              <w:spacing w:lineRule="atLeast" w:line="240" w:before="0" w:after="0"/>
              <w:rPr/>
            </w:pPr>
            <w:r>
              <w:rPr/>
              <w:t> </w:t>
            </w:r>
          </w:p>
        </w:tc>
        <w:tc>
          <w:tcPr>
            <w:tcW w:w="60" w:type="dxa"/>
            <w:tcBorders/>
            <w:shd w:fill="CEE8F6" w:val="clear"/>
            <w:vAlign w:val="center"/>
          </w:tcPr>
          <w:p>
            <w:pPr>
              <w:pStyle w:val="TableContents"/>
              <w:spacing w:before="0" w:after="283"/>
              <w:rPr/>
            </w:pPr>
            <w:r>
              <w:rPr/>
              <w:t> </w:t>
            </w:r>
          </w:p>
        </w:tc>
        <w:tc>
          <w:tcPr>
            <w:tcW w:w="1445" w:type="dxa"/>
            <w:tcBorders/>
            <w:shd w:fill="CEE8F6" w:val="clear"/>
            <w:vAlign w:val="center"/>
          </w:tcPr>
          <w:p>
            <w:pPr>
              <w:pStyle w:val="TableContents"/>
              <w:spacing w:lineRule="atLeast" w:line="240" w:before="0" w:after="0"/>
              <w:jc w:val="center"/>
              <w:rPr>
                <w:rFonts w:ascii="ARIAL" w:hAnsi="ARIAL"/>
                <w:sz w:val="14"/>
              </w:rPr>
            </w:pPr>
            <w:r>
              <w:rPr>
                <w:rFonts w:ascii="ARIAL" w:hAnsi="ARIAL"/>
                <w:sz w:val="14"/>
              </w:rPr>
              <w:t>25,000</w:t>
            </w:r>
          </w:p>
        </w:tc>
        <w:tc>
          <w:tcPr>
            <w:tcW w:w="60" w:type="dxa"/>
            <w:tcBorders/>
            <w:shd w:fill="CEE8F6" w:val="clear"/>
            <w:vAlign w:val="center"/>
          </w:tcPr>
          <w:p>
            <w:pPr>
              <w:pStyle w:val="TableContents"/>
              <w:spacing w:before="0" w:after="283"/>
              <w:rPr/>
            </w:pPr>
            <w:r>
              <w:rPr/>
              <w:t> </w:t>
            </w:r>
          </w:p>
        </w:tc>
        <w:tc>
          <w:tcPr>
            <w:tcW w:w="194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pPr>
            <w:r>
              <w:rPr/>
              <w:t> </w:t>
            </w:r>
          </w:p>
        </w:tc>
        <w:tc>
          <w:tcPr>
            <w:tcW w:w="136" w:type="dxa"/>
            <w:tcBorders/>
            <w:shd w:fill="CEE8F6" w:val="clear"/>
            <w:vAlign w:val="center"/>
          </w:tcPr>
          <w:p>
            <w:pPr>
              <w:pStyle w:val="TableContents"/>
              <w:spacing w:lineRule="atLeast" w:line="240" w:before="0" w:after="0"/>
              <w:rPr>
                <w:rFonts w:ascii="ARIAL" w:hAnsi="ARIAL"/>
                <w:sz w:val="14"/>
              </w:rPr>
            </w:pPr>
            <w:r>
              <w:rPr>
                <w:rFonts w:ascii="ARIAL" w:hAnsi="ARIAL"/>
                <w:sz w:val="14"/>
              </w:rPr>
              <w:t>$</w:t>
            </w:r>
          </w:p>
        </w:tc>
        <w:tc>
          <w:tcPr>
            <w:tcW w:w="739" w:type="dxa"/>
            <w:tcBorders/>
            <w:shd w:fill="CEE8F6" w:val="clear"/>
            <w:vAlign w:val="center"/>
          </w:tcPr>
          <w:p>
            <w:pPr>
              <w:pStyle w:val="TableContents"/>
              <w:spacing w:lineRule="atLeast" w:line="240" w:before="0" w:after="0"/>
              <w:jc w:val="right"/>
              <w:rPr>
                <w:rFonts w:ascii="ARIAL" w:hAnsi="ARIAL"/>
                <w:sz w:val="14"/>
              </w:rPr>
            </w:pPr>
            <w:r>
              <w:rPr>
                <w:rFonts w:ascii="ARIAL" w:hAnsi="ARIAL"/>
                <w:sz w:val="14"/>
              </w:rPr>
              <w:t>10.1800</w:t>
            </w:r>
          </w:p>
        </w:tc>
        <w:tc>
          <w:tcPr>
            <w:tcW w:w="60" w:type="dxa"/>
            <w:tcBorders/>
            <w:shd w:fill="CEE8F6" w:val="clear"/>
            <w:vAlign w:val="center"/>
          </w:tcPr>
          <w:p>
            <w:pPr>
              <w:pStyle w:val="TableContents"/>
              <w:spacing w:lineRule="atLeast" w:line="240" w:before="0" w:after="0"/>
              <w:rPr/>
            </w:pPr>
            <w:r>
              <w:rPr/>
              <w:t> </w:t>
            </w:r>
          </w:p>
        </w:tc>
        <w:tc>
          <w:tcPr>
            <w:tcW w:w="120" w:type="dxa"/>
            <w:tcBorders/>
            <w:shd w:fill="CEE8F6" w:val="clear"/>
            <w:vAlign w:val="center"/>
          </w:tcPr>
          <w:p>
            <w:pPr>
              <w:pStyle w:val="TableContents"/>
              <w:spacing w:before="0" w:after="283"/>
              <w:rPr/>
            </w:pPr>
            <w:r>
              <w:rPr/>
              <w:t>  </w:t>
            </w:r>
          </w:p>
        </w:tc>
        <w:tc>
          <w:tcPr>
            <w:tcW w:w="176" w:type="dxa"/>
            <w:tcBorders/>
            <w:shd w:fill="CEE8F6" w:val="clear"/>
            <w:vAlign w:val="center"/>
          </w:tcPr>
          <w:p>
            <w:pPr>
              <w:pStyle w:val="TableContents"/>
              <w:spacing w:lineRule="atLeast" w:line="240" w:before="0" w:after="0"/>
              <w:rPr/>
            </w:pPr>
            <w:r>
              <w:rPr/>
              <w:t> </w:t>
            </w:r>
          </w:p>
        </w:tc>
        <w:tc>
          <w:tcPr>
            <w:tcW w:w="939" w:type="dxa"/>
            <w:tcBorders/>
            <w:shd w:fill="CEE8F6" w:val="clear"/>
            <w:vAlign w:val="center"/>
          </w:tcPr>
          <w:p>
            <w:pPr>
              <w:pStyle w:val="TableContents"/>
              <w:spacing w:lineRule="atLeast" w:line="240" w:before="0" w:after="0"/>
              <w:jc w:val="right"/>
              <w:rPr>
                <w:rFonts w:ascii="ARIAL" w:hAnsi="ARIAL"/>
                <w:sz w:val="14"/>
              </w:rPr>
            </w:pPr>
            <w:r>
              <w:rPr>
                <w:rFonts w:ascii="ARIAL" w:hAnsi="ARIAL"/>
                <w:sz w:val="14"/>
              </w:rPr>
              <w:t>2/28/2032</w:t>
            </w:r>
          </w:p>
        </w:tc>
        <w:tc>
          <w:tcPr>
            <w:tcW w:w="60" w:type="dxa"/>
            <w:tcBorders/>
            <w:shd w:fill="CEE8F6" w:val="clear"/>
            <w:vAlign w:val="center"/>
          </w:tcPr>
          <w:p>
            <w:pPr>
              <w:pStyle w:val="TableContents"/>
              <w:spacing w:lineRule="atLeast" w:line="240" w:before="0" w:after="0"/>
              <w:rPr/>
            </w:pPr>
            <w:r>
              <w:rPr/>
              <w:t> </w:t>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pPr>
            <w:r>
              <w:rPr/>
              <w:t> </w:t>
            </w:r>
          </w:p>
        </w:tc>
        <w:tc>
          <w:tcPr>
            <w:tcW w:w="64" w:type="dxa"/>
            <w:tcBorders/>
            <w:shd w:fill="CEE8F6" w:val="clear"/>
            <w:vAlign w:val="center"/>
          </w:tcPr>
          <w:p>
            <w:pPr>
              <w:pStyle w:val="TableContents"/>
              <w:spacing w:lineRule="atLeast" w:line="240" w:before="0" w:after="0"/>
              <w:rPr/>
            </w:pPr>
            <w:r>
              <w:rPr/>
              <w:t> </w:t>
            </w:r>
          </w:p>
        </w:tc>
        <w:tc>
          <w:tcPr>
            <w:tcW w:w="556" w:type="dxa"/>
            <w:tcBorders/>
            <w:shd w:fill="CEE8F6" w:val="clear"/>
            <w:vAlign w:val="center"/>
          </w:tcPr>
          <w:p>
            <w:pPr>
              <w:pStyle w:val="TableContents"/>
              <w:spacing w:lineRule="atLeast" w:line="240" w:before="0" w:after="0"/>
              <w:jc w:val="right"/>
              <w:rPr>
                <w:rFonts w:ascii="ARIAL" w:hAnsi="ARIAL"/>
                <w:sz w:val="14"/>
              </w:rPr>
            </w:pPr>
            <w:r>
              <w:rPr>
                <w:rFonts w:ascii="ARIAL" w:hAnsi="ARIAL"/>
                <w:sz w:val="14"/>
              </w:rPr>
              <w:t>40,000</w:t>
            </w:r>
          </w:p>
        </w:tc>
        <w:tc>
          <w:tcPr>
            <w:tcW w:w="60" w:type="dxa"/>
            <w:tcBorders/>
            <w:shd w:fill="CEE8F6" w:val="clear"/>
            <w:vAlign w:val="center"/>
          </w:tcPr>
          <w:p>
            <w:pPr>
              <w:pStyle w:val="TableContents"/>
              <w:spacing w:lineRule="atLeast" w:line="240" w:before="0" w:after="0"/>
              <w:rPr/>
            </w:pPr>
            <w:r>
              <w:rPr/>
              <w:t> </w:t>
            </w:r>
          </w:p>
        </w:tc>
        <w:tc>
          <w:tcPr>
            <w:tcW w:w="60" w:type="dxa"/>
            <w:tcBorders/>
            <w:shd w:fill="CEE8F6" w:val="clear"/>
            <w:vAlign w:val="center"/>
          </w:tcPr>
          <w:p>
            <w:pPr>
              <w:pStyle w:val="TableContents"/>
              <w:spacing w:before="0" w:after="283"/>
              <w:rPr/>
            </w:pPr>
            <w:r>
              <w:rPr/>
              <w:t> </w:t>
            </w:r>
          </w:p>
        </w:tc>
        <w:tc>
          <w:tcPr>
            <w:tcW w:w="75" w:type="dxa"/>
            <w:tcBorders/>
            <w:shd w:fill="CEE8F6" w:val="clear"/>
            <w:vAlign w:val="center"/>
          </w:tcPr>
          <w:p>
            <w:pPr>
              <w:pStyle w:val="TableContents"/>
              <w:spacing w:lineRule="atLeast" w:line="240" w:before="0" w:after="0"/>
              <w:rPr/>
            </w:pPr>
            <w:r>
              <w:rPr/>
              <w:t> </w:t>
            </w:r>
          </w:p>
        </w:tc>
        <w:tc>
          <w:tcPr>
            <w:tcW w:w="650" w:type="dxa"/>
            <w:tcBorders/>
            <w:shd w:fill="CEE8F6" w:val="clear"/>
            <w:vAlign w:val="center"/>
          </w:tcPr>
          <w:p>
            <w:pPr>
              <w:pStyle w:val="TableContents"/>
              <w:spacing w:lineRule="atLeast" w:line="240" w:before="0" w:after="0"/>
              <w:jc w:val="right"/>
              <w:rPr>
                <w:rFonts w:ascii="ARIAL" w:hAnsi="ARIAL"/>
                <w:sz w:val="14"/>
              </w:rPr>
            </w:pPr>
            <w:r>
              <w:rPr>
                <w:rFonts w:ascii="ARIAL" w:hAnsi="ARIAL"/>
                <w:sz w:val="14"/>
              </w:rPr>
              <w:t>172,800</w:t>
            </w:r>
          </w:p>
        </w:tc>
        <w:tc>
          <w:tcPr>
            <w:tcW w:w="60" w:type="dxa"/>
            <w:tcBorders/>
            <w:shd w:fill="CEE8F6" w:val="clear"/>
            <w:vAlign w:val="center"/>
          </w:tcPr>
          <w:p>
            <w:pPr>
              <w:pStyle w:val="TableContents"/>
              <w:spacing w:lineRule="atLeast" w:line="240" w:before="0" w:after="0"/>
              <w:rPr/>
            </w:pPr>
            <w:r>
              <w:rPr/>
              <w:t> </w:t>
            </w:r>
          </w:p>
        </w:tc>
        <w:tc>
          <w:tcPr>
            <w:tcW w:w="60" w:type="dxa"/>
            <w:tcBorders/>
            <w:shd w:fill="CEE8F6" w:val="clear"/>
            <w:vAlign w:val="center"/>
          </w:tcPr>
          <w:p>
            <w:pPr>
              <w:pStyle w:val="TableContents"/>
              <w:spacing w:before="0" w:after="283"/>
              <w:rPr/>
            </w:pPr>
            <w:r>
              <w:rPr/>
              <w:t> </w:t>
            </w:r>
          </w:p>
        </w:tc>
        <w:tc>
          <w:tcPr>
            <w:tcW w:w="108" w:type="dxa"/>
            <w:tcBorders/>
            <w:shd w:fill="CEE8F6" w:val="clear"/>
            <w:vAlign w:val="center"/>
          </w:tcPr>
          <w:p>
            <w:pPr>
              <w:pStyle w:val="TableContents"/>
              <w:spacing w:lineRule="atLeast" w:line="240" w:before="0" w:after="0"/>
              <w:rPr/>
            </w:pPr>
            <w:r>
              <w:rPr/>
              <w:t> </w:t>
            </w:r>
          </w:p>
        </w:tc>
        <w:tc>
          <w:tcPr>
            <w:tcW w:w="932" w:type="dxa"/>
            <w:tcBorders/>
            <w:shd w:fill="CEE8F6" w:val="clear"/>
            <w:vAlign w:val="center"/>
          </w:tcPr>
          <w:p>
            <w:pPr>
              <w:pStyle w:val="TableContents"/>
              <w:spacing w:lineRule="atLeast" w:line="240" w:before="0" w:after="0"/>
              <w:jc w:val="right"/>
              <w:rPr>
                <w:rFonts w:ascii="ARIAL" w:hAnsi="ARIAL"/>
                <w:sz w:val="14"/>
              </w:rPr>
            </w:pPr>
            <w:r>
              <w:rPr>
                <w:rFonts w:ascii="ARIAL" w:hAnsi="ARIAL"/>
                <w:sz w:val="14"/>
              </w:rPr>
              <w:t>80,000</w:t>
            </w:r>
          </w:p>
        </w:tc>
        <w:tc>
          <w:tcPr>
            <w:tcW w:w="60" w:type="dxa"/>
            <w:tcBorders/>
            <w:shd w:fill="CEE8F6" w:val="clear"/>
            <w:vAlign w:val="center"/>
          </w:tcPr>
          <w:p>
            <w:pPr>
              <w:pStyle w:val="TableContents"/>
              <w:spacing w:lineRule="atLeast" w:line="240" w:before="0" w:after="0"/>
              <w:rPr/>
            </w:pPr>
            <w:r>
              <w:rPr/>
              <w:t> </w:t>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lineRule="atLeast" w:line="240" w:before="0" w:after="0"/>
              <w:rPr/>
            </w:pPr>
            <w:r>
              <w:rPr/>
              <w:t> </w:t>
            </w:r>
          </w:p>
        </w:tc>
        <w:tc>
          <w:tcPr>
            <w:tcW w:w="635" w:type="dxa"/>
            <w:tcBorders/>
            <w:shd w:fill="CEE8F6" w:val="clear"/>
            <w:vAlign w:val="center"/>
          </w:tcPr>
          <w:p>
            <w:pPr>
              <w:pStyle w:val="TableContents"/>
              <w:spacing w:lineRule="atLeast" w:line="240" w:before="0" w:after="0"/>
              <w:jc w:val="right"/>
              <w:rPr>
                <w:rFonts w:ascii="ARIAL" w:hAnsi="ARIAL"/>
                <w:sz w:val="14"/>
              </w:rPr>
            </w:pPr>
            <w:r>
              <w:rPr>
                <w:rFonts w:ascii="ARIAL" w:hAnsi="ARIAL"/>
                <w:sz w:val="14"/>
              </w:rPr>
              <w:t>345,600</w:t>
            </w:r>
          </w:p>
        </w:tc>
        <w:tc>
          <w:tcPr>
            <w:tcW w:w="75" w:type="dxa"/>
            <w:tcBorders/>
            <w:shd w:fill="CEE8F6" w:val="clear"/>
            <w:vAlign w:val="center"/>
          </w:tcPr>
          <w:p>
            <w:pPr>
              <w:pStyle w:val="TableContents"/>
              <w:spacing w:lineRule="atLeast" w:line="240" w:before="0" w:after="0"/>
              <w:rPr/>
            </w:pPr>
            <w:r>
              <w:rPr/>
              <w:t> </w:t>
            </w:r>
          </w:p>
        </w:tc>
      </w:tr>
    </w:tbl>
    <w:p>
      <w:pPr>
        <w:pStyle w:val="TextBody"/>
        <w:pBdr>
          <w:bottom w:val="single" w:sz="2" w:space="1" w:color="000000"/>
        </w:pBdr>
        <w:spacing w:lineRule="atLeast" w:line="160" w:before="0" w:after="40"/>
        <w:jc w:val="left"/>
        <w:rPr/>
      </w:pPr>
      <w:r>
        <w:rPr/>
        <w:t> </w:t>
      </w:r>
    </w:p>
    <w:p>
      <w:pPr>
        <w:pStyle w:val="TextBody"/>
        <w:spacing w:before="0" w:after="0"/>
        <w:jc w:val="left"/>
        <w:rPr/>
      </w:pPr>
      <w:r>
        <w:rPr/>
        <w:t> </w:t>
      </w:r>
    </w:p>
    <w:tbl>
      <w:tblPr>
        <w:tblW w:w="5470" w:type="dxa"/>
        <w:jc w:val="left"/>
        <w:tblInd w:w="0" w:type="dxa"/>
        <w:tblCellMar>
          <w:top w:w="0" w:type="dxa"/>
          <w:left w:w="0" w:type="dxa"/>
          <w:bottom w:w="0" w:type="dxa"/>
          <w:right w:w="0" w:type="dxa"/>
        </w:tblCellMar>
      </w:tblPr>
      <w:tblGrid>
        <w:gridCol w:w="305"/>
        <w:gridCol w:w="5165"/>
      </w:tblGrid>
      <w:tr>
        <w:trPr/>
        <w:tc>
          <w:tcPr>
            <w:tcW w:w="305" w:type="dxa"/>
            <w:tcBorders/>
            <w:shd w:fill="auto" w:val="clear"/>
            <w:vAlign w:val="center"/>
          </w:tcPr>
          <w:p>
            <w:pPr>
              <w:pStyle w:val="TableContents"/>
              <w:spacing w:before="0" w:after="283"/>
              <w:jc w:val="left"/>
              <w:rPr/>
            </w:pPr>
            <w:r>
              <w:rPr/>
              <w:t>(1)</w:t>
            </w:r>
          </w:p>
        </w:tc>
        <w:tc>
          <w:tcPr>
            <w:tcW w:w="5165" w:type="dxa"/>
            <w:tcBorders/>
            <w:shd w:fill="auto" w:val="clear"/>
            <w:vAlign w:val="center"/>
          </w:tcPr>
          <w:p>
            <w:pPr>
              <w:pStyle w:val="TableContents"/>
              <w:spacing w:before="0" w:after="0"/>
              <w:jc w:val="left"/>
              <w:rPr>
                <w:rFonts w:ascii="ARIAL" w:hAnsi="ARIAL"/>
                <w:sz w:val="20"/>
              </w:rPr>
            </w:pPr>
            <w:r>
              <w:rPr>
                <w:rFonts w:ascii="ARIAL" w:hAnsi="ARIAL"/>
                <w:sz w:val="20"/>
              </w:rPr>
              <w:t xml:space="preserve">These options were fully vested as of December 31, 2022.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63"/>
        <w:gridCol w:w="9942"/>
      </w:tblGrid>
      <w:tr>
        <w:trPr/>
        <w:tc>
          <w:tcPr>
            <w:tcW w:w="263" w:type="dxa"/>
            <w:tcBorders/>
            <w:shd w:fill="auto" w:val="clear"/>
            <w:vAlign w:val="center"/>
          </w:tcPr>
          <w:p>
            <w:pPr>
              <w:pStyle w:val="TableContents"/>
              <w:spacing w:before="0" w:after="283"/>
              <w:jc w:val="left"/>
              <w:rPr/>
            </w:pPr>
            <w:r>
              <w:rPr/>
              <w:t>(2)</w:t>
            </w:r>
          </w:p>
        </w:tc>
        <w:tc>
          <w:tcPr>
            <w:tcW w:w="9942" w:type="dxa"/>
            <w:tcBorders/>
            <w:shd w:fill="auto" w:val="clear"/>
            <w:vAlign w:val="center"/>
          </w:tcPr>
          <w:p>
            <w:pPr>
              <w:pStyle w:val="TableContents"/>
              <w:spacing w:before="0" w:after="0"/>
              <w:jc w:val="left"/>
              <w:rPr>
                <w:rFonts w:ascii="ARIAL" w:hAnsi="ARIAL"/>
                <w:sz w:val="20"/>
              </w:rPr>
            </w:pPr>
            <w:r>
              <w:rPr>
                <w:rFonts w:ascii="ARIAL" w:hAnsi="ARIAL"/>
                <w:sz w:val="20"/>
              </w:rPr>
              <w:t xml:space="preserve">These options were unexercisable as of December 31, 2022. Vesting for these awards occurred or will occur, subject to the terms of the 2009 Plan, in one-third increments on each of the first three (3) anniversaries of the grant date.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92"/>
        <w:gridCol w:w="9913"/>
      </w:tblGrid>
      <w:tr>
        <w:trPr/>
        <w:tc>
          <w:tcPr>
            <w:tcW w:w="292" w:type="dxa"/>
            <w:tcBorders/>
            <w:shd w:fill="auto" w:val="clear"/>
            <w:vAlign w:val="center"/>
          </w:tcPr>
          <w:p>
            <w:pPr>
              <w:pStyle w:val="TableContents"/>
              <w:spacing w:before="0" w:after="283"/>
              <w:jc w:val="left"/>
              <w:rPr/>
            </w:pPr>
            <w:r>
              <w:rPr/>
              <w:t>(3)</w:t>
            </w:r>
          </w:p>
        </w:tc>
        <w:tc>
          <w:tcPr>
            <w:tcW w:w="9913" w:type="dxa"/>
            <w:tcBorders/>
            <w:shd w:fill="auto" w:val="clear"/>
            <w:vAlign w:val="center"/>
          </w:tcPr>
          <w:p>
            <w:pPr>
              <w:pStyle w:val="TableContents"/>
              <w:spacing w:before="0" w:after="0"/>
              <w:jc w:val="left"/>
              <w:rPr>
                <w:rFonts w:ascii="ARIAL" w:hAnsi="ARIAL"/>
                <w:sz w:val="20"/>
              </w:rPr>
            </w:pPr>
            <w:r>
              <w:rPr>
                <w:rFonts w:ascii="ARIAL" w:hAnsi="ARIAL"/>
                <w:sz w:val="20"/>
              </w:rPr>
              <w:t xml:space="preserve">This column includes the following restricted stock awards that were subject to time-based vesting restrictions at December 31, 2022: </w:t>
            </w:r>
          </w:p>
        </w:tc>
      </w:tr>
    </w:tbl>
    <w:p>
      <w:pPr>
        <w:pStyle w:val="TextBody"/>
        <w:spacing w:before="0" w:after="0"/>
        <w:jc w:val="left"/>
        <w:rPr/>
      </w:pPr>
      <w:r>
        <w:rPr/>
        <w:t> </w:t>
      </w:r>
    </w:p>
    <w:tbl>
      <w:tblPr>
        <w:tblW w:w="3780" w:type="dxa"/>
        <w:jc w:val="left"/>
        <w:tblInd w:w="0" w:type="dxa"/>
        <w:tblCellMar>
          <w:top w:w="0" w:type="dxa"/>
          <w:left w:w="0" w:type="dxa"/>
          <w:bottom w:w="0" w:type="dxa"/>
          <w:right w:w="0" w:type="dxa"/>
        </w:tblCellMar>
      </w:tblPr>
      <w:tblGrid>
        <w:gridCol w:w="1295"/>
        <w:gridCol w:w="120"/>
        <w:gridCol w:w="138"/>
        <w:gridCol w:w="737"/>
        <w:gridCol w:w="60"/>
        <w:gridCol w:w="120"/>
        <w:gridCol w:w="128"/>
        <w:gridCol w:w="1107"/>
        <w:gridCol w:w="75"/>
      </w:tblGrid>
      <w:tr>
        <w:trPr/>
        <w:tc>
          <w:tcPr>
            <w:tcW w:w="12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73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107"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295" w:type="dxa"/>
            <w:tcBorders/>
            <w:shd w:fill="auto" w:val="clear"/>
            <w:vAlign w:val="center"/>
          </w:tcPr>
          <w:p>
            <w:pPr>
              <w:pStyle w:val="TableContents"/>
              <w:spacing w:before="0" w:after="283"/>
              <w:rPr>
                <w:b/>
              </w:rPr>
            </w:pPr>
            <w:r>
              <w:rPr>
                <w:b/>
              </w:rPr>
              <w:t>Name</w:t>
            </w:r>
          </w:p>
        </w:tc>
        <w:tc>
          <w:tcPr>
            <w:tcW w:w="120" w:type="dxa"/>
            <w:tcBorders/>
            <w:shd w:fill="auto" w:val="clear"/>
            <w:vAlign w:val="center"/>
          </w:tcPr>
          <w:p>
            <w:pPr>
              <w:pStyle w:val="TableContents"/>
              <w:spacing w:before="0" w:after="283"/>
              <w:rPr/>
            </w:pPr>
            <w:r>
              <w:rPr/>
              <w:t>  </w:t>
            </w:r>
          </w:p>
        </w:tc>
        <w:tc>
          <w:tcPr>
            <w:tcW w:w="875" w:type="dxa"/>
            <w:gridSpan w:val="2"/>
            <w:tcBorders/>
            <w:shd w:fill="auto" w:val="clear"/>
            <w:vAlign w:val="center"/>
          </w:tcPr>
          <w:p>
            <w:pPr>
              <w:pStyle w:val="TableContents"/>
              <w:spacing w:before="0" w:after="283"/>
              <w:jc w:val="center"/>
              <w:rPr>
                <w:b/>
              </w:rPr>
            </w:pPr>
            <w:r>
              <w:rPr>
                <w:b/>
              </w:rPr>
              <w:t>Date</w:t>
              <w:br/>
              <w:t>Granted</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35" w:type="dxa"/>
            <w:gridSpan w:val="2"/>
            <w:tcBorders/>
            <w:shd w:fill="auto" w:val="clear"/>
            <w:vAlign w:val="center"/>
          </w:tcPr>
          <w:p>
            <w:pPr>
              <w:pStyle w:val="TableContents"/>
              <w:spacing w:before="0" w:after="283"/>
              <w:jc w:val="center"/>
              <w:rPr>
                <w:b/>
              </w:rPr>
            </w:pPr>
            <w:r>
              <w:rPr>
                <w:b/>
              </w:rPr>
              <w:t>Time-Based</w:t>
              <w:br/>
              <w:t>Restricted</w:t>
              <w:br/>
              <w:t>Shares</w:t>
            </w:r>
          </w:p>
        </w:tc>
        <w:tc>
          <w:tcPr>
            <w:tcW w:w="75" w:type="dxa"/>
            <w:tcBorders/>
            <w:shd w:fill="auto" w:val="clear"/>
            <w:vAlign w:val="center"/>
          </w:tcPr>
          <w:p>
            <w:pPr>
              <w:pStyle w:val="TableContents"/>
              <w:spacing w:before="0" w:after="283"/>
              <w:rPr/>
            </w:pPr>
            <w:r>
              <w:rPr/>
              <w:t> </w:t>
            </w:r>
          </w:p>
        </w:tc>
      </w:tr>
      <w:tr>
        <w:trPr/>
        <w:tc>
          <w:tcPr>
            <w:tcW w:w="1295" w:type="dxa"/>
            <w:tcBorders>
              <w:top w:val="single" w:sz="6" w:space="0" w:color="000000"/>
            </w:tcBorders>
            <w:shd w:fill="auto" w:val="clear"/>
            <w:tcMar>
              <w:top w:w="28" w:type="dxa"/>
            </w:tcMar>
            <w:vAlign w:val="center"/>
          </w:tcPr>
          <w:p>
            <w:pPr>
              <w:pStyle w:val="TableContents"/>
              <w:spacing w:before="0" w:after="283"/>
              <w:rPr/>
            </w:pPr>
            <w:r>
              <w:rPr/>
              <w:t> </w:t>
            </w:r>
          </w:p>
        </w:tc>
        <w:tc>
          <w:tcPr>
            <w:tcW w:w="120" w:type="dxa"/>
            <w:tcBorders>
              <w:top w:val="single" w:sz="6" w:space="0" w:color="000000"/>
            </w:tcBorders>
            <w:shd w:fill="auto" w:val="clear"/>
            <w:tcMar>
              <w:top w:w="28" w:type="dxa"/>
            </w:tcMar>
            <w:vAlign w:val="center"/>
          </w:tcPr>
          <w:p>
            <w:pPr>
              <w:pStyle w:val="TableContents"/>
              <w:spacing w:before="0" w:after="283"/>
              <w:rPr/>
            </w:pPr>
            <w:r>
              <w:rPr/>
              <w:t>  </w:t>
            </w:r>
          </w:p>
        </w:tc>
        <w:tc>
          <w:tcPr>
            <w:tcW w:w="138" w:type="dxa"/>
            <w:tcBorders>
              <w:top w:val="single" w:sz="6" w:space="0" w:color="000000"/>
            </w:tcBorders>
            <w:shd w:fill="auto" w:val="clear"/>
            <w:tcMar>
              <w:top w:w="28" w:type="dxa"/>
            </w:tcMar>
            <w:vAlign w:val="center"/>
          </w:tcPr>
          <w:p>
            <w:pPr>
              <w:pStyle w:val="TableContents"/>
              <w:spacing w:before="0" w:after="283"/>
              <w:rPr/>
            </w:pPr>
            <w:r>
              <w:rPr/>
              <w:t> </w:t>
            </w:r>
          </w:p>
        </w:tc>
        <w:tc>
          <w:tcPr>
            <w:tcW w:w="737" w:type="dxa"/>
            <w:tcBorders>
              <w:top w:val="single" w:sz="6" w:space="0" w:color="000000"/>
            </w:tcBorders>
            <w:shd w:fill="auto" w:val="clear"/>
            <w:tcMar>
              <w:top w:w="28" w:type="dxa"/>
            </w:tcMar>
            <w:vAlign w:val="center"/>
          </w:tcPr>
          <w:p>
            <w:pPr>
              <w:pStyle w:val="TableContents"/>
              <w:spacing w:before="0" w:after="283"/>
              <w:rPr/>
            </w:pPr>
            <w:r>
              <w:rPr/>
              <w:t> </w:t>
            </w:r>
          </w:p>
        </w:tc>
        <w:tc>
          <w:tcPr>
            <w:tcW w:w="60" w:type="dxa"/>
            <w:tcBorders>
              <w:top w:val="single" w:sz="6" w:space="0" w:color="000000"/>
            </w:tcBorders>
            <w:shd w:fill="auto" w:val="clear"/>
            <w:tcMar>
              <w:top w:w="28" w:type="dxa"/>
            </w:tcMar>
            <w:vAlign w:val="center"/>
          </w:tcPr>
          <w:p>
            <w:pPr>
              <w:pStyle w:val="TableContents"/>
              <w:spacing w:before="0" w:after="283"/>
              <w:rPr/>
            </w:pPr>
            <w:r>
              <w:rPr/>
              <w:t> </w:t>
            </w:r>
          </w:p>
        </w:tc>
        <w:tc>
          <w:tcPr>
            <w:tcW w:w="120" w:type="dxa"/>
            <w:tcBorders>
              <w:top w:val="single" w:sz="6" w:space="0" w:color="000000"/>
            </w:tcBorders>
            <w:shd w:fill="auto" w:val="clear"/>
            <w:tcMar>
              <w:top w:w="28" w:type="dxa"/>
            </w:tcMar>
            <w:vAlign w:val="center"/>
          </w:tcPr>
          <w:p>
            <w:pPr>
              <w:pStyle w:val="TableContents"/>
              <w:spacing w:before="0" w:after="283"/>
              <w:rPr/>
            </w:pPr>
            <w:r>
              <w:rPr/>
              <w:t>  </w:t>
            </w:r>
          </w:p>
        </w:tc>
        <w:tc>
          <w:tcPr>
            <w:tcW w:w="128" w:type="dxa"/>
            <w:tcBorders>
              <w:top w:val="single" w:sz="6" w:space="0" w:color="000000"/>
            </w:tcBorders>
            <w:shd w:fill="auto" w:val="clear"/>
            <w:tcMar>
              <w:top w:w="28" w:type="dxa"/>
            </w:tcMar>
            <w:vAlign w:val="center"/>
          </w:tcPr>
          <w:p>
            <w:pPr>
              <w:pStyle w:val="TableContents"/>
              <w:spacing w:before="0" w:after="283"/>
              <w:rPr/>
            </w:pPr>
            <w:r>
              <w:rPr/>
              <w:t> </w:t>
            </w:r>
          </w:p>
        </w:tc>
        <w:tc>
          <w:tcPr>
            <w:tcW w:w="1107" w:type="dxa"/>
            <w:tcBorders>
              <w:top w:val="single" w:sz="6" w:space="0" w:color="000000"/>
            </w:tcBorders>
            <w:shd w:fill="auto" w:val="clear"/>
            <w:tcMar>
              <w:top w:w="28" w:type="dxa"/>
            </w:tcMar>
            <w:vAlign w:val="center"/>
          </w:tcPr>
          <w:p>
            <w:pPr>
              <w:pStyle w:val="TableContents"/>
              <w:spacing w:before="0" w:after="283"/>
              <w:rPr/>
            </w:pPr>
            <w:r>
              <w:rPr/>
              <w:t> </w:t>
            </w:r>
          </w:p>
        </w:tc>
        <w:tc>
          <w:tcPr>
            <w:tcW w:w="75" w:type="dxa"/>
            <w:tcBorders>
              <w:top w:val="single" w:sz="6" w:space="0" w:color="000000"/>
            </w:tcBorders>
            <w:shd w:fill="auto" w:val="clear"/>
            <w:tcMar>
              <w:top w:w="28" w:type="dxa"/>
            </w:tcMar>
            <w:vAlign w:val="center"/>
          </w:tcPr>
          <w:p>
            <w:pPr>
              <w:pStyle w:val="TableContents"/>
              <w:spacing w:before="0" w:after="283"/>
              <w:rPr/>
            </w:pPr>
            <w:r>
              <w:rPr/>
              <w:t> </w:t>
            </w:r>
          </w:p>
        </w:tc>
      </w:tr>
      <w:tr>
        <w:trPr/>
        <w:tc>
          <w:tcPr>
            <w:tcW w:w="1295" w:type="dxa"/>
            <w:tcBorders/>
            <w:shd w:fill="CEE8F6" w:val="clear"/>
            <w:vAlign w:val="center"/>
          </w:tcPr>
          <w:p>
            <w:pPr>
              <w:pStyle w:val="TableContents"/>
              <w:spacing w:lineRule="atLeast" w:line="240" w:before="0" w:after="0"/>
              <w:rPr>
                <w:rFonts w:ascii="ARIAL" w:hAnsi="ARIAL"/>
                <w:sz w:val="14"/>
              </w:rPr>
            </w:pPr>
            <w:r>
              <w:rPr>
                <w:rFonts w:ascii="ARIAL" w:hAnsi="ARIAL"/>
                <w:sz w:val="14"/>
              </w:rPr>
              <w:t>Tim L. Hingtgen</w:t>
            </w:r>
          </w:p>
        </w:tc>
        <w:tc>
          <w:tcPr>
            <w:tcW w:w="120" w:type="dxa"/>
            <w:tcBorders/>
            <w:shd w:fill="CEE8F6" w:val="clear"/>
            <w:vAlign w:val="center"/>
          </w:tcPr>
          <w:p>
            <w:pPr>
              <w:pStyle w:val="TableContents"/>
              <w:spacing w:before="0" w:after="283"/>
              <w:rPr/>
            </w:pPr>
            <w:r>
              <w:rPr/>
              <w:t>  </w:t>
            </w:r>
          </w:p>
        </w:tc>
        <w:tc>
          <w:tcPr>
            <w:tcW w:w="138" w:type="dxa"/>
            <w:tcBorders/>
            <w:shd w:fill="CEE8F6" w:val="clear"/>
            <w:vAlign w:val="center"/>
          </w:tcPr>
          <w:p>
            <w:pPr>
              <w:pStyle w:val="TableContents"/>
              <w:spacing w:lineRule="atLeast" w:line="240" w:before="0" w:after="0"/>
              <w:rPr/>
            </w:pPr>
            <w:r>
              <w:rPr/>
              <w:t> </w:t>
            </w:r>
          </w:p>
        </w:tc>
        <w:tc>
          <w:tcPr>
            <w:tcW w:w="737" w:type="dxa"/>
            <w:tcBorders/>
            <w:shd w:fill="CEE8F6" w:val="clear"/>
            <w:vAlign w:val="center"/>
          </w:tcPr>
          <w:p>
            <w:pPr>
              <w:pStyle w:val="TableContents"/>
              <w:spacing w:lineRule="atLeast" w:line="240" w:before="0" w:after="0"/>
              <w:jc w:val="right"/>
              <w:rPr>
                <w:rFonts w:ascii="ARIAL" w:hAnsi="ARIAL"/>
                <w:sz w:val="14"/>
              </w:rPr>
            </w:pPr>
            <w:r>
              <w:rPr>
                <w:rFonts w:ascii="ARIAL" w:hAnsi="ARIAL"/>
                <w:sz w:val="14"/>
              </w:rPr>
              <w:t>3/1/2020</w:t>
            </w:r>
          </w:p>
        </w:tc>
        <w:tc>
          <w:tcPr>
            <w:tcW w:w="60" w:type="dxa"/>
            <w:tcBorders/>
            <w:shd w:fill="CEE8F6" w:val="clear"/>
            <w:vAlign w:val="center"/>
          </w:tcPr>
          <w:p>
            <w:pPr>
              <w:pStyle w:val="TableContents"/>
              <w:spacing w:lineRule="atLeast" w:line="240" w:before="0" w:after="0"/>
              <w:rPr/>
            </w:pPr>
            <w:r>
              <w:rPr/>
              <w:t> </w:t>
            </w:r>
          </w:p>
        </w:tc>
        <w:tc>
          <w:tcPr>
            <w:tcW w:w="120" w:type="dxa"/>
            <w:tcBorders/>
            <w:shd w:fill="CEE8F6" w:val="clear"/>
            <w:vAlign w:val="center"/>
          </w:tcPr>
          <w:p>
            <w:pPr>
              <w:pStyle w:val="TableContents"/>
              <w:spacing w:before="0" w:after="283"/>
              <w:rPr/>
            </w:pPr>
            <w:r>
              <w:rPr/>
              <w:t>  </w:t>
            </w:r>
          </w:p>
        </w:tc>
        <w:tc>
          <w:tcPr>
            <w:tcW w:w="128" w:type="dxa"/>
            <w:tcBorders/>
            <w:shd w:fill="CEE8F6" w:val="clear"/>
            <w:vAlign w:val="center"/>
          </w:tcPr>
          <w:p>
            <w:pPr>
              <w:pStyle w:val="TableContents"/>
              <w:spacing w:lineRule="atLeast" w:line="240" w:before="0" w:after="0"/>
              <w:rPr/>
            </w:pPr>
            <w:r>
              <w:rPr/>
              <w:t> </w:t>
            </w:r>
          </w:p>
        </w:tc>
        <w:tc>
          <w:tcPr>
            <w:tcW w:w="1107" w:type="dxa"/>
            <w:tcBorders/>
            <w:shd w:fill="CEE8F6" w:val="clear"/>
            <w:vAlign w:val="center"/>
          </w:tcPr>
          <w:p>
            <w:pPr>
              <w:pStyle w:val="TableContents"/>
              <w:spacing w:lineRule="atLeast" w:line="240" w:before="0" w:after="0"/>
              <w:jc w:val="right"/>
              <w:rPr>
                <w:rFonts w:ascii="ARIAL" w:hAnsi="ARIAL"/>
                <w:sz w:val="14"/>
              </w:rPr>
            </w:pPr>
            <w:r>
              <w:rPr>
                <w:rFonts w:ascii="ARIAL" w:hAnsi="ARIAL"/>
                <w:sz w:val="14"/>
              </w:rPr>
              <w:t>25,000</w:t>
            </w:r>
          </w:p>
        </w:tc>
        <w:tc>
          <w:tcPr>
            <w:tcW w:w="75" w:type="dxa"/>
            <w:tcBorders/>
            <w:shd w:fill="CEE8F6" w:val="clear"/>
            <w:vAlign w:val="center"/>
          </w:tcPr>
          <w:p>
            <w:pPr>
              <w:pStyle w:val="TableContents"/>
              <w:spacing w:lineRule="atLeast" w:line="240" w:before="0" w:after="0"/>
              <w:rPr/>
            </w:pPr>
            <w:r>
              <w:rPr/>
              <w:t> </w:t>
            </w:r>
          </w:p>
        </w:tc>
      </w:tr>
      <w:tr>
        <w:trPr/>
        <w:tc>
          <w:tcPr>
            <w:tcW w:w="1295" w:type="dxa"/>
            <w:tcBorders/>
            <w:shd w:fill="CEE8F6" w:val="clear"/>
            <w:vAlign w:val="center"/>
          </w:tcPr>
          <w:p>
            <w:pPr>
              <w:pStyle w:val="TableContents"/>
              <w:spacing w:before="0" w:after="283"/>
              <w:rPr>
                <w:sz w:val="4"/>
                <w:szCs w:val="4"/>
              </w:rPr>
            </w:pPr>
            <w:r>
              <w:rPr>
                <w:sz w:val="4"/>
                <w:szCs w:val="4"/>
              </w:rPr>
            </w:r>
          </w:p>
        </w:tc>
        <w:tc>
          <w:tcPr>
            <w:tcW w:w="120" w:type="dxa"/>
            <w:tcBorders/>
            <w:shd w:fill="CEE8F6" w:val="clear"/>
            <w:vAlign w:val="center"/>
          </w:tcPr>
          <w:p>
            <w:pPr>
              <w:pStyle w:val="TableContents"/>
              <w:spacing w:before="0" w:after="283"/>
              <w:rPr/>
            </w:pPr>
            <w:r>
              <w:rPr/>
              <w:t>  </w:t>
            </w:r>
          </w:p>
        </w:tc>
        <w:tc>
          <w:tcPr>
            <w:tcW w:w="138" w:type="dxa"/>
            <w:tcBorders/>
            <w:shd w:fill="CEE8F6" w:val="clear"/>
            <w:vAlign w:val="center"/>
          </w:tcPr>
          <w:p>
            <w:pPr>
              <w:pStyle w:val="TableContents"/>
              <w:spacing w:lineRule="atLeast" w:line="240" w:before="0" w:after="0"/>
              <w:rPr/>
            </w:pPr>
            <w:r>
              <w:rPr/>
              <w:t> </w:t>
            </w:r>
          </w:p>
        </w:tc>
        <w:tc>
          <w:tcPr>
            <w:tcW w:w="737" w:type="dxa"/>
            <w:tcBorders/>
            <w:shd w:fill="CEE8F6" w:val="clear"/>
            <w:vAlign w:val="center"/>
          </w:tcPr>
          <w:p>
            <w:pPr>
              <w:pStyle w:val="TableContents"/>
              <w:spacing w:lineRule="atLeast" w:line="240" w:before="0" w:after="0"/>
              <w:jc w:val="right"/>
              <w:rPr>
                <w:rFonts w:ascii="ARIAL" w:hAnsi="ARIAL"/>
                <w:sz w:val="14"/>
              </w:rPr>
            </w:pPr>
            <w:r>
              <w:rPr>
                <w:rFonts w:ascii="ARIAL" w:hAnsi="ARIAL"/>
                <w:sz w:val="14"/>
              </w:rPr>
              <w:t>3/1/2021</w:t>
            </w:r>
          </w:p>
        </w:tc>
        <w:tc>
          <w:tcPr>
            <w:tcW w:w="60" w:type="dxa"/>
            <w:tcBorders/>
            <w:shd w:fill="CEE8F6" w:val="clear"/>
            <w:vAlign w:val="center"/>
          </w:tcPr>
          <w:p>
            <w:pPr>
              <w:pStyle w:val="TableContents"/>
              <w:spacing w:lineRule="atLeast" w:line="240" w:before="0" w:after="0"/>
              <w:rPr/>
            </w:pPr>
            <w:r>
              <w:rPr/>
              <w:t> </w:t>
            </w:r>
          </w:p>
        </w:tc>
        <w:tc>
          <w:tcPr>
            <w:tcW w:w="120" w:type="dxa"/>
            <w:tcBorders/>
            <w:shd w:fill="CEE8F6" w:val="clear"/>
            <w:vAlign w:val="center"/>
          </w:tcPr>
          <w:p>
            <w:pPr>
              <w:pStyle w:val="TableContents"/>
              <w:spacing w:before="0" w:after="283"/>
              <w:rPr/>
            </w:pPr>
            <w:r>
              <w:rPr/>
              <w:t>  </w:t>
            </w:r>
          </w:p>
        </w:tc>
        <w:tc>
          <w:tcPr>
            <w:tcW w:w="128" w:type="dxa"/>
            <w:tcBorders/>
            <w:shd w:fill="CEE8F6" w:val="clear"/>
            <w:vAlign w:val="center"/>
          </w:tcPr>
          <w:p>
            <w:pPr>
              <w:pStyle w:val="TableContents"/>
              <w:spacing w:lineRule="atLeast" w:line="240" w:before="0" w:after="0"/>
              <w:rPr/>
            </w:pPr>
            <w:r>
              <w:rPr/>
              <w:t> </w:t>
            </w:r>
          </w:p>
        </w:tc>
        <w:tc>
          <w:tcPr>
            <w:tcW w:w="1107" w:type="dxa"/>
            <w:tcBorders/>
            <w:shd w:fill="CEE8F6" w:val="clear"/>
            <w:vAlign w:val="center"/>
          </w:tcPr>
          <w:p>
            <w:pPr>
              <w:pStyle w:val="TableContents"/>
              <w:spacing w:lineRule="atLeast" w:line="240" w:before="0" w:after="0"/>
              <w:jc w:val="right"/>
              <w:rPr>
                <w:rFonts w:ascii="ARIAL" w:hAnsi="ARIAL"/>
                <w:sz w:val="14"/>
              </w:rPr>
            </w:pPr>
            <w:r>
              <w:rPr>
                <w:rFonts w:ascii="ARIAL" w:hAnsi="ARIAL"/>
                <w:sz w:val="14"/>
              </w:rPr>
              <w:t>66,667</w:t>
            </w:r>
          </w:p>
        </w:tc>
        <w:tc>
          <w:tcPr>
            <w:tcW w:w="75" w:type="dxa"/>
            <w:tcBorders/>
            <w:shd w:fill="CEE8F6" w:val="clear"/>
            <w:vAlign w:val="center"/>
          </w:tcPr>
          <w:p>
            <w:pPr>
              <w:pStyle w:val="TableContents"/>
              <w:spacing w:lineRule="atLeast" w:line="240" w:before="0" w:after="0"/>
              <w:rPr/>
            </w:pPr>
            <w:r>
              <w:rPr/>
              <w:t> </w:t>
            </w:r>
          </w:p>
        </w:tc>
      </w:tr>
      <w:tr>
        <w:trPr/>
        <w:tc>
          <w:tcPr>
            <w:tcW w:w="1295" w:type="dxa"/>
            <w:tcBorders/>
            <w:shd w:fill="CEE8F6" w:val="clear"/>
            <w:vAlign w:val="center"/>
          </w:tcPr>
          <w:p>
            <w:pPr>
              <w:pStyle w:val="TableContents"/>
              <w:spacing w:before="0" w:after="283"/>
              <w:rPr>
                <w:sz w:val="4"/>
                <w:szCs w:val="4"/>
              </w:rPr>
            </w:pPr>
            <w:r>
              <w:rPr>
                <w:sz w:val="4"/>
                <w:szCs w:val="4"/>
              </w:rPr>
            </w:r>
          </w:p>
        </w:tc>
        <w:tc>
          <w:tcPr>
            <w:tcW w:w="120" w:type="dxa"/>
            <w:tcBorders/>
            <w:shd w:fill="CEE8F6" w:val="clear"/>
            <w:vAlign w:val="center"/>
          </w:tcPr>
          <w:p>
            <w:pPr>
              <w:pStyle w:val="TableContents"/>
              <w:spacing w:before="0" w:after="283"/>
              <w:rPr/>
            </w:pPr>
            <w:r>
              <w:rPr/>
              <w:t>  </w:t>
            </w:r>
          </w:p>
        </w:tc>
        <w:tc>
          <w:tcPr>
            <w:tcW w:w="138" w:type="dxa"/>
            <w:tcBorders/>
            <w:shd w:fill="CEE8F6" w:val="clear"/>
            <w:vAlign w:val="center"/>
          </w:tcPr>
          <w:p>
            <w:pPr>
              <w:pStyle w:val="TableContents"/>
              <w:spacing w:lineRule="atLeast" w:line="240" w:before="0" w:after="0"/>
              <w:rPr/>
            </w:pPr>
            <w:r>
              <w:rPr/>
              <w:t> </w:t>
            </w:r>
          </w:p>
        </w:tc>
        <w:tc>
          <w:tcPr>
            <w:tcW w:w="737" w:type="dxa"/>
            <w:tcBorders/>
            <w:shd w:fill="CEE8F6" w:val="clear"/>
            <w:vAlign w:val="center"/>
          </w:tcPr>
          <w:p>
            <w:pPr>
              <w:pStyle w:val="TableContents"/>
              <w:spacing w:lineRule="atLeast" w:line="240" w:before="0" w:after="0"/>
              <w:jc w:val="right"/>
              <w:rPr>
                <w:rFonts w:ascii="ARIAL" w:hAnsi="ARIAL"/>
                <w:sz w:val="14"/>
              </w:rPr>
            </w:pPr>
            <w:r>
              <w:rPr>
                <w:rFonts w:ascii="ARIAL" w:hAnsi="ARIAL"/>
                <w:sz w:val="14"/>
              </w:rPr>
              <w:t>3/1/2022</w:t>
            </w:r>
          </w:p>
        </w:tc>
        <w:tc>
          <w:tcPr>
            <w:tcW w:w="60" w:type="dxa"/>
            <w:tcBorders/>
            <w:shd w:fill="CEE8F6" w:val="clear"/>
            <w:vAlign w:val="center"/>
          </w:tcPr>
          <w:p>
            <w:pPr>
              <w:pStyle w:val="TableContents"/>
              <w:spacing w:lineRule="atLeast" w:line="240" w:before="0" w:after="0"/>
              <w:rPr/>
            </w:pPr>
            <w:r>
              <w:rPr/>
              <w:t> </w:t>
            </w:r>
          </w:p>
        </w:tc>
        <w:tc>
          <w:tcPr>
            <w:tcW w:w="120" w:type="dxa"/>
            <w:tcBorders/>
            <w:shd w:fill="CEE8F6" w:val="clear"/>
            <w:vAlign w:val="center"/>
          </w:tcPr>
          <w:p>
            <w:pPr>
              <w:pStyle w:val="TableContents"/>
              <w:spacing w:before="0" w:after="283"/>
              <w:rPr/>
            </w:pPr>
            <w:r>
              <w:rPr/>
              <w:t>  </w:t>
            </w:r>
          </w:p>
        </w:tc>
        <w:tc>
          <w:tcPr>
            <w:tcW w:w="128" w:type="dxa"/>
            <w:tcBorders/>
            <w:shd w:fill="CEE8F6" w:val="clear"/>
            <w:vAlign w:val="center"/>
          </w:tcPr>
          <w:p>
            <w:pPr>
              <w:pStyle w:val="TableContents"/>
              <w:spacing w:lineRule="atLeast" w:line="240" w:before="0" w:after="0"/>
              <w:rPr/>
            </w:pPr>
            <w:r>
              <w:rPr/>
              <w:t> </w:t>
            </w:r>
          </w:p>
        </w:tc>
        <w:tc>
          <w:tcPr>
            <w:tcW w:w="1107" w:type="dxa"/>
            <w:tcBorders/>
            <w:shd w:fill="CEE8F6" w:val="clear"/>
            <w:vAlign w:val="center"/>
          </w:tcPr>
          <w:p>
            <w:pPr>
              <w:pStyle w:val="TableContents"/>
              <w:spacing w:lineRule="atLeast" w:line="240" w:before="0" w:after="0"/>
              <w:jc w:val="right"/>
              <w:rPr>
                <w:rFonts w:ascii="ARIAL" w:hAnsi="ARIAL"/>
                <w:sz w:val="14"/>
              </w:rPr>
            </w:pPr>
            <w:r>
              <w:rPr>
                <w:rFonts w:ascii="ARIAL" w:hAnsi="ARIAL"/>
                <w:sz w:val="14"/>
              </w:rPr>
              <w:t>100,000</w:t>
            </w:r>
          </w:p>
        </w:tc>
        <w:tc>
          <w:tcPr>
            <w:tcW w:w="75" w:type="dxa"/>
            <w:tcBorders/>
            <w:shd w:fill="CEE8F6" w:val="clear"/>
            <w:vAlign w:val="center"/>
          </w:tcPr>
          <w:p>
            <w:pPr>
              <w:pStyle w:val="TableContents"/>
              <w:spacing w:lineRule="atLeast" w:line="240" w:before="0" w:after="0"/>
              <w:rPr/>
            </w:pPr>
            <w:r>
              <w:rPr/>
              <w:t> </w:t>
            </w:r>
          </w:p>
        </w:tc>
      </w:tr>
      <w:tr>
        <w:trPr/>
        <w:tc>
          <w:tcPr>
            <w:tcW w:w="1295" w:type="dxa"/>
            <w:tcBorders/>
            <w:shd w:fill="auto" w:val="clear"/>
            <w:vAlign w:val="center"/>
          </w:tcPr>
          <w:p>
            <w:pPr>
              <w:pStyle w:val="TableContents"/>
              <w:spacing w:lineRule="atLeast" w:line="240" w:before="0" w:after="0"/>
              <w:rPr>
                <w:rFonts w:ascii="ARIAL" w:hAnsi="ARIAL"/>
                <w:sz w:val="14"/>
              </w:rPr>
            </w:pPr>
            <w:r>
              <w:rPr>
                <w:rFonts w:ascii="ARIAL" w:hAnsi="ARIAL"/>
                <w:sz w:val="14"/>
              </w:rPr>
              <w:t>Wayne T. Smith</w:t>
            </w:r>
          </w:p>
        </w:tc>
        <w:tc>
          <w:tcPr>
            <w:tcW w:w="120" w:type="dxa"/>
            <w:tcBorders/>
            <w:shd w:fill="auto" w:val="clear"/>
            <w:vAlign w:val="center"/>
          </w:tcPr>
          <w:p>
            <w:pPr>
              <w:pStyle w:val="TableContents"/>
              <w:spacing w:before="0" w:after="283"/>
              <w:rPr/>
            </w:pPr>
            <w:r>
              <w:rPr/>
              <w:t>  </w:t>
            </w:r>
          </w:p>
        </w:tc>
        <w:tc>
          <w:tcPr>
            <w:tcW w:w="138" w:type="dxa"/>
            <w:tcBorders/>
            <w:shd w:fill="auto" w:val="clear"/>
            <w:vAlign w:val="center"/>
          </w:tcPr>
          <w:p>
            <w:pPr>
              <w:pStyle w:val="TableContents"/>
              <w:spacing w:lineRule="atLeast" w:line="240" w:before="0" w:after="0"/>
              <w:rPr/>
            </w:pPr>
            <w:r>
              <w:rPr/>
              <w:t> </w:t>
            </w:r>
          </w:p>
        </w:tc>
        <w:tc>
          <w:tcPr>
            <w:tcW w:w="737" w:type="dxa"/>
            <w:tcBorders/>
            <w:shd w:fill="auto" w:val="clear"/>
            <w:vAlign w:val="center"/>
          </w:tcPr>
          <w:p>
            <w:pPr>
              <w:pStyle w:val="TableContents"/>
              <w:spacing w:lineRule="atLeast" w:line="240" w:before="0" w:after="0"/>
              <w:jc w:val="right"/>
              <w:rPr>
                <w:rFonts w:ascii="ARIAL" w:hAnsi="ARIAL"/>
                <w:sz w:val="14"/>
              </w:rPr>
            </w:pPr>
            <w:r>
              <w:rPr>
                <w:rFonts w:ascii="ARIAL" w:hAnsi="ARIAL"/>
                <w:sz w:val="14"/>
              </w:rPr>
              <w:t>3/1/2020</w:t>
            </w:r>
          </w:p>
        </w:tc>
        <w:tc>
          <w:tcPr>
            <w:tcW w:w="60" w:type="dxa"/>
            <w:tcBorders/>
            <w:shd w:fill="auto" w:val="clear"/>
            <w:vAlign w:val="center"/>
          </w:tcPr>
          <w:p>
            <w:pPr>
              <w:pStyle w:val="TableContents"/>
              <w:spacing w:lineRule="atLeast" w:line="240" w:before="0" w:after="0"/>
              <w:rPr/>
            </w:pPr>
            <w:r>
              <w:rPr/>
              <w:t> </w:t>
            </w:r>
          </w:p>
        </w:tc>
        <w:tc>
          <w:tcPr>
            <w:tcW w:w="120" w:type="dxa"/>
            <w:tcBorders/>
            <w:shd w:fill="auto" w:val="clear"/>
            <w:vAlign w:val="center"/>
          </w:tcPr>
          <w:p>
            <w:pPr>
              <w:pStyle w:val="TableContents"/>
              <w:spacing w:before="0" w:after="283"/>
              <w:rPr/>
            </w:pPr>
            <w:r>
              <w:rPr/>
              <w:t>  </w:t>
            </w:r>
          </w:p>
        </w:tc>
        <w:tc>
          <w:tcPr>
            <w:tcW w:w="128" w:type="dxa"/>
            <w:tcBorders/>
            <w:shd w:fill="auto" w:val="clear"/>
            <w:vAlign w:val="center"/>
          </w:tcPr>
          <w:p>
            <w:pPr>
              <w:pStyle w:val="TableContents"/>
              <w:spacing w:lineRule="atLeast" w:line="240" w:before="0" w:after="0"/>
              <w:rPr/>
            </w:pPr>
            <w:r>
              <w:rPr/>
              <w:t> </w:t>
            </w:r>
          </w:p>
        </w:tc>
        <w:tc>
          <w:tcPr>
            <w:tcW w:w="1107" w:type="dxa"/>
            <w:tcBorders/>
            <w:shd w:fill="auto" w:val="clear"/>
            <w:vAlign w:val="center"/>
          </w:tcPr>
          <w:p>
            <w:pPr>
              <w:pStyle w:val="TableContents"/>
              <w:spacing w:lineRule="atLeast" w:line="240" w:before="0" w:after="0"/>
              <w:jc w:val="right"/>
              <w:rPr>
                <w:rFonts w:ascii="ARIAL" w:hAnsi="ARIAL"/>
                <w:sz w:val="14"/>
              </w:rPr>
            </w:pPr>
            <w:r>
              <w:rPr>
                <w:rFonts w:ascii="ARIAL" w:hAnsi="ARIAL"/>
                <w:sz w:val="14"/>
              </w:rPr>
              <w:t>37,500</w:t>
            </w:r>
          </w:p>
        </w:tc>
        <w:tc>
          <w:tcPr>
            <w:tcW w:w="75" w:type="dxa"/>
            <w:tcBorders/>
            <w:shd w:fill="auto" w:val="clear"/>
            <w:vAlign w:val="center"/>
          </w:tcPr>
          <w:p>
            <w:pPr>
              <w:pStyle w:val="TableContents"/>
              <w:spacing w:lineRule="atLeast" w:line="240" w:before="0" w:after="0"/>
              <w:rPr/>
            </w:pPr>
            <w:r>
              <w:rPr/>
              <w:t> </w:t>
            </w:r>
          </w:p>
        </w:tc>
      </w:tr>
      <w:tr>
        <w:trPr/>
        <w:tc>
          <w:tcPr>
            <w:tcW w:w="12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38" w:type="dxa"/>
            <w:tcBorders/>
            <w:shd w:fill="auto" w:val="clear"/>
            <w:vAlign w:val="center"/>
          </w:tcPr>
          <w:p>
            <w:pPr>
              <w:pStyle w:val="TableContents"/>
              <w:spacing w:lineRule="atLeast" w:line="240" w:before="0" w:after="0"/>
              <w:rPr/>
            </w:pPr>
            <w:r>
              <w:rPr/>
              <w:t> </w:t>
            </w:r>
          </w:p>
        </w:tc>
        <w:tc>
          <w:tcPr>
            <w:tcW w:w="737" w:type="dxa"/>
            <w:tcBorders/>
            <w:shd w:fill="auto" w:val="clear"/>
            <w:vAlign w:val="center"/>
          </w:tcPr>
          <w:p>
            <w:pPr>
              <w:pStyle w:val="TableContents"/>
              <w:spacing w:lineRule="atLeast" w:line="240" w:before="0" w:after="0"/>
              <w:jc w:val="right"/>
              <w:rPr>
                <w:rFonts w:ascii="ARIAL" w:hAnsi="ARIAL"/>
                <w:sz w:val="14"/>
              </w:rPr>
            </w:pPr>
            <w:r>
              <w:rPr>
                <w:rFonts w:ascii="ARIAL" w:hAnsi="ARIAL"/>
                <w:sz w:val="14"/>
              </w:rPr>
              <w:t>3/1/2021</w:t>
            </w:r>
          </w:p>
        </w:tc>
        <w:tc>
          <w:tcPr>
            <w:tcW w:w="60" w:type="dxa"/>
            <w:tcBorders/>
            <w:shd w:fill="auto" w:val="clear"/>
            <w:vAlign w:val="center"/>
          </w:tcPr>
          <w:p>
            <w:pPr>
              <w:pStyle w:val="TableContents"/>
              <w:spacing w:lineRule="atLeast" w:line="240" w:before="0" w:after="0"/>
              <w:rPr/>
            </w:pPr>
            <w:r>
              <w:rPr/>
              <w:t> </w:t>
            </w:r>
          </w:p>
        </w:tc>
        <w:tc>
          <w:tcPr>
            <w:tcW w:w="120" w:type="dxa"/>
            <w:tcBorders/>
            <w:shd w:fill="auto" w:val="clear"/>
            <w:vAlign w:val="center"/>
          </w:tcPr>
          <w:p>
            <w:pPr>
              <w:pStyle w:val="TableContents"/>
              <w:spacing w:before="0" w:after="283"/>
              <w:rPr/>
            </w:pPr>
            <w:r>
              <w:rPr/>
              <w:t>  </w:t>
            </w:r>
          </w:p>
        </w:tc>
        <w:tc>
          <w:tcPr>
            <w:tcW w:w="128" w:type="dxa"/>
            <w:tcBorders/>
            <w:shd w:fill="auto" w:val="clear"/>
            <w:vAlign w:val="center"/>
          </w:tcPr>
          <w:p>
            <w:pPr>
              <w:pStyle w:val="TableContents"/>
              <w:spacing w:lineRule="atLeast" w:line="240" w:before="0" w:after="0"/>
              <w:rPr/>
            </w:pPr>
            <w:r>
              <w:rPr/>
              <w:t> </w:t>
            </w:r>
          </w:p>
        </w:tc>
        <w:tc>
          <w:tcPr>
            <w:tcW w:w="1107" w:type="dxa"/>
            <w:tcBorders/>
            <w:shd w:fill="auto" w:val="clear"/>
            <w:vAlign w:val="center"/>
          </w:tcPr>
          <w:p>
            <w:pPr>
              <w:pStyle w:val="TableContents"/>
              <w:spacing w:lineRule="atLeast" w:line="240" w:before="0" w:after="0"/>
              <w:jc w:val="right"/>
              <w:rPr>
                <w:rFonts w:ascii="ARIAL" w:hAnsi="ARIAL"/>
                <w:sz w:val="14"/>
              </w:rPr>
            </w:pPr>
            <w:r>
              <w:rPr>
                <w:rFonts w:ascii="ARIAL" w:hAnsi="ARIAL"/>
                <w:sz w:val="14"/>
              </w:rPr>
              <w:t>60,000</w:t>
            </w:r>
          </w:p>
        </w:tc>
        <w:tc>
          <w:tcPr>
            <w:tcW w:w="75" w:type="dxa"/>
            <w:tcBorders/>
            <w:shd w:fill="auto" w:val="clear"/>
            <w:vAlign w:val="center"/>
          </w:tcPr>
          <w:p>
            <w:pPr>
              <w:pStyle w:val="TableContents"/>
              <w:spacing w:lineRule="atLeast" w:line="240" w:before="0" w:after="0"/>
              <w:rPr/>
            </w:pPr>
            <w:r>
              <w:rPr/>
              <w:t> </w:t>
            </w:r>
          </w:p>
        </w:tc>
      </w:tr>
      <w:tr>
        <w:trPr/>
        <w:tc>
          <w:tcPr>
            <w:tcW w:w="12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38" w:type="dxa"/>
            <w:tcBorders/>
            <w:shd w:fill="auto" w:val="clear"/>
            <w:vAlign w:val="center"/>
          </w:tcPr>
          <w:p>
            <w:pPr>
              <w:pStyle w:val="TableContents"/>
              <w:spacing w:lineRule="atLeast" w:line="240" w:before="0" w:after="0"/>
              <w:rPr/>
            </w:pPr>
            <w:r>
              <w:rPr/>
              <w:t> </w:t>
            </w:r>
          </w:p>
        </w:tc>
        <w:tc>
          <w:tcPr>
            <w:tcW w:w="737" w:type="dxa"/>
            <w:tcBorders/>
            <w:shd w:fill="auto" w:val="clear"/>
            <w:vAlign w:val="center"/>
          </w:tcPr>
          <w:p>
            <w:pPr>
              <w:pStyle w:val="TableContents"/>
              <w:spacing w:lineRule="atLeast" w:line="240" w:before="0" w:after="0"/>
              <w:jc w:val="right"/>
              <w:rPr>
                <w:rFonts w:ascii="ARIAL" w:hAnsi="ARIAL"/>
                <w:sz w:val="14"/>
              </w:rPr>
            </w:pPr>
            <w:r>
              <w:rPr>
                <w:rFonts w:ascii="ARIAL" w:hAnsi="ARIAL"/>
                <w:sz w:val="14"/>
              </w:rPr>
              <w:t>3/1/2022</w:t>
            </w:r>
          </w:p>
        </w:tc>
        <w:tc>
          <w:tcPr>
            <w:tcW w:w="60" w:type="dxa"/>
            <w:tcBorders/>
            <w:shd w:fill="auto" w:val="clear"/>
            <w:vAlign w:val="center"/>
          </w:tcPr>
          <w:p>
            <w:pPr>
              <w:pStyle w:val="TableContents"/>
              <w:spacing w:lineRule="atLeast" w:line="240" w:before="0" w:after="0"/>
              <w:rPr/>
            </w:pPr>
            <w:r>
              <w:rPr/>
              <w:t> </w:t>
            </w:r>
          </w:p>
        </w:tc>
        <w:tc>
          <w:tcPr>
            <w:tcW w:w="120" w:type="dxa"/>
            <w:tcBorders/>
            <w:shd w:fill="auto" w:val="clear"/>
            <w:vAlign w:val="center"/>
          </w:tcPr>
          <w:p>
            <w:pPr>
              <w:pStyle w:val="TableContents"/>
              <w:spacing w:before="0" w:after="283"/>
              <w:rPr/>
            </w:pPr>
            <w:r>
              <w:rPr/>
              <w:t>  </w:t>
            </w:r>
          </w:p>
        </w:tc>
        <w:tc>
          <w:tcPr>
            <w:tcW w:w="128" w:type="dxa"/>
            <w:tcBorders/>
            <w:shd w:fill="auto" w:val="clear"/>
            <w:vAlign w:val="center"/>
          </w:tcPr>
          <w:p>
            <w:pPr>
              <w:pStyle w:val="TableContents"/>
              <w:spacing w:lineRule="atLeast" w:line="240" w:before="0" w:after="0"/>
              <w:rPr/>
            </w:pPr>
            <w:r>
              <w:rPr/>
              <w:t> </w:t>
            </w:r>
          </w:p>
        </w:tc>
        <w:tc>
          <w:tcPr>
            <w:tcW w:w="1107" w:type="dxa"/>
            <w:tcBorders/>
            <w:shd w:fill="auto" w:val="clear"/>
            <w:vAlign w:val="center"/>
          </w:tcPr>
          <w:p>
            <w:pPr>
              <w:pStyle w:val="TableContents"/>
              <w:spacing w:lineRule="atLeast" w:line="240" w:before="0" w:after="0"/>
              <w:jc w:val="right"/>
              <w:rPr>
                <w:rFonts w:ascii="ARIAL" w:hAnsi="ARIAL"/>
                <w:sz w:val="14"/>
              </w:rPr>
            </w:pPr>
            <w:r>
              <w:rPr>
                <w:rFonts w:ascii="ARIAL" w:hAnsi="ARIAL"/>
                <w:sz w:val="14"/>
              </w:rPr>
              <w:t>90,000</w:t>
            </w:r>
          </w:p>
        </w:tc>
        <w:tc>
          <w:tcPr>
            <w:tcW w:w="75" w:type="dxa"/>
            <w:tcBorders/>
            <w:shd w:fill="auto" w:val="clear"/>
            <w:vAlign w:val="center"/>
          </w:tcPr>
          <w:p>
            <w:pPr>
              <w:pStyle w:val="TableContents"/>
              <w:spacing w:lineRule="atLeast" w:line="240" w:before="0" w:after="0"/>
              <w:rPr/>
            </w:pPr>
            <w:r>
              <w:rPr/>
              <w:t> </w:t>
            </w:r>
          </w:p>
        </w:tc>
      </w:tr>
      <w:tr>
        <w:trPr/>
        <w:tc>
          <w:tcPr>
            <w:tcW w:w="1295" w:type="dxa"/>
            <w:tcBorders/>
            <w:shd w:fill="CEE8F6" w:val="clear"/>
            <w:vAlign w:val="center"/>
          </w:tcPr>
          <w:p>
            <w:pPr>
              <w:pStyle w:val="TableContents"/>
              <w:spacing w:lineRule="atLeast" w:line="240" w:before="0" w:after="0"/>
              <w:rPr>
                <w:rFonts w:ascii="ARIAL" w:hAnsi="ARIAL"/>
                <w:sz w:val="14"/>
              </w:rPr>
            </w:pPr>
            <w:r>
              <w:rPr>
                <w:rFonts w:ascii="ARIAL" w:hAnsi="ARIAL"/>
                <w:sz w:val="14"/>
              </w:rPr>
              <w:t>Kevin J. Hammons</w:t>
            </w:r>
          </w:p>
        </w:tc>
        <w:tc>
          <w:tcPr>
            <w:tcW w:w="120" w:type="dxa"/>
            <w:tcBorders/>
            <w:shd w:fill="CEE8F6" w:val="clear"/>
            <w:vAlign w:val="center"/>
          </w:tcPr>
          <w:p>
            <w:pPr>
              <w:pStyle w:val="TableContents"/>
              <w:spacing w:before="0" w:after="283"/>
              <w:rPr/>
            </w:pPr>
            <w:r>
              <w:rPr/>
              <w:t>  </w:t>
            </w:r>
          </w:p>
        </w:tc>
        <w:tc>
          <w:tcPr>
            <w:tcW w:w="138" w:type="dxa"/>
            <w:tcBorders/>
            <w:shd w:fill="CEE8F6" w:val="clear"/>
            <w:vAlign w:val="center"/>
          </w:tcPr>
          <w:p>
            <w:pPr>
              <w:pStyle w:val="TableContents"/>
              <w:spacing w:lineRule="atLeast" w:line="240" w:before="0" w:after="0"/>
              <w:rPr/>
            </w:pPr>
            <w:r>
              <w:rPr/>
              <w:t> </w:t>
            </w:r>
          </w:p>
        </w:tc>
        <w:tc>
          <w:tcPr>
            <w:tcW w:w="737" w:type="dxa"/>
            <w:tcBorders/>
            <w:shd w:fill="CEE8F6" w:val="clear"/>
            <w:vAlign w:val="center"/>
          </w:tcPr>
          <w:p>
            <w:pPr>
              <w:pStyle w:val="TableContents"/>
              <w:spacing w:lineRule="atLeast" w:line="240" w:before="0" w:after="0"/>
              <w:jc w:val="right"/>
              <w:rPr>
                <w:rFonts w:ascii="ARIAL" w:hAnsi="ARIAL"/>
                <w:sz w:val="14"/>
              </w:rPr>
            </w:pPr>
            <w:r>
              <w:rPr>
                <w:rFonts w:ascii="ARIAL" w:hAnsi="ARIAL"/>
                <w:sz w:val="14"/>
              </w:rPr>
              <w:t>3/1/2020</w:t>
            </w:r>
          </w:p>
        </w:tc>
        <w:tc>
          <w:tcPr>
            <w:tcW w:w="60" w:type="dxa"/>
            <w:tcBorders/>
            <w:shd w:fill="CEE8F6" w:val="clear"/>
            <w:vAlign w:val="center"/>
          </w:tcPr>
          <w:p>
            <w:pPr>
              <w:pStyle w:val="TableContents"/>
              <w:spacing w:lineRule="atLeast" w:line="240" w:before="0" w:after="0"/>
              <w:rPr/>
            </w:pPr>
            <w:r>
              <w:rPr/>
              <w:t> </w:t>
            </w:r>
          </w:p>
        </w:tc>
        <w:tc>
          <w:tcPr>
            <w:tcW w:w="120" w:type="dxa"/>
            <w:tcBorders/>
            <w:shd w:fill="CEE8F6" w:val="clear"/>
            <w:vAlign w:val="center"/>
          </w:tcPr>
          <w:p>
            <w:pPr>
              <w:pStyle w:val="TableContents"/>
              <w:spacing w:before="0" w:after="283"/>
              <w:rPr/>
            </w:pPr>
            <w:r>
              <w:rPr/>
              <w:t>  </w:t>
            </w:r>
          </w:p>
        </w:tc>
        <w:tc>
          <w:tcPr>
            <w:tcW w:w="128" w:type="dxa"/>
            <w:tcBorders/>
            <w:shd w:fill="CEE8F6" w:val="clear"/>
            <w:vAlign w:val="center"/>
          </w:tcPr>
          <w:p>
            <w:pPr>
              <w:pStyle w:val="TableContents"/>
              <w:spacing w:lineRule="atLeast" w:line="240" w:before="0" w:after="0"/>
              <w:rPr/>
            </w:pPr>
            <w:r>
              <w:rPr/>
              <w:t> </w:t>
            </w:r>
          </w:p>
        </w:tc>
        <w:tc>
          <w:tcPr>
            <w:tcW w:w="1107" w:type="dxa"/>
            <w:tcBorders/>
            <w:shd w:fill="CEE8F6" w:val="clear"/>
            <w:vAlign w:val="center"/>
          </w:tcPr>
          <w:p>
            <w:pPr>
              <w:pStyle w:val="TableContents"/>
              <w:spacing w:lineRule="atLeast" w:line="240" w:before="0" w:after="0"/>
              <w:jc w:val="right"/>
              <w:rPr>
                <w:rFonts w:ascii="ARIAL" w:hAnsi="ARIAL"/>
                <w:sz w:val="14"/>
              </w:rPr>
            </w:pPr>
            <w:r>
              <w:rPr>
                <w:rFonts w:ascii="ARIAL" w:hAnsi="ARIAL"/>
                <w:sz w:val="14"/>
              </w:rPr>
              <w:t>15,834</w:t>
            </w:r>
          </w:p>
        </w:tc>
        <w:tc>
          <w:tcPr>
            <w:tcW w:w="75" w:type="dxa"/>
            <w:tcBorders/>
            <w:shd w:fill="CEE8F6" w:val="clear"/>
            <w:vAlign w:val="center"/>
          </w:tcPr>
          <w:p>
            <w:pPr>
              <w:pStyle w:val="TableContents"/>
              <w:spacing w:lineRule="atLeast" w:line="240" w:before="0" w:after="0"/>
              <w:rPr/>
            </w:pPr>
            <w:r>
              <w:rPr/>
              <w:t> </w:t>
            </w:r>
          </w:p>
        </w:tc>
      </w:tr>
      <w:tr>
        <w:trPr/>
        <w:tc>
          <w:tcPr>
            <w:tcW w:w="1295" w:type="dxa"/>
            <w:tcBorders/>
            <w:shd w:fill="CEE8F6" w:val="clear"/>
            <w:vAlign w:val="center"/>
          </w:tcPr>
          <w:p>
            <w:pPr>
              <w:pStyle w:val="TableContents"/>
              <w:spacing w:before="0" w:after="283"/>
              <w:rPr>
                <w:sz w:val="4"/>
                <w:szCs w:val="4"/>
              </w:rPr>
            </w:pPr>
            <w:r>
              <w:rPr>
                <w:sz w:val="4"/>
                <w:szCs w:val="4"/>
              </w:rPr>
            </w:r>
          </w:p>
        </w:tc>
        <w:tc>
          <w:tcPr>
            <w:tcW w:w="120" w:type="dxa"/>
            <w:tcBorders/>
            <w:shd w:fill="CEE8F6" w:val="clear"/>
            <w:vAlign w:val="center"/>
          </w:tcPr>
          <w:p>
            <w:pPr>
              <w:pStyle w:val="TableContents"/>
              <w:spacing w:before="0" w:after="283"/>
              <w:rPr/>
            </w:pPr>
            <w:r>
              <w:rPr/>
              <w:t>  </w:t>
            </w:r>
          </w:p>
        </w:tc>
        <w:tc>
          <w:tcPr>
            <w:tcW w:w="138" w:type="dxa"/>
            <w:tcBorders/>
            <w:shd w:fill="CEE8F6" w:val="clear"/>
            <w:vAlign w:val="center"/>
          </w:tcPr>
          <w:p>
            <w:pPr>
              <w:pStyle w:val="TableContents"/>
              <w:spacing w:lineRule="atLeast" w:line="240" w:before="0" w:after="0"/>
              <w:rPr/>
            </w:pPr>
            <w:r>
              <w:rPr/>
              <w:t> </w:t>
            </w:r>
          </w:p>
        </w:tc>
        <w:tc>
          <w:tcPr>
            <w:tcW w:w="737" w:type="dxa"/>
            <w:tcBorders/>
            <w:shd w:fill="CEE8F6" w:val="clear"/>
            <w:vAlign w:val="center"/>
          </w:tcPr>
          <w:p>
            <w:pPr>
              <w:pStyle w:val="TableContents"/>
              <w:spacing w:lineRule="atLeast" w:line="240" w:before="0" w:after="0"/>
              <w:jc w:val="right"/>
              <w:rPr>
                <w:rFonts w:ascii="ARIAL" w:hAnsi="ARIAL"/>
                <w:sz w:val="14"/>
              </w:rPr>
            </w:pPr>
            <w:r>
              <w:rPr>
                <w:rFonts w:ascii="ARIAL" w:hAnsi="ARIAL"/>
                <w:sz w:val="14"/>
              </w:rPr>
              <w:t>3/1/2021</w:t>
            </w:r>
          </w:p>
        </w:tc>
        <w:tc>
          <w:tcPr>
            <w:tcW w:w="60" w:type="dxa"/>
            <w:tcBorders/>
            <w:shd w:fill="CEE8F6" w:val="clear"/>
            <w:vAlign w:val="center"/>
          </w:tcPr>
          <w:p>
            <w:pPr>
              <w:pStyle w:val="TableContents"/>
              <w:spacing w:lineRule="atLeast" w:line="240" w:before="0" w:after="0"/>
              <w:rPr/>
            </w:pPr>
            <w:r>
              <w:rPr/>
              <w:t> </w:t>
            </w:r>
          </w:p>
        </w:tc>
        <w:tc>
          <w:tcPr>
            <w:tcW w:w="120" w:type="dxa"/>
            <w:tcBorders/>
            <w:shd w:fill="CEE8F6" w:val="clear"/>
            <w:vAlign w:val="center"/>
          </w:tcPr>
          <w:p>
            <w:pPr>
              <w:pStyle w:val="TableContents"/>
              <w:spacing w:before="0" w:after="283"/>
              <w:rPr/>
            </w:pPr>
            <w:r>
              <w:rPr/>
              <w:t>  </w:t>
            </w:r>
          </w:p>
        </w:tc>
        <w:tc>
          <w:tcPr>
            <w:tcW w:w="128" w:type="dxa"/>
            <w:tcBorders/>
            <w:shd w:fill="CEE8F6" w:val="clear"/>
            <w:vAlign w:val="center"/>
          </w:tcPr>
          <w:p>
            <w:pPr>
              <w:pStyle w:val="TableContents"/>
              <w:spacing w:lineRule="atLeast" w:line="240" w:before="0" w:after="0"/>
              <w:rPr/>
            </w:pPr>
            <w:r>
              <w:rPr/>
              <w:t> </w:t>
            </w:r>
          </w:p>
        </w:tc>
        <w:tc>
          <w:tcPr>
            <w:tcW w:w="1107" w:type="dxa"/>
            <w:tcBorders/>
            <w:shd w:fill="CEE8F6" w:val="clear"/>
            <w:vAlign w:val="center"/>
          </w:tcPr>
          <w:p>
            <w:pPr>
              <w:pStyle w:val="TableContents"/>
              <w:spacing w:lineRule="atLeast" w:line="240" w:before="0" w:after="0"/>
              <w:jc w:val="right"/>
              <w:rPr>
                <w:rFonts w:ascii="ARIAL" w:hAnsi="ARIAL"/>
                <w:sz w:val="14"/>
              </w:rPr>
            </w:pPr>
            <w:r>
              <w:rPr>
                <w:rFonts w:ascii="ARIAL" w:hAnsi="ARIAL"/>
                <w:sz w:val="14"/>
              </w:rPr>
              <w:t>50,000</w:t>
            </w:r>
          </w:p>
        </w:tc>
        <w:tc>
          <w:tcPr>
            <w:tcW w:w="75" w:type="dxa"/>
            <w:tcBorders/>
            <w:shd w:fill="CEE8F6" w:val="clear"/>
            <w:vAlign w:val="center"/>
          </w:tcPr>
          <w:p>
            <w:pPr>
              <w:pStyle w:val="TableContents"/>
              <w:spacing w:lineRule="atLeast" w:line="240" w:before="0" w:after="0"/>
              <w:rPr/>
            </w:pPr>
            <w:r>
              <w:rPr/>
              <w:t> </w:t>
            </w:r>
          </w:p>
        </w:tc>
      </w:tr>
      <w:tr>
        <w:trPr/>
        <w:tc>
          <w:tcPr>
            <w:tcW w:w="1295" w:type="dxa"/>
            <w:tcBorders/>
            <w:shd w:fill="CEE8F6" w:val="clear"/>
            <w:vAlign w:val="center"/>
          </w:tcPr>
          <w:p>
            <w:pPr>
              <w:pStyle w:val="TableContents"/>
              <w:spacing w:before="0" w:after="283"/>
              <w:rPr>
                <w:sz w:val="4"/>
                <w:szCs w:val="4"/>
              </w:rPr>
            </w:pPr>
            <w:r>
              <w:rPr>
                <w:sz w:val="4"/>
                <w:szCs w:val="4"/>
              </w:rPr>
            </w:r>
          </w:p>
        </w:tc>
        <w:tc>
          <w:tcPr>
            <w:tcW w:w="120" w:type="dxa"/>
            <w:tcBorders/>
            <w:shd w:fill="CEE8F6" w:val="clear"/>
            <w:vAlign w:val="center"/>
          </w:tcPr>
          <w:p>
            <w:pPr>
              <w:pStyle w:val="TableContents"/>
              <w:spacing w:before="0" w:after="283"/>
              <w:rPr/>
            </w:pPr>
            <w:r>
              <w:rPr/>
              <w:t>  </w:t>
            </w:r>
          </w:p>
        </w:tc>
        <w:tc>
          <w:tcPr>
            <w:tcW w:w="138" w:type="dxa"/>
            <w:tcBorders/>
            <w:shd w:fill="CEE8F6" w:val="clear"/>
            <w:vAlign w:val="center"/>
          </w:tcPr>
          <w:p>
            <w:pPr>
              <w:pStyle w:val="TableContents"/>
              <w:spacing w:lineRule="atLeast" w:line="240" w:before="0" w:after="0"/>
              <w:rPr/>
            </w:pPr>
            <w:r>
              <w:rPr/>
              <w:t> </w:t>
            </w:r>
          </w:p>
        </w:tc>
        <w:tc>
          <w:tcPr>
            <w:tcW w:w="737" w:type="dxa"/>
            <w:tcBorders/>
            <w:shd w:fill="CEE8F6" w:val="clear"/>
            <w:vAlign w:val="center"/>
          </w:tcPr>
          <w:p>
            <w:pPr>
              <w:pStyle w:val="TableContents"/>
              <w:spacing w:lineRule="atLeast" w:line="240" w:before="0" w:after="0"/>
              <w:jc w:val="right"/>
              <w:rPr>
                <w:rFonts w:ascii="ARIAL" w:hAnsi="ARIAL"/>
                <w:sz w:val="14"/>
              </w:rPr>
            </w:pPr>
            <w:r>
              <w:rPr>
                <w:rFonts w:ascii="ARIAL" w:hAnsi="ARIAL"/>
                <w:sz w:val="14"/>
              </w:rPr>
              <w:t>3/1/2022</w:t>
            </w:r>
          </w:p>
        </w:tc>
        <w:tc>
          <w:tcPr>
            <w:tcW w:w="60" w:type="dxa"/>
            <w:tcBorders/>
            <w:shd w:fill="CEE8F6" w:val="clear"/>
            <w:vAlign w:val="center"/>
          </w:tcPr>
          <w:p>
            <w:pPr>
              <w:pStyle w:val="TableContents"/>
              <w:spacing w:lineRule="atLeast" w:line="240" w:before="0" w:after="0"/>
              <w:rPr/>
            </w:pPr>
            <w:r>
              <w:rPr/>
              <w:t> </w:t>
            </w:r>
          </w:p>
        </w:tc>
        <w:tc>
          <w:tcPr>
            <w:tcW w:w="120" w:type="dxa"/>
            <w:tcBorders/>
            <w:shd w:fill="CEE8F6" w:val="clear"/>
            <w:vAlign w:val="center"/>
          </w:tcPr>
          <w:p>
            <w:pPr>
              <w:pStyle w:val="TableContents"/>
              <w:spacing w:before="0" w:after="283"/>
              <w:rPr/>
            </w:pPr>
            <w:r>
              <w:rPr/>
              <w:t>  </w:t>
            </w:r>
          </w:p>
        </w:tc>
        <w:tc>
          <w:tcPr>
            <w:tcW w:w="128" w:type="dxa"/>
            <w:tcBorders/>
            <w:shd w:fill="CEE8F6" w:val="clear"/>
            <w:vAlign w:val="center"/>
          </w:tcPr>
          <w:p>
            <w:pPr>
              <w:pStyle w:val="TableContents"/>
              <w:spacing w:lineRule="atLeast" w:line="240" w:before="0" w:after="0"/>
              <w:rPr/>
            </w:pPr>
            <w:r>
              <w:rPr/>
              <w:t> </w:t>
            </w:r>
          </w:p>
        </w:tc>
        <w:tc>
          <w:tcPr>
            <w:tcW w:w="1107" w:type="dxa"/>
            <w:tcBorders/>
            <w:shd w:fill="CEE8F6" w:val="clear"/>
            <w:vAlign w:val="center"/>
          </w:tcPr>
          <w:p>
            <w:pPr>
              <w:pStyle w:val="TableContents"/>
              <w:spacing w:lineRule="atLeast" w:line="240" w:before="0" w:after="0"/>
              <w:jc w:val="right"/>
              <w:rPr>
                <w:rFonts w:ascii="ARIAL" w:hAnsi="ARIAL"/>
                <w:sz w:val="14"/>
              </w:rPr>
            </w:pPr>
            <w:r>
              <w:rPr>
                <w:rFonts w:ascii="ARIAL" w:hAnsi="ARIAL"/>
                <w:sz w:val="14"/>
              </w:rPr>
              <w:t>75,000</w:t>
            </w:r>
          </w:p>
        </w:tc>
        <w:tc>
          <w:tcPr>
            <w:tcW w:w="75" w:type="dxa"/>
            <w:tcBorders/>
            <w:shd w:fill="CEE8F6" w:val="clear"/>
            <w:vAlign w:val="center"/>
          </w:tcPr>
          <w:p>
            <w:pPr>
              <w:pStyle w:val="TableContents"/>
              <w:spacing w:lineRule="atLeast" w:line="240" w:before="0" w:after="0"/>
              <w:rPr/>
            </w:pPr>
            <w:r>
              <w:rPr/>
              <w:t> </w:t>
            </w:r>
          </w:p>
        </w:tc>
      </w:tr>
      <w:tr>
        <w:trPr/>
        <w:tc>
          <w:tcPr>
            <w:tcW w:w="1295" w:type="dxa"/>
            <w:tcBorders/>
            <w:shd w:fill="auto" w:val="clear"/>
            <w:vAlign w:val="center"/>
          </w:tcPr>
          <w:p>
            <w:pPr>
              <w:pStyle w:val="TableContents"/>
              <w:spacing w:lineRule="atLeast" w:line="240" w:before="0" w:after="0"/>
              <w:rPr>
                <w:rFonts w:ascii="ARIAL" w:hAnsi="ARIAL"/>
                <w:sz w:val="14"/>
              </w:rPr>
            </w:pPr>
            <w:r>
              <w:rPr>
                <w:rFonts w:ascii="ARIAL" w:hAnsi="ARIAL"/>
                <w:sz w:val="14"/>
              </w:rPr>
              <w:t>Lynn T. Simon, M.D.</w:t>
            </w:r>
          </w:p>
        </w:tc>
        <w:tc>
          <w:tcPr>
            <w:tcW w:w="120" w:type="dxa"/>
            <w:tcBorders/>
            <w:shd w:fill="auto" w:val="clear"/>
            <w:vAlign w:val="center"/>
          </w:tcPr>
          <w:p>
            <w:pPr>
              <w:pStyle w:val="TableContents"/>
              <w:spacing w:before="0" w:after="283"/>
              <w:rPr/>
            </w:pPr>
            <w:r>
              <w:rPr/>
              <w:t>  </w:t>
            </w:r>
          </w:p>
        </w:tc>
        <w:tc>
          <w:tcPr>
            <w:tcW w:w="138" w:type="dxa"/>
            <w:tcBorders/>
            <w:shd w:fill="auto" w:val="clear"/>
            <w:vAlign w:val="center"/>
          </w:tcPr>
          <w:p>
            <w:pPr>
              <w:pStyle w:val="TableContents"/>
              <w:spacing w:lineRule="atLeast" w:line="240" w:before="0" w:after="0"/>
              <w:rPr/>
            </w:pPr>
            <w:r>
              <w:rPr/>
              <w:t> </w:t>
            </w:r>
          </w:p>
        </w:tc>
        <w:tc>
          <w:tcPr>
            <w:tcW w:w="737" w:type="dxa"/>
            <w:tcBorders/>
            <w:shd w:fill="auto" w:val="clear"/>
            <w:vAlign w:val="center"/>
          </w:tcPr>
          <w:p>
            <w:pPr>
              <w:pStyle w:val="TableContents"/>
              <w:spacing w:lineRule="atLeast" w:line="240" w:before="0" w:after="0"/>
              <w:jc w:val="right"/>
              <w:rPr>
                <w:rFonts w:ascii="ARIAL" w:hAnsi="ARIAL"/>
                <w:sz w:val="14"/>
              </w:rPr>
            </w:pPr>
            <w:r>
              <w:rPr>
                <w:rFonts w:ascii="ARIAL" w:hAnsi="ARIAL"/>
                <w:sz w:val="14"/>
              </w:rPr>
              <w:t>3/1/2020</w:t>
            </w:r>
          </w:p>
        </w:tc>
        <w:tc>
          <w:tcPr>
            <w:tcW w:w="60" w:type="dxa"/>
            <w:tcBorders/>
            <w:shd w:fill="auto" w:val="clear"/>
            <w:vAlign w:val="center"/>
          </w:tcPr>
          <w:p>
            <w:pPr>
              <w:pStyle w:val="TableContents"/>
              <w:spacing w:lineRule="atLeast" w:line="240" w:before="0" w:after="0"/>
              <w:rPr/>
            </w:pPr>
            <w:r>
              <w:rPr/>
              <w:t> </w:t>
            </w:r>
          </w:p>
        </w:tc>
        <w:tc>
          <w:tcPr>
            <w:tcW w:w="120" w:type="dxa"/>
            <w:tcBorders/>
            <w:shd w:fill="auto" w:val="clear"/>
            <w:vAlign w:val="center"/>
          </w:tcPr>
          <w:p>
            <w:pPr>
              <w:pStyle w:val="TableContents"/>
              <w:spacing w:before="0" w:after="283"/>
              <w:rPr/>
            </w:pPr>
            <w:r>
              <w:rPr/>
              <w:t>  </w:t>
            </w:r>
          </w:p>
        </w:tc>
        <w:tc>
          <w:tcPr>
            <w:tcW w:w="128" w:type="dxa"/>
            <w:tcBorders/>
            <w:shd w:fill="auto" w:val="clear"/>
            <w:vAlign w:val="center"/>
          </w:tcPr>
          <w:p>
            <w:pPr>
              <w:pStyle w:val="TableContents"/>
              <w:spacing w:lineRule="atLeast" w:line="240" w:before="0" w:after="0"/>
              <w:rPr/>
            </w:pPr>
            <w:r>
              <w:rPr/>
              <w:t> </w:t>
            </w:r>
          </w:p>
        </w:tc>
        <w:tc>
          <w:tcPr>
            <w:tcW w:w="1107" w:type="dxa"/>
            <w:tcBorders/>
            <w:shd w:fill="auto" w:val="clear"/>
            <w:vAlign w:val="center"/>
          </w:tcPr>
          <w:p>
            <w:pPr>
              <w:pStyle w:val="TableContents"/>
              <w:spacing w:lineRule="atLeast" w:line="240" w:before="0" w:after="0"/>
              <w:jc w:val="right"/>
              <w:rPr>
                <w:rFonts w:ascii="ARIAL" w:hAnsi="ARIAL"/>
                <w:sz w:val="14"/>
              </w:rPr>
            </w:pPr>
            <w:r>
              <w:rPr>
                <w:rFonts w:ascii="ARIAL" w:hAnsi="ARIAL"/>
                <w:sz w:val="14"/>
              </w:rPr>
              <w:t>8,750</w:t>
            </w:r>
          </w:p>
        </w:tc>
        <w:tc>
          <w:tcPr>
            <w:tcW w:w="75" w:type="dxa"/>
            <w:tcBorders/>
            <w:shd w:fill="auto" w:val="clear"/>
            <w:vAlign w:val="center"/>
          </w:tcPr>
          <w:p>
            <w:pPr>
              <w:pStyle w:val="TableContents"/>
              <w:spacing w:lineRule="atLeast" w:line="240" w:before="0" w:after="0"/>
              <w:rPr/>
            </w:pPr>
            <w:r>
              <w:rPr/>
              <w:t> </w:t>
            </w:r>
          </w:p>
        </w:tc>
      </w:tr>
      <w:tr>
        <w:trPr/>
        <w:tc>
          <w:tcPr>
            <w:tcW w:w="12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38" w:type="dxa"/>
            <w:tcBorders/>
            <w:shd w:fill="auto" w:val="clear"/>
            <w:vAlign w:val="center"/>
          </w:tcPr>
          <w:p>
            <w:pPr>
              <w:pStyle w:val="TableContents"/>
              <w:spacing w:lineRule="atLeast" w:line="240" w:before="0" w:after="0"/>
              <w:rPr/>
            </w:pPr>
            <w:r>
              <w:rPr/>
              <w:t> </w:t>
            </w:r>
          </w:p>
        </w:tc>
        <w:tc>
          <w:tcPr>
            <w:tcW w:w="737" w:type="dxa"/>
            <w:tcBorders/>
            <w:shd w:fill="auto" w:val="clear"/>
            <w:vAlign w:val="center"/>
          </w:tcPr>
          <w:p>
            <w:pPr>
              <w:pStyle w:val="TableContents"/>
              <w:spacing w:lineRule="atLeast" w:line="240" w:before="0" w:after="0"/>
              <w:jc w:val="right"/>
              <w:rPr>
                <w:rFonts w:ascii="ARIAL" w:hAnsi="ARIAL"/>
                <w:sz w:val="14"/>
              </w:rPr>
            </w:pPr>
            <w:r>
              <w:rPr>
                <w:rFonts w:ascii="ARIAL" w:hAnsi="ARIAL"/>
                <w:sz w:val="14"/>
              </w:rPr>
              <w:t>3/1/2021</w:t>
            </w:r>
          </w:p>
        </w:tc>
        <w:tc>
          <w:tcPr>
            <w:tcW w:w="60" w:type="dxa"/>
            <w:tcBorders/>
            <w:shd w:fill="auto" w:val="clear"/>
            <w:vAlign w:val="center"/>
          </w:tcPr>
          <w:p>
            <w:pPr>
              <w:pStyle w:val="TableContents"/>
              <w:spacing w:lineRule="atLeast" w:line="240" w:before="0" w:after="0"/>
              <w:rPr/>
            </w:pPr>
            <w:r>
              <w:rPr/>
              <w:t> </w:t>
            </w:r>
          </w:p>
        </w:tc>
        <w:tc>
          <w:tcPr>
            <w:tcW w:w="120" w:type="dxa"/>
            <w:tcBorders/>
            <w:shd w:fill="auto" w:val="clear"/>
            <w:vAlign w:val="center"/>
          </w:tcPr>
          <w:p>
            <w:pPr>
              <w:pStyle w:val="TableContents"/>
              <w:spacing w:before="0" w:after="283"/>
              <w:rPr/>
            </w:pPr>
            <w:r>
              <w:rPr/>
              <w:t>  </w:t>
            </w:r>
          </w:p>
        </w:tc>
        <w:tc>
          <w:tcPr>
            <w:tcW w:w="128" w:type="dxa"/>
            <w:tcBorders/>
            <w:shd w:fill="auto" w:val="clear"/>
            <w:vAlign w:val="center"/>
          </w:tcPr>
          <w:p>
            <w:pPr>
              <w:pStyle w:val="TableContents"/>
              <w:spacing w:lineRule="atLeast" w:line="240" w:before="0" w:after="0"/>
              <w:rPr/>
            </w:pPr>
            <w:r>
              <w:rPr/>
              <w:t> </w:t>
            </w:r>
          </w:p>
        </w:tc>
        <w:tc>
          <w:tcPr>
            <w:tcW w:w="1107" w:type="dxa"/>
            <w:tcBorders/>
            <w:shd w:fill="auto" w:val="clear"/>
            <w:vAlign w:val="center"/>
          </w:tcPr>
          <w:p>
            <w:pPr>
              <w:pStyle w:val="TableContents"/>
              <w:spacing w:lineRule="atLeast" w:line="240" w:before="0" w:after="0"/>
              <w:jc w:val="right"/>
              <w:rPr>
                <w:rFonts w:ascii="ARIAL" w:hAnsi="ARIAL"/>
                <w:sz w:val="14"/>
              </w:rPr>
            </w:pPr>
            <w:r>
              <w:rPr>
                <w:rFonts w:ascii="ARIAL" w:hAnsi="ARIAL"/>
                <w:sz w:val="14"/>
              </w:rPr>
              <w:t>26,667</w:t>
            </w:r>
          </w:p>
        </w:tc>
        <w:tc>
          <w:tcPr>
            <w:tcW w:w="75" w:type="dxa"/>
            <w:tcBorders/>
            <w:shd w:fill="auto" w:val="clear"/>
            <w:vAlign w:val="center"/>
          </w:tcPr>
          <w:p>
            <w:pPr>
              <w:pStyle w:val="TableContents"/>
              <w:spacing w:lineRule="atLeast" w:line="240" w:before="0" w:after="0"/>
              <w:rPr/>
            </w:pPr>
            <w:r>
              <w:rPr/>
              <w:t> </w:t>
            </w:r>
          </w:p>
        </w:tc>
      </w:tr>
      <w:tr>
        <w:trPr/>
        <w:tc>
          <w:tcPr>
            <w:tcW w:w="12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38" w:type="dxa"/>
            <w:tcBorders/>
            <w:shd w:fill="auto" w:val="clear"/>
            <w:vAlign w:val="center"/>
          </w:tcPr>
          <w:p>
            <w:pPr>
              <w:pStyle w:val="TableContents"/>
              <w:spacing w:lineRule="atLeast" w:line="240" w:before="0" w:after="0"/>
              <w:rPr/>
            </w:pPr>
            <w:r>
              <w:rPr/>
              <w:t> </w:t>
            </w:r>
          </w:p>
        </w:tc>
        <w:tc>
          <w:tcPr>
            <w:tcW w:w="737" w:type="dxa"/>
            <w:tcBorders/>
            <w:shd w:fill="auto" w:val="clear"/>
            <w:vAlign w:val="center"/>
          </w:tcPr>
          <w:p>
            <w:pPr>
              <w:pStyle w:val="TableContents"/>
              <w:spacing w:lineRule="atLeast" w:line="240" w:before="0" w:after="0"/>
              <w:jc w:val="right"/>
              <w:rPr>
                <w:rFonts w:ascii="ARIAL" w:hAnsi="ARIAL"/>
                <w:sz w:val="14"/>
              </w:rPr>
            </w:pPr>
            <w:r>
              <w:rPr>
                <w:rFonts w:ascii="ARIAL" w:hAnsi="ARIAL"/>
                <w:sz w:val="14"/>
              </w:rPr>
              <w:t>3/1/2022</w:t>
            </w:r>
          </w:p>
        </w:tc>
        <w:tc>
          <w:tcPr>
            <w:tcW w:w="60" w:type="dxa"/>
            <w:tcBorders/>
            <w:shd w:fill="auto" w:val="clear"/>
            <w:vAlign w:val="center"/>
          </w:tcPr>
          <w:p>
            <w:pPr>
              <w:pStyle w:val="TableContents"/>
              <w:spacing w:lineRule="atLeast" w:line="240" w:before="0" w:after="0"/>
              <w:rPr/>
            </w:pPr>
            <w:r>
              <w:rPr/>
              <w:t> </w:t>
            </w:r>
          </w:p>
        </w:tc>
        <w:tc>
          <w:tcPr>
            <w:tcW w:w="120" w:type="dxa"/>
            <w:tcBorders/>
            <w:shd w:fill="auto" w:val="clear"/>
            <w:vAlign w:val="center"/>
          </w:tcPr>
          <w:p>
            <w:pPr>
              <w:pStyle w:val="TableContents"/>
              <w:spacing w:before="0" w:after="283"/>
              <w:rPr/>
            </w:pPr>
            <w:r>
              <w:rPr/>
              <w:t>  </w:t>
            </w:r>
          </w:p>
        </w:tc>
        <w:tc>
          <w:tcPr>
            <w:tcW w:w="128" w:type="dxa"/>
            <w:tcBorders/>
            <w:shd w:fill="auto" w:val="clear"/>
            <w:vAlign w:val="center"/>
          </w:tcPr>
          <w:p>
            <w:pPr>
              <w:pStyle w:val="TableContents"/>
              <w:spacing w:lineRule="atLeast" w:line="240" w:before="0" w:after="0"/>
              <w:rPr/>
            </w:pPr>
            <w:r>
              <w:rPr/>
              <w:t> </w:t>
            </w:r>
          </w:p>
        </w:tc>
        <w:tc>
          <w:tcPr>
            <w:tcW w:w="1107" w:type="dxa"/>
            <w:tcBorders/>
            <w:shd w:fill="auto" w:val="clear"/>
            <w:vAlign w:val="center"/>
          </w:tcPr>
          <w:p>
            <w:pPr>
              <w:pStyle w:val="TableContents"/>
              <w:spacing w:lineRule="atLeast" w:line="240" w:before="0" w:after="0"/>
              <w:jc w:val="right"/>
              <w:rPr>
                <w:rFonts w:ascii="ARIAL" w:hAnsi="ARIAL"/>
                <w:sz w:val="14"/>
              </w:rPr>
            </w:pPr>
            <w:r>
              <w:rPr>
                <w:rFonts w:ascii="ARIAL" w:hAnsi="ARIAL"/>
                <w:sz w:val="14"/>
              </w:rPr>
              <w:t>40,000</w:t>
            </w:r>
          </w:p>
        </w:tc>
        <w:tc>
          <w:tcPr>
            <w:tcW w:w="75" w:type="dxa"/>
            <w:tcBorders/>
            <w:shd w:fill="auto" w:val="clear"/>
            <w:vAlign w:val="center"/>
          </w:tcPr>
          <w:p>
            <w:pPr>
              <w:pStyle w:val="TableContents"/>
              <w:spacing w:lineRule="atLeast" w:line="240" w:before="0" w:after="0"/>
              <w:rPr/>
            </w:pPr>
            <w:r>
              <w:rPr/>
              <w:t> </w:t>
            </w:r>
          </w:p>
        </w:tc>
      </w:tr>
      <w:tr>
        <w:trPr/>
        <w:tc>
          <w:tcPr>
            <w:tcW w:w="1295" w:type="dxa"/>
            <w:tcBorders/>
            <w:shd w:fill="CEE8F6" w:val="clear"/>
            <w:vAlign w:val="center"/>
          </w:tcPr>
          <w:p>
            <w:pPr>
              <w:pStyle w:val="TableContents"/>
              <w:spacing w:lineRule="atLeast" w:line="240" w:before="0" w:after="0"/>
              <w:rPr>
                <w:rFonts w:ascii="ARIAL" w:hAnsi="ARIAL"/>
                <w:sz w:val="14"/>
              </w:rPr>
            </w:pPr>
            <w:r>
              <w:rPr>
                <w:rFonts w:ascii="ARIAL" w:hAnsi="ARIAL"/>
                <w:sz w:val="14"/>
              </w:rPr>
              <w:t>Mark B. Medley</w:t>
            </w:r>
          </w:p>
        </w:tc>
        <w:tc>
          <w:tcPr>
            <w:tcW w:w="120" w:type="dxa"/>
            <w:tcBorders/>
            <w:shd w:fill="CEE8F6" w:val="clear"/>
            <w:vAlign w:val="center"/>
          </w:tcPr>
          <w:p>
            <w:pPr>
              <w:pStyle w:val="TableContents"/>
              <w:spacing w:before="0" w:after="283"/>
              <w:rPr/>
            </w:pPr>
            <w:r>
              <w:rPr/>
              <w:t>  </w:t>
            </w:r>
          </w:p>
        </w:tc>
        <w:tc>
          <w:tcPr>
            <w:tcW w:w="138" w:type="dxa"/>
            <w:tcBorders/>
            <w:shd w:fill="CEE8F6" w:val="clear"/>
            <w:vAlign w:val="center"/>
          </w:tcPr>
          <w:p>
            <w:pPr>
              <w:pStyle w:val="TableContents"/>
              <w:spacing w:lineRule="atLeast" w:line="240" w:before="0" w:after="0"/>
              <w:rPr/>
            </w:pPr>
            <w:r>
              <w:rPr/>
              <w:t> </w:t>
            </w:r>
          </w:p>
        </w:tc>
        <w:tc>
          <w:tcPr>
            <w:tcW w:w="737" w:type="dxa"/>
            <w:tcBorders/>
            <w:shd w:fill="CEE8F6" w:val="clear"/>
            <w:vAlign w:val="center"/>
          </w:tcPr>
          <w:p>
            <w:pPr>
              <w:pStyle w:val="TableContents"/>
              <w:spacing w:lineRule="atLeast" w:line="240" w:before="0" w:after="0"/>
              <w:jc w:val="right"/>
              <w:rPr>
                <w:rFonts w:ascii="ARIAL" w:hAnsi="ARIAL"/>
                <w:sz w:val="14"/>
              </w:rPr>
            </w:pPr>
            <w:r>
              <w:rPr>
                <w:rFonts w:ascii="ARIAL" w:hAnsi="ARIAL"/>
                <w:sz w:val="14"/>
              </w:rPr>
              <w:t>3/1/2020</w:t>
            </w:r>
          </w:p>
        </w:tc>
        <w:tc>
          <w:tcPr>
            <w:tcW w:w="60" w:type="dxa"/>
            <w:tcBorders/>
            <w:shd w:fill="CEE8F6" w:val="clear"/>
            <w:vAlign w:val="center"/>
          </w:tcPr>
          <w:p>
            <w:pPr>
              <w:pStyle w:val="TableContents"/>
              <w:spacing w:lineRule="atLeast" w:line="240" w:before="0" w:after="0"/>
              <w:rPr/>
            </w:pPr>
            <w:r>
              <w:rPr/>
              <w:t> </w:t>
            </w:r>
          </w:p>
        </w:tc>
        <w:tc>
          <w:tcPr>
            <w:tcW w:w="120" w:type="dxa"/>
            <w:tcBorders/>
            <w:shd w:fill="CEE8F6" w:val="clear"/>
            <w:vAlign w:val="center"/>
          </w:tcPr>
          <w:p>
            <w:pPr>
              <w:pStyle w:val="TableContents"/>
              <w:spacing w:before="0" w:after="283"/>
              <w:rPr/>
            </w:pPr>
            <w:r>
              <w:rPr/>
              <w:t>  </w:t>
            </w:r>
          </w:p>
        </w:tc>
        <w:tc>
          <w:tcPr>
            <w:tcW w:w="128" w:type="dxa"/>
            <w:tcBorders/>
            <w:shd w:fill="CEE8F6" w:val="clear"/>
            <w:vAlign w:val="center"/>
          </w:tcPr>
          <w:p>
            <w:pPr>
              <w:pStyle w:val="TableContents"/>
              <w:spacing w:lineRule="atLeast" w:line="240" w:before="0" w:after="0"/>
              <w:rPr/>
            </w:pPr>
            <w:r>
              <w:rPr/>
              <w:t> </w:t>
            </w:r>
          </w:p>
        </w:tc>
        <w:tc>
          <w:tcPr>
            <w:tcW w:w="1107" w:type="dxa"/>
            <w:tcBorders/>
            <w:shd w:fill="CEE8F6" w:val="clear"/>
            <w:vAlign w:val="center"/>
          </w:tcPr>
          <w:p>
            <w:pPr>
              <w:pStyle w:val="TableContents"/>
              <w:spacing w:lineRule="atLeast" w:line="240" w:before="0" w:after="0"/>
              <w:jc w:val="right"/>
              <w:rPr>
                <w:rFonts w:ascii="ARIAL" w:hAnsi="ARIAL"/>
                <w:sz w:val="14"/>
              </w:rPr>
            </w:pPr>
            <w:r>
              <w:rPr>
                <w:rFonts w:ascii="ARIAL" w:hAnsi="ARIAL"/>
                <w:sz w:val="14"/>
              </w:rPr>
              <w:t>5,000</w:t>
            </w:r>
          </w:p>
        </w:tc>
        <w:tc>
          <w:tcPr>
            <w:tcW w:w="75" w:type="dxa"/>
            <w:tcBorders/>
            <w:shd w:fill="CEE8F6" w:val="clear"/>
            <w:vAlign w:val="center"/>
          </w:tcPr>
          <w:p>
            <w:pPr>
              <w:pStyle w:val="TableContents"/>
              <w:spacing w:lineRule="atLeast" w:line="240" w:before="0" w:after="0"/>
              <w:rPr/>
            </w:pPr>
            <w:r>
              <w:rPr/>
              <w:t> </w:t>
            </w:r>
          </w:p>
        </w:tc>
      </w:tr>
      <w:tr>
        <w:trPr/>
        <w:tc>
          <w:tcPr>
            <w:tcW w:w="1295" w:type="dxa"/>
            <w:tcBorders/>
            <w:shd w:fill="CEE8F6" w:val="clear"/>
            <w:vAlign w:val="center"/>
          </w:tcPr>
          <w:p>
            <w:pPr>
              <w:pStyle w:val="TableContents"/>
              <w:spacing w:before="0" w:after="283"/>
              <w:rPr>
                <w:sz w:val="4"/>
                <w:szCs w:val="4"/>
              </w:rPr>
            </w:pPr>
            <w:r>
              <w:rPr>
                <w:sz w:val="4"/>
                <w:szCs w:val="4"/>
              </w:rPr>
            </w:r>
          </w:p>
        </w:tc>
        <w:tc>
          <w:tcPr>
            <w:tcW w:w="120" w:type="dxa"/>
            <w:tcBorders/>
            <w:shd w:fill="CEE8F6" w:val="clear"/>
            <w:vAlign w:val="center"/>
          </w:tcPr>
          <w:p>
            <w:pPr>
              <w:pStyle w:val="TableContents"/>
              <w:spacing w:before="0" w:after="283"/>
              <w:rPr/>
            </w:pPr>
            <w:r>
              <w:rPr/>
              <w:t>  </w:t>
            </w:r>
          </w:p>
        </w:tc>
        <w:tc>
          <w:tcPr>
            <w:tcW w:w="138" w:type="dxa"/>
            <w:tcBorders/>
            <w:shd w:fill="CEE8F6" w:val="clear"/>
            <w:vAlign w:val="center"/>
          </w:tcPr>
          <w:p>
            <w:pPr>
              <w:pStyle w:val="TableContents"/>
              <w:spacing w:lineRule="atLeast" w:line="240" w:before="0" w:after="0"/>
              <w:rPr/>
            </w:pPr>
            <w:r>
              <w:rPr/>
              <w:t> </w:t>
            </w:r>
          </w:p>
        </w:tc>
        <w:tc>
          <w:tcPr>
            <w:tcW w:w="737" w:type="dxa"/>
            <w:tcBorders/>
            <w:shd w:fill="CEE8F6" w:val="clear"/>
            <w:vAlign w:val="center"/>
          </w:tcPr>
          <w:p>
            <w:pPr>
              <w:pStyle w:val="TableContents"/>
              <w:spacing w:lineRule="atLeast" w:line="240" w:before="0" w:after="0"/>
              <w:jc w:val="right"/>
              <w:rPr>
                <w:rFonts w:ascii="ARIAL" w:hAnsi="ARIAL"/>
                <w:sz w:val="14"/>
              </w:rPr>
            </w:pPr>
            <w:r>
              <w:rPr>
                <w:rFonts w:ascii="ARIAL" w:hAnsi="ARIAL"/>
                <w:sz w:val="14"/>
              </w:rPr>
              <w:t>3/1/2021</w:t>
            </w:r>
          </w:p>
        </w:tc>
        <w:tc>
          <w:tcPr>
            <w:tcW w:w="60" w:type="dxa"/>
            <w:tcBorders/>
            <w:shd w:fill="CEE8F6" w:val="clear"/>
            <w:vAlign w:val="center"/>
          </w:tcPr>
          <w:p>
            <w:pPr>
              <w:pStyle w:val="TableContents"/>
              <w:spacing w:lineRule="atLeast" w:line="240" w:before="0" w:after="0"/>
              <w:rPr/>
            </w:pPr>
            <w:r>
              <w:rPr/>
              <w:t> </w:t>
            </w:r>
          </w:p>
        </w:tc>
        <w:tc>
          <w:tcPr>
            <w:tcW w:w="120" w:type="dxa"/>
            <w:tcBorders/>
            <w:shd w:fill="CEE8F6" w:val="clear"/>
            <w:vAlign w:val="center"/>
          </w:tcPr>
          <w:p>
            <w:pPr>
              <w:pStyle w:val="TableContents"/>
              <w:spacing w:before="0" w:after="283"/>
              <w:rPr/>
            </w:pPr>
            <w:r>
              <w:rPr/>
              <w:t>  </w:t>
            </w:r>
          </w:p>
        </w:tc>
        <w:tc>
          <w:tcPr>
            <w:tcW w:w="128" w:type="dxa"/>
            <w:tcBorders/>
            <w:shd w:fill="CEE8F6" w:val="clear"/>
            <w:vAlign w:val="center"/>
          </w:tcPr>
          <w:p>
            <w:pPr>
              <w:pStyle w:val="TableContents"/>
              <w:spacing w:lineRule="atLeast" w:line="240" w:before="0" w:after="0"/>
              <w:rPr/>
            </w:pPr>
            <w:r>
              <w:rPr/>
              <w:t> </w:t>
            </w:r>
          </w:p>
        </w:tc>
        <w:tc>
          <w:tcPr>
            <w:tcW w:w="1107" w:type="dxa"/>
            <w:tcBorders/>
            <w:shd w:fill="CEE8F6" w:val="clear"/>
            <w:vAlign w:val="center"/>
          </w:tcPr>
          <w:p>
            <w:pPr>
              <w:pStyle w:val="TableContents"/>
              <w:spacing w:lineRule="atLeast" w:line="240" w:before="0" w:after="0"/>
              <w:jc w:val="right"/>
              <w:rPr>
                <w:rFonts w:ascii="ARIAL" w:hAnsi="ARIAL"/>
                <w:sz w:val="14"/>
              </w:rPr>
            </w:pPr>
            <w:r>
              <w:rPr>
                <w:rFonts w:ascii="ARIAL" w:hAnsi="ARIAL"/>
                <w:sz w:val="14"/>
              </w:rPr>
              <w:t>10,000</w:t>
            </w:r>
          </w:p>
        </w:tc>
        <w:tc>
          <w:tcPr>
            <w:tcW w:w="75" w:type="dxa"/>
            <w:tcBorders/>
            <w:shd w:fill="CEE8F6" w:val="clear"/>
            <w:vAlign w:val="center"/>
          </w:tcPr>
          <w:p>
            <w:pPr>
              <w:pStyle w:val="TableContents"/>
              <w:spacing w:lineRule="atLeast" w:line="240" w:before="0" w:after="0"/>
              <w:rPr/>
            </w:pPr>
            <w:r>
              <w:rPr/>
              <w:t> </w:t>
            </w:r>
          </w:p>
        </w:tc>
      </w:tr>
      <w:tr>
        <w:trPr/>
        <w:tc>
          <w:tcPr>
            <w:tcW w:w="1295" w:type="dxa"/>
            <w:tcBorders/>
            <w:shd w:fill="CEE8F6" w:val="clear"/>
            <w:vAlign w:val="center"/>
          </w:tcPr>
          <w:p>
            <w:pPr>
              <w:pStyle w:val="TableContents"/>
              <w:spacing w:before="0" w:after="283"/>
              <w:rPr>
                <w:sz w:val="4"/>
                <w:szCs w:val="4"/>
              </w:rPr>
            </w:pPr>
            <w:r>
              <w:rPr>
                <w:sz w:val="4"/>
                <w:szCs w:val="4"/>
              </w:rPr>
            </w:r>
          </w:p>
        </w:tc>
        <w:tc>
          <w:tcPr>
            <w:tcW w:w="120" w:type="dxa"/>
            <w:tcBorders/>
            <w:shd w:fill="CEE8F6" w:val="clear"/>
            <w:vAlign w:val="center"/>
          </w:tcPr>
          <w:p>
            <w:pPr>
              <w:pStyle w:val="TableContents"/>
              <w:spacing w:before="0" w:after="283"/>
              <w:rPr/>
            </w:pPr>
            <w:r>
              <w:rPr/>
              <w:t>  </w:t>
            </w:r>
          </w:p>
        </w:tc>
        <w:tc>
          <w:tcPr>
            <w:tcW w:w="138" w:type="dxa"/>
            <w:tcBorders/>
            <w:shd w:fill="CEE8F6" w:val="clear"/>
            <w:vAlign w:val="center"/>
          </w:tcPr>
          <w:p>
            <w:pPr>
              <w:pStyle w:val="TableContents"/>
              <w:spacing w:lineRule="atLeast" w:line="240" w:before="0" w:after="0"/>
              <w:rPr/>
            </w:pPr>
            <w:r>
              <w:rPr/>
              <w:t> </w:t>
            </w:r>
          </w:p>
        </w:tc>
        <w:tc>
          <w:tcPr>
            <w:tcW w:w="737" w:type="dxa"/>
            <w:tcBorders/>
            <w:shd w:fill="CEE8F6" w:val="clear"/>
            <w:vAlign w:val="center"/>
          </w:tcPr>
          <w:p>
            <w:pPr>
              <w:pStyle w:val="TableContents"/>
              <w:spacing w:lineRule="atLeast" w:line="240" w:before="0" w:after="0"/>
              <w:jc w:val="right"/>
              <w:rPr>
                <w:rFonts w:ascii="ARIAL" w:hAnsi="ARIAL"/>
                <w:sz w:val="14"/>
              </w:rPr>
            </w:pPr>
            <w:r>
              <w:rPr>
                <w:rFonts w:ascii="ARIAL" w:hAnsi="ARIAL"/>
                <w:sz w:val="14"/>
              </w:rPr>
              <w:t>3/1/2022</w:t>
            </w:r>
          </w:p>
        </w:tc>
        <w:tc>
          <w:tcPr>
            <w:tcW w:w="60" w:type="dxa"/>
            <w:tcBorders/>
            <w:shd w:fill="CEE8F6" w:val="clear"/>
            <w:vAlign w:val="center"/>
          </w:tcPr>
          <w:p>
            <w:pPr>
              <w:pStyle w:val="TableContents"/>
              <w:spacing w:lineRule="atLeast" w:line="240" w:before="0" w:after="0"/>
              <w:rPr/>
            </w:pPr>
            <w:r>
              <w:rPr/>
              <w:t> </w:t>
            </w:r>
          </w:p>
        </w:tc>
        <w:tc>
          <w:tcPr>
            <w:tcW w:w="120" w:type="dxa"/>
            <w:tcBorders/>
            <w:shd w:fill="CEE8F6" w:val="clear"/>
            <w:vAlign w:val="center"/>
          </w:tcPr>
          <w:p>
            <w:pPr>
              <w:pStyle w:val="TableContents"/>
              <w:spacing w:before="0" w:after="283"/>
              <w:rPr/>
            </w:pPr>
            <w:r>
              <w:rPr/>
              <w:t>  </w:t>
            </w:r>
          </w:p>
        </w:tc>
        <w:tc>
          <w:tcPr>
            <w:tcW w:w="128" w:type="dxa"/>
            <w:tcBorders/>
            <w:shd w:fill="CEE8F6" w:val="clear"/>
            <w:vAlign w:val="center"/>
          </w:tcPr>
          <w:p>
            <w:pPr>
              <w:pStyle w:val="TableContents"/>
              <w:spacing w:lineRule="atLeast" w:line="240" w:before="0" w:after="0"/>
              <w:rPr/>
            </w:pPr>
            <w:r>
              <w:rPr/>
              <w:t> </w:t>
            </w:r>
          </w:p>
        </w:tc>
        <w:tc>
          <w:tcPr>
            <w:tcW w:w="1107" w:type="dxa"/>
            <w:tcBorders/>
            <w:shd w:fill="CEE8F6" w:val="clear"/>
            <w:vAlign w:val="center"/>
          </w:tcPr>
          <w:p>
            <w:pPr>
              <w:pStyle w:val="TableContents"/>
              <w:spacing w:lineRule="atLeast" w:line="240" w:before="0" w:after="0"/>
              <w:jc w:val="right"/>
              <w:rPr>
                <w:rFonts w:ascii="ARIAL" w:hAnsi="ARIAL"/>
                <w:sz w:val="14"/>
              </w:rPr>
            </w:pPr>
            <w:r>
              <w:rPr>
                <w:rFonts w:ascii="ARIAL" w:hAnsi="ARIAL"/>
                <w:sz w:val="14"/>
              </w:rPr>
              <w:t>25,000</w:t>
            </w:r>
          </w:p>
        </w:tc>
        <w:tc>
          <w:tcPr>
            <w:tcW w:w="75" w:type="dxa"/>
            <w:tcBorders/>
            <w:shd w:fill="CEE8F6" w:val="clear"/>
            <w:vAlign w:val="center"/>
          </w:tcPr>
          <w:p>
            <w:pPr>
              <w:pStyle w:val="TableContents"/>
              <w:spacing w:lineRule="atLeast" w:line="240" w:before="0" w:after="0"/>
              <w:rPr/>
            </w:pPr>
            <w:r>
              <w:rPr/>
              <w:t> </w:t>
            </w:r>
          </w:p>
        </w:tc>
      </w:tr>
    </w:tbl>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68 </w:t>
      </w:r>
      <w:r>
        <w:br w:type="page"/>
      </w:r>
    </w:p>
    <w:p>
      <w:pPr>
        <w:pStyle w:val="HorizontalLine"/>
        <w:rPr/>
      </w:pPr>
      <w:r>
        <w:rPr/>
      </w:r>
    </w:p>
    <w:p>
      <w:pPr>
        <w:pStyle w:val="TextBody"/>
        <w:spacing w:before="0" w:after="0"/>
        <w:jc w:val="left"/>
        <w:rPr>
          <w:rFonts w:ascii="ARIAL" w:hAnsi="ARIAL"/>
          <w:sz w:val="20"/>
        </w:rPr>
      </w:pPr>
      <w:r>
        <w:rPr>
          <w:rFonts w:ascii="ARIAL" w:hAnsi="ARIAL"/>
          <w:sz w:val="20"/>
        </w:rPr>
        <w:t xml:space="preserve">Vesting for these awards occurred or will occur, subject to the terms of the 2009 Plan, in one-third increments on each of the first three (3) anniversaries of the grant date.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70"/>
        <w:gridCol w:w="9935"/>
      </w:tblGrid>
      <w:tr>
        <w:trPr/>
        <w:tc>
          <w:tcPr>
            <w:tcW w:w="270" w:type="dxa"/>
            <w:tcBorders/>
            <w:shd w:fill="auto" w:val="clear"/>
            <w:vAlign w:val="center"/>
          </w:tcPr>
          <w:p>
            <w:pPr>
              <w:pStyle w:val="TableContents"/>
              <w:spacing w:before="0" w:after="283"/>
              <w:jc w:val="left"/>
              <w:rPr/>
            </w:pPr>
            <w:r>
              <w:rPr/>
              <w:t>(4)</w:t>
            </w:r>
          </w:p>
        </w:tc>
        <w:tc>
          <w:tcPr>
            <w:tcW w:w="9935" w:type="dxa"/>
            <w:tcBorders/>
            <w:shd w:fill="auto" w:val="clear"/>
            <w:vAlign w:val="center"/>
          </w:tcPr>
          <w:p>
            <w:pPr>
              <w:pStyle w:val="TableContents"/>
              <w:spacing w:before="0" w:after="0"/>
              <w:jc w:val="left"/>
              <w:rPr>
                <w:rFonts w:ascii="ARIAL" w:hAnsi="ARIAL"/>
                <w:sz w:val="20"/>
              </w:rPr>
            </w:pPr>
            <w:r>
              <w:rPr>
                <w:rFonts w:ascii="ARIAL" w:hAnsi="ARIAL"/>
                <w:sz w:val="20"/>
              </w:rPr>
              <w:t xml:space="preserve">Market value is calculated based on the closing market price of shares of the Company’s Common Stock on December 30, 2022, the last trading day of the Company’s fiscal year, of $4.32 per share.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38"/>
        <w:gridCol w:w="9967"/>
      </w:tblGrid>
      <w:tr>
        <w:trPr/>
        <w:tc>
          <w:tcPr>
            <w:tcW w:w="238" w:type="dxa"/>
            <w:tcBorders/>
            <w:shd w:fill="auto" w:val="clear"/>
            <w:vAlign w:val="center"/>
          </w:tcPr>
          <w:p>
            <w:pPr>
              <w:pStyle w:val="TableContents"/>
              <w:spacing w:before="0" w:after="283"/>
              <w:jc w:val="left"/>
              <w:rPr/>
            </w:pPr>
            <w:r>
              <w:rPr/>
              <w:t>(5)</w:t>
            </w:r>
          </w:p>
        </w:tc>
        <w:tc>
          <w:tcPr>
            <w:tcW w:w="9967" w:type="dxa"/>
            <w:tcBorders/>
            <w:shd w:fill="auto" w:val="clear"/>
            <w:vAlign w:val="center"/>
          </w:tcPr>
          <w:p>
            <w:pPr>
              <w:pStyle w:val="TableContents"/>
              <w:spacing w:before="0" w:after="0"/>
              <w:jc w:val="left"/>
              <w:rPr>
                <w:rFonts w:ascii="ARIAL" w:hAnsi="ARIAL"/>
                <w:sz w:val="20"/>
              </w:rPr>
            </w:pPr>
            <w:r>
              <w:rPr>
                <w:rFonts w:ascii="ARIAL" w:hAnsi="ARIAL"/>
                <w:sz w:val="20"/>
              </w:rPr>
              <w:t xml:space="preserve">This column includes the 2020, 2021, and 2022 performance-based restricted stock awards which vest on March 1, 2022, 2023 and 2024, respectively. The performance-based awards can potentially vest as low as 0% for underachievement or as high as 200% for overachievement with respect to the three-year performance period. In accordance with SEC disclosure rules, the number of shares reflected in the table is based on an assumed achievement at the target (100%) performance level. In addition, the performance-based restricted stock awards which were granted on March 1, 2020 ultimately vested at the 100% level taking into account the level of achievement of the performance metrics under such awards during the three year performance period ended December 31, 2022, as described in greater detail above in the Compensation Discussion and Analysis. </w:t>
            </w:r>
          </w:p>
        </w:tc>
      </w:tr>
    </w:tbl>
    <w:p>
      <w:pPr>
        <w:pStyle w:val="TextBody"/>
        <w:spacing w:before="360" w:after="0"/>
        <w:jc w:val="left"/>
        <w:rPr>
          <w:rFonts w:ascii="ARIAL" w:hAnsi="ARIAL"/>
          <w:b/>
          <w:sz w:val="20"/>
        </w:rPr>
      </w:pPr>
      <w:bookmarkStart w:id="21" w:name="toc360141_19"/>
      <w:bookmarkEnd w:id="21"/>
      <w:r>
        <w:rPr>
          <w:rFonts w:ascii="ARIAL" w:hAnsi="ARIAL"/>
          <w:b/>
          <w:sz w:val="20"/>
        </w:rPr>
        <w:t xml:space="preserve">Option Exercises and Stock Vested </w:t>
      </w:r>
    </w:p>
    <w:p>
      <w:pPr>
        <w:pStyle w:val="TextBody"/>
        <w:spacing w:before="120" w:after="0"/>
        <w:jc w:val="left"/>
        <w:rPr>
          <w:rFonts w:ascii="ARIAL" w:hAnsi="ARIAL"/>
          <w:sz w:val="20"/>
        </w:rPr>
      </w:pPr>
      <w:r>
        <w:rPr>
          <w:rFonts w:ascii="ARIAL" w:hAnsi="ARIAL"/>
          <w:sz w:val="20"/>
        </w:rPr>
        <w:t xml:space="preserve">The following table sets forth certain information regarding options exercised for the named executive officers along with the number of restricted stock awards that vested during the year ended December 31, 2022. </w:t>
      </w:r>
    </w:p>
    <w:p>
      <w:pPr>
        <w:pStyle w:val="TextBody"/>
        <w:spacing w:before="0" w:after="0"/>
        <w:jc w:val="left"/>
        <w:rPr/>
      </w:pPr>
      <w:r>
        <w:rPr/>
        <w:t> </w:t>
      </w:r>
    </w:p>
    <w:tbl>
      <w:tblPr>
        <w:tblW w:w="7592" w:type="dxa"/>
        <w:jc w:val="left"/>
        <w:tblInd w:w="0" w:type="dxa"/>
        <w:tblCellMar>
          <w:top w:w="0" w:type="dxa"/>
          <w:left w:w="0" w:type="dxa"/>
          <w:bottom w:w="0" w:type="dxa"/>
          <w:right w:w="0" w:type="dxa"/>
        </w:tblCellMar>
      </w:tblPr>
      <w:tblGrid>
        <w:gridCol w:w="1520"/>
        <w:gridCol w:w="120"/>
        <w:gridCol w:w="428"/>
        <w:gridCol w:w="897"/>
        <w:gridCol w:w="172"/>
        <w:gridCol w:w="347"/>
        <w:gridCol w:w="376"/>
        <w:gridCol w:w="799"/>
        <w:gridCol w:w="60"/>
        <w:gridCol w:w="120"/>
        <w:gridCol w:w="118"/>
        <w:gridCol w:w="1206"/>
        <w:gridCol w:w="60"/>
        <w:gridCol w:w="120"/>
        <w:gridCol w:w="87"/>
        <w:gridCol w:w="1087"/>
        <w:gridCol w:w="75"/>
      </w:tblGrid>
      <w:tr>
        <w:trPr/>
        <w:tc>
          <w:tcPr>
            <w:tcW w:w="15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897"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79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20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7" w:type="dxa"/>
            <w:tcBorders/>
            <w:shd w:fill="auto" w:val="clear"/>
            <w:vAlign w:val="center"/>
          </w:tcPr>
          <w:p>
            <w:pPr>
              <w:pStyle w:val="TableContents"/>
              <w:spacing w:before="0" w:after="283"/>
              <w:rPr>
                <w:sz w:val="4"/>
                <w:szCs w:val="4"/>
              </w:rPr>
            </w:pPr>
            <w:r>
              <w:rPr>
                <w:sz w:val="4"/>
                <w:szCs w:val="4"/>
              </w:rPr>
            </w:r>
          </w:p>
        </w:tc>
        <w:tc>
          <w:tcPr>
            <w:tcW w:w="1087"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52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019" w:type="dxa"/>
            <w:gridSpan w:val="6"/>
            <w:tcBorders>
              <w:bottom w:val="single" w:sz="2" w:space="0" w:color="000000"/>
            </w:tcBorders>
            <w:shd w:fill="auto" w:val="clear"/>
            <w:tcMar>
              <w:bottom w:w="28" w:type="dxa"/>
            </w:tcMar>
            <w:vAlign w:val="center"/>
          </w:tcPr>
          <w:p>
            <w:pPr>
              <w:pStyle w:val="TableContents"/>
              <w:spacing w:before="0" w:after="283"/>
              <w:jc w:val="center"/>
              <w:rPr>
                <w:b/>
              </w:rPr>
            </w:pPr>
            <w:r>
              <w:rPr>
                <w:b/>
              </w:rPr>
              <w:t>Option Awards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678" w:type="dxa"/>
            <w:gridSpan w:val="6"/>
            <w:tcBorders>
              <w:bottom w:val="single" w:sz="2" w:space="0" w:color="000000"/>
            </w:tcBorders>
            <w:shd w:fill="auto" w:val="clear"/>
            <w:tcMar>
              <w:bottom w:w="28" w:type="dxa"/>
            </w:tcMar>
            <w:vAlign w:val="center"/>
          </w:tcPr>
          <w:p>
            <w:pPr>
              <w:pStyle w:val="TableContents"/>
              <w:spacing w:before="0" w:after="283"/>
              <w:jc w:val="center"/>
              <w:rPr>
                <w:b/>
              </w:rPr>
            </w:pPr>
            <w:r>
              <w:rPr>
                <w:b/>
              </w:rPr>
              <w:t>Stock Awards</w:t>
            </w:r>
          </w:p>
        </w:tc>
        <w:tc>
          <w:tcPr>
            <w:tcW w:w="75" w:type="dxa"/>
            <w:tcBorders/>
            <w:shd w:fill="auto" w:val="clear"/>
            <w:vAlign w:val="center"/>
          </w:tcPr>
          <w:p>
            <w:pPr>
              <w:pStyle w:val="TableContents"/>
              <w:spacing w:before="0" w:after="283"/>
              <w:rPr/>
            </w:pPr>
            <w:r>
              <w:rPr/>
              <w:t> </w:t>
            </w:r>
          </w:p>
        </w:tc>
      </w:tr>
      <w:tr>
        <w:trPr/>
        <w:tc>
          <w:tcPr>
            <w:tcW w:w="1520" w:type="dxa"/>
            <w:tcBorders>
              <w:bottom w:val="single" w:sz="6" w:space="0" w:color="000000"/>
            </w:tcBorders>
            <w:shd w:fill="auto" w:val="clear"/>
            <w:tcMar>
              <w:bottom w:w="28" w:type="dxa"/>
            </w:tcMar>
            <w:vAlign w:val="center"/>
          </w:tcPr>
          <w:p>
            <w:pPr>
              <w:pStyle w:val="TableContents"/>
              <w:spacing w:before="0" w:after="283"/>
              <w:rPr>
                <w:b/>
              </w:rPr>
            </w:pPr>
            <w:r>
              <w:rPr>
                <w:b/>
              </w:rPr>
              <w:t>Name</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1325" w:type="dxa"/>
            <w:gridSpan w:val="2"/>
            <w:tcBorders>
              <w:bottom w:val="single" w:sz="6" w:space="0" w:color="000000"/>
            </w:tcBorders>
            <w:shd w:fill="auto" w:val="clear"/>
            <w:tcMar>
              <w:bottom w:w="28" w:type="dxa"/>
            </w:tcMar>
            <w:vAlign w:val="center"/>
          </w:tcPr>
          <w:p>
            <w:pPr>
              <w:pStyle w:val="TableContents"/>
              <w:spacing w:before="0" w:after="0"/>
              <w:jc w:val="center"/>
              <w:rPr>
                <w:rFonts w:ascii="ARIAL" w:hAnsi="ARIAL"/>
                <w:b/>
                <w:sz w:val="16"/>
              </w:rPr>
            </w:pPr>
            <w:r>
              <w:rPr>
                <w:rFonts w:ascii="ARIAL" w:hAnsi="ARIAL"/>
                <w:b/>
                <w:sz w:val="16"/>
              </w:rPr>
              <w:t>Number of</w:t>
            </w:r>
          </w:p>
          <w:p>
            <w:pPr>
              <w:pStyle w:val="TableContents"/>
              <w:spacing w:before="0" w:after="0"/>
              <w:jc w:val="center"/>
              <w:rPr>
                <w:rFonts w:ascii="ARIAL" w:hAnsi="ARIAL"/>
                <w:b/>
                <w:sz w:val="16"/>
              </w:rPr>
            </w:pPr>
            <w:r>
              <w:rPr>
                <w:rFonts w:ascii="ARIAL" w:hAnsi="ARIAL"/>
                <w:b/>
                <w:sz w:val="16"/>
              </w:rPr>
              <w:t>Shares Acquired</w:t>
            </w:r>
          </w:p>
          <w:p>
            <w:pPr>
              <w:pStyle w:val="TableContents"/>
              <w:spacing w:before="0" w:after="0"/>
              <w:jc w:val="center"/>
              <w:rPr>
                <w:rFonts w:ascii="ARIAL" w:hAnsi="ARIAL"/>
                <w:b/>
                <w:sz w:val="16"/>
              </w:rPr>
            </w:pPr>
            <w:r>
              <w:rPr>
                <w:rFonts w:ascii="ARIAL" w:hAnsi="ARIAL"/>
                <w:b/>
                <w:sz w:val="16"/>
              </w:rPr>
              <w:t>on Exercise</w:t>
            </w:r>
          </w:p>
          <w:p>
            <w:pPr>
              <w:pStyle w:val="TableContents"/>
              <w:spacing w:before="0" w:after="20"/>
              <w:jc w:val="center"/>
              <w:rPr>
                <w:rFonts w:ascii="ARIAL" w:hAnsi="ARIAL"/>
                <w:b/>
                <w:sz w:val="16"/>
              </w:rPr>
            </w:pPr>
            <w:r>
              <w:rPr>
                <w:rFonts w:ascii="ARIAL" w:hAnsi="ARIAL"/>
                <w:b/>
                <w:sz w:val="16"/>
              </w:rPr>
              <w:t>(#)</w:t>
            </w:r>
          </w:p>
        </w:tc>
        <w:tc>
          <w:tcPr>
            <w:tcW w:w="172" w:type="dxa"/>
            <w:tcBorders>
              <w:bottom w:val="single" w:sz="6" w:space="0" w:color="000000"/>
            </w:tcBorders>
            <w:shd w:fill="auto" w:val="clear"/>
            <w:tcMar>
              <w:bottom w:w="28" w:type="dxa"/>
            </w:tcMar>
            <w:vAlign w:val="center"/>
          </w:tcPr>
          <w:p>
            <w:pPr>
              <w:pStyle w:val="TableContents"/>
              <w:spacing w:before="0" w:after="283"/>
              <w:rPr/>
            </w:pPr>
            <w:r>
              <w:rPr/>
              <w:t> </w:t>
            </w:r>
          </w:p>
        </w:tc>
        <w:tc>
          <w:tcPr>
            <w:tcW w:w="347" w:type="dxa"/>
            <w:tcBorders>
              <w:bottom w:val="single" w:sz="6" w:space="0" w:color="000000"/>
            </w:tcBorders>
            <w:shd w:fill="auto" w:val="clear"/>
            <w:tcMar>
              <w:bottom w:w="28" w:type="dxa"/>
            </w:tcMar>
            <w:vAlign w:val="center"/>
          </w:tcPr>
          <w:p>
            <w:pPr>
              <w:pStyle w:val="TableContents"/>
              <w:spacing w:before="0" w:after="283"/>
              <w:rPr/>
            </w:pPr>
            <w:r>
              <w:rPr/>
              <w:t>  </w:t>
            </w:r>
          </w:p>
        </w:tc>
        <w:tc>
          <w:tcPr>
            <w:tcW w:w="1175" w:type="dxa"/>
            <w:gridSpan w:val="2"/>
            <w:tcBorders>
              <w:bottom w:val="single" w:sz="6" w:space="0" w:color="000000"/>
            </w:tcBorders>
            <w:shd w:fill="auto" w:val="clear"/>
            <w:tcMar>
              <w:bottom w:w="28" w:type="dxa"/>
            </w:tcMar>
            <w:vAlign w:val="center"/>
          </w:tcPr>
          <w:p>
            <w:pPr>
              <w:pStyle w:val="TableContents"/>
              <w:spacing w:before="0" w:after="0"/>
              <w:jc w:val="center"/>
              <w:rPr>
                <w:rFonts w:ascii="ARIAL" w:hAnsi="ARIAL"/>
                <w:b/>
                <w:sz w:val="16"/>
              </w:rPr>
            </w:pPr>
            <w:r>
              <w:rPr>
                <w:rFonts w:ascii="ARIAL" w:hAnsi="ARIAL"/>
                <w:b/>
                <w:sz w:val="16"/>
              </w:rPr>
              <w:t>Value Realized</w:t>
            </w:r>
          </w:p>
          <w:p>
            <w:pPr>
              <w:pStyle w:val="TableContents"/>
              <w:spacing w:before="0" w:after="0"/>
              <w:jc w:val="center"/>
              <w:rPr>
                <w:rFonts w:ascii="ARIAL" w:hAnsi="ARIAL"/>
                <w:b/>
                <w:sz w:val="16"/>
              </w:rPr>
            </w:pPr>
            <w:r>
              <w:rPr>
                <w:rFonts w:ascii="ARIAL" w:hAnsi="ARIAL"/>
                <w:b/>
                <w:sz w:val="16"/>
              </w:rPr>
              <w:t>on Exercise</w:t>
            </w:r>
          </w:p>
          <w:p>
            <w:pPr>
              <w:pStyle w:val="TableContents"/>
              <w:spacing w:before="0" w:after="20"/>
              <w:jc w:val="center"/>
              <w:rPr>
                <w:rFonts w:ascii="ARIAL" w:hAnsi="ARIAL"/>
                <w:b/>
                <w:sz w:val="16"/>
              </w:rPr>
            </w:pPr>
            <w:r>
              <w:rPr>
                <w:rFonts w:ascii="ARIAL" w:hAnsi="ARIAL"/>
                <w:b/>
                <w:sz w:val="16"/>
              </w:rPr>
              <w:t>($)</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1324" w:type="dxa"/>
            <w:gridSpan w:val="2"/>
            <w:tcBorders>
              <w:bottom w:val="single" w:sz="6" w:space="0" w:color="000000"/>
            </w:tcBorders>
            <w:shd w:fill="auto" w:val="clear"/>
            <w:tcMar>
              <w:bottom w:w="28" w:type="dxa"/>
            </w:tcMar>
            <w:vAlign w:val="center"/>
          </w:tcPr>
          <w:p>
            <w:pPr>
              <w:pStyle w:val="TableContents"/>
              <w:spacing w:before="0" w:after="0"/>
              <w:jc w:val="center"/>
              <w:rPr>
                <w:rFonts w:ascii="ARIAL" w:hAnsi="ARIAL"/>
                <w:b/>
                <w:sz w:val="16"/>
              </w:rPr>
            </w:pPr>
            <w:r>
              <w:rPr>
                <w:rFonts w:ascii="ARIAL" w:hAnsi="ARIAL"/>
                <w:b/>
                <w:sz w:val="16"/>
              </w:rPr>
              <w:t>Number of</w:t>
            </w:r>
          </w:p>
          <w:p>
            <w:pPr>
              <w:pStyle w:val="TableContents"/>
              <w:spacing w:before="0" w:after="0"/>
              <w:jc w:val="center"/>
              <w:rPr>
                <w:rFonts w:ascii="ARIAL" w:hAnsi="ARIAL"/>
                <w:b/>
                <w:sz w:val="16"/>
              </w:rPr>
            </w:pPr>
            <w:r>
              <w:rPr>
                <w:rFonts w:ascii="ARIAL" w:hAnsi="ARIAL"/>
                <w:b/>
                <w:sz w:val="16"/>
              </w:rPr>
              <w:t>Shares Acquired</w:t>
              <w:br/>
              <w:t>on Vesting</w:t>
            </w:r>
          </w:p>
          <w:p>
            <w:pPr>
              <w:pStyle w:val="TableContents"/>
              <w:spacing w:before="0" w:after="20"/>
              <w:jc w:val="center"/>
              <w:rPr>
                <w:rFonts w:ascii="ARIAL" w:hAnsi="ARIAL"/>
                <w:b/>
                <w:sz w:val="16"/>
              </w:rPr>
            </w:pPr>
            <w:r>
              <w:rPr>
                <w:rFonts w:ascii="ARIAL" w:hAnsi="ARIAL"/>
                <w:b/>
                <w:sz w:val="16"/>
              </w:rPr>
              <w:t>(#)</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1174" w:type="dxa"/>
            <w:gridSpan w:val="2"/>
            <w:tcBorders>
              <w:bottom w:val="single" w:sz="6" w:space="0" w:color="000000"/>
            </w:tcBorders>
            <w:shd w:fill="auto" w:val="clear"/>
            <w:tcMar>
              <w:bottom w:w="28" w:type="dxa"/>
            </w:tcMar>
            <w:vAlign w:val="center"/>
          </w:tcPr>
          <w:p>
            <w:pPr>
              <w:pStyle w:val="TableContents"/>
              <w:spacing w:before="0" w:after="0"/>
              <w:jc w:val="center"/>
              <w:rPr>
                <w:rFonts w:ascii="ARIAL" w:hAnsi="ARIAL"/>
                <w:b/>
                <w:sz w:val="16"/>
              </w:rPr>
            </w:pPr>
            <w:r>
              <w:rPr>
                <w:rFonts w:ascii="ARIAL" w:hAnsi="ARIAL"/>
                <w:b/>
                <w:sz w:val="16"/>
              </w:rPr>
              <w:t>Value Realized</w:t>
              <w:br/>
              <w:t>on Vesting</w:t>
            </w:r>
          </w:p>
          <w:p>
            <w:pPr>
              <w:pStyle w:val="TableContents"/>
              <w:spacing w:before="0" w:after="20"/>
              <w:jc w:val="center"/>
              <w:rPr>
                <w:rFonts w:ascii="ARIAL" w:hAnsi="ARIAL"/>
                <w:b/>
                <w:sz w:val="16"/>
              </w:rPr>
            </w:pPr>
            <w:r>
              <w:rPr>
                <w:rFonts w:ascii="ARIAL" w:hAnsi="ARIAL"/>
                <w:b/>
                <w:sz w:val="16"/>
              </w:rPr>
              <w:t>($) (1)</w:t>
            </w:r>
          </w:p>
        </w:tc>
        <w:tc>
          <w:tcPr>
            <w:tcW w:w="75" w:type="dxa"/>
            <w:tcBorders>
              <w:bottom w:val="single" w:sz="6" w:space="0" w:color="000000"/>
            </w:tcBorders>
            <w:shd w:fill="auto" w:val="clear"/>
            <w:tcMar>
              <w:bottom w:w="28" w:type="dxa"/>
            </w:tcMar>
            <w:vAlign w:val="center"/>
          </w:tcPr>
          <w:p>
            <w:pPr>
              <w:pStyle w:val="TableContents"/>
              <w:spacing w:before="0" w:after="283"/>
              <w:rPr/>
            </w:pPr>
            <w:r>
              <w:rPr/>
              <w:t> </w:t>
            </w:r>
          </w:p>
        </w:tc>
      </w:tr>
      <w:tr>
        <w:trPr/>
        <w:tc>
          <w:tcPr>
            <w:tcW w:w="1520" w:type="dxa"/>
            <w:tcBorders/>
            <w:shd w:fill="CEE8F6" w:val="clear"/>
            <w:vAlign w:val="center"/>
          </w:tcPr>
          <w:p>
            <w:pPr>
              <w:pStyle w:val="TableContents"/>
              <w:spacing w:lineRule="atLeast" w:line="240" w:before="0" w:after="0"/>
              <w:rPr>
                <w:rFonts w:ascii="ARIAL" w:hAnsi="ARIAL"/>
                <w:sz w:val="16"/>
              </w:rPr>
            </w:pPr>
            <w:r>
              <w:rPr>
                <w:rFonts w:ascii="ARIAL" w:hAnsi="ARIAL"/>
                <w:sz w:val="16"/>
              </w:rPr>
              <w:t>Tim L. Hingtgen</w:t>
            </w:r>
          </w:p>
        </w:tc>
        <w:tc>
          <w:tcPr>
            <w:tcW w:w="120" w:type="dxa"/>
            <w:tcBorders/>
            <w:shd w:fill="CEE8F6" w:val="clear"/>
            <w:vAlign w:val="center"/>
          </w:tcPr>
          <w:p>
            <w:pPr>
              <w:pStyle w:val="TableContents"/>
              <w:spacing w:before="0" w:after="283"/>
              <w:rPr/>
            </w:pPr>
            <w:r>
              <w:rPr/>
              <w:t>  </w:t>
            </w:r>
          </w:p>
        </w:tc>
        <w:tc>
          <w:tcPr>
            <w:tcW w:w="428" w:type="dxa"/>
            <w:tcBorders/>
            <w:shd w:fill="CEE8F6" w:val="clear"/>
            <w:vAlign w:val="center"/>
          </w:tcPr>
          <w:p>
            <w:pPr>
              <w:pStyle w:val="TableContents"/>
              <w:spacing w:lineRule="atLeast" w:line="240" w:before="0" w:after="0"/>
              <w:rPr/>
            </w:pPr>
            <w:r>
              <w:rPr/>
              <w:t> </w:t>
            </w:r>
          </w:p>
        </w:tc>
        <w:tc>
          <w:tcPr>
            <w:tcW w:w="897" w:type="dxa"/>
            <w:tcBorders/>
            <w:shd w:fill="CEE8F6" w:val="clear"/>
            <w:vAlign w:val="center"/>
          </w:tcPr>
          <w:p>
            <w:pPr>
              <w:pStyle w:val="TableContents"/>
              <w:spacing w:lineRule="atLeast" w:line="240" w:before="0" w:after="0"/>
              <w:jc w:val="right"/>
              <w:rPr>
                <w:rFonts w:ascii="ARIAL" w:hAnsi="ARIAL"/>
                <w:sz w:val="16"/>
              </w:rPr>
            </w:pPr>
            <w:r>
              <w:rPr>
                <w:rFonts w:ascii="ARIAL" w:hAnsi="ARIAL"/>
                <w:sz w:val="16"/>
              </w:rPr>
              <w:t>- </w:t>
            </w:r>
          </w:p>
        </w:tc>
        <w:tc>
          <w:tcPr>
            <w:tcW w:w="172" w:type="dxa"/>
            <w:tcBorders/>
            <w:shd w:fill="CEE8F6" w:val="clear"/>
            <w:vAlign w:val="center"/>
          </w:tcPr>
          <w:p>
            <w:pPr>
              <w:pStyle w:val="TableContents"/>
              <w:spacing w:before="0" w:after="283"/>
              <w:rPr>
                <w:sz w:val="4"/>
                <w:szCs w:val="4"/>
              </w:rPr>
            </w:pPr>
            <w:r>
              <w:rPr>
                <w:sz w:val="4"/>
                <w:szCs w:val="4"/>
              </w:rPr>
            </w:r>
          </w:p>
        </w:tc>
        <w:tc>
          <w:tcPr>
            <w:tcW w:w="347" w:type="dxa"/>
            <w:tcBorders/>
            <w:shd w:fill="CEE8F6" w:val="clear"/>
            <w:vAlign w:val="center"/>
          </w:tcPr>
          <w:p>
            <w:pPr>
              <w:pStyle w:val="TableContents"/>
              <w:spacing w:before="0" w:after="283"/>
              <w:rPr/>
            </w:pPr>
            <w:r>
              <w:rPr/>
              <w:t>  </w:t>
            </w:r>
          </w:p>
        </w:tc>
        <w:tc>
          <w:tcPr>
            <w:tcW w:w="376" w:type="dxa"/>
            <w:tcBorders/>
            <w:shd w:fill="CEE8F6" w:val="clear"/>
            <w:vAlign w:val="center"/>
          </w:tcPr>
          <w:p>
            <w:pPr>
              <w:pStyle w:val="TableContents"/>
              <w:spacing w:lineRule="atLeast" w:line="240" w:before="0" w:after="0"/>
              <w:rPr/>
            </w:pPr>
            <w:r>
              <w:rPr/>
              <w:t> </w:t>
            </w:r>
          </w:p>
        </w:tc>
        <w:tc>
          <w:tcPr>
            <w:tcW w:w="799" w:type="dxa"/>
            <w:tcBorders/>
            <w:shd w:fill="CEE8F6" w:val="clear"/>
            <w:vAlign w:val="center"/>
          </w:tcPr>
          <w:p>
            <w:pPr>
              <w:pStyle w:val="TableContents"/>
              <w:spacing w:lineRule="atLeast" w:line="240" w:before="0" w:after="0"/>
              <w:jc w:val="right"/>
              <w:rPr>
                <w:rFonts w:ascii="ARIAL" w:hAnsi="ARIAL"/>
                <w:sz w:val="16"/>
              </w:rPr>
            </w:pPr>
            <w:r>
              <w:rPr>
                <w:rFonts w:ascii="ARIAL" w:hAnsi="ARIAL"/>
                <w:sz w:val="16"/>
              </w:rPr>
              <w:t>- </w:t>
            </w:r>
          </w:p>
        </w:tc>
        <w:tc>
          <w:tcPr>
            <w:tcW w:w="60" w:type="dxa"/>
            <w:tcBorders/>
            <w:shd w:fill="CEE8F6" w:val="clear"/>
            <w:vAlign w:val="center"/>
          </w:tcPr>
          <w:p>
            <w:pPr>
              <w:pStyle w:val="TableContents"/>
              <w:spacing w:before="0" w:after="283"/>
              <w:rPr>
                <w:sz w:val="4"/>
                <w:szCs w:val="4"/>
              </w:rPr>
            </w:pPr>
            <w:r>
              <w:rPr>
                <w:sz w:val="4"/>
                <w:szCs w:val="4"/>
              </w:rPr>
            </w:r>
          </w:p>
        </w:tc>
        <w:tc>
          <w:tcPr>
            <w:tcW w:w="120" w:type="dxa"/>
            <w:tcBorders/>
            <w:shd w:fill="CEE8F6" w:val="clear"/>
            <w:vAlign w:val="center"/>
          </w:tcPr>
          <w:p>
            <w:pPr>
              <w:pStyle w:val="TableContents"/>
              <w:spacing w:before="0" w:after="283"/>
              <w:rPr/>
            </w:pPr>
            <w:r>
              <w:rPr/>
              <w:t>  </w:t>
            </w:r>
          </w:p>
        </w:tc>
        <w:tc>
          <w:tcPr>
            <w:tcW w:w="118" w:type="dxa"/>
            <w:tcBorders/>
            <w:shd w:fill="CEE8F6" w:val="clear"/>
            <w:vAlign w:val="center"/>
          </w:tcPr>
          <w:p>
            <w:pPr>
              <w:pStyle w:val="TableContents"/>
              <w:spacing w:lineRule="atLeast" w:line="240" w:before="0" w:after="0"/>
              <w:rPr/>
            </w:pPr>
            <w:r>
              <w:rPr/>
              <w:t> </w:t>
            </w:r>
          </w:p>
        </w:tc>
        <w:tc>
          <w:tcPr>
            <w:tcW w:w="1206" w:type="dxa"/>
            <w:tcBorders/>
            <w:shd w:fill="CEE8F6" w:val="clear"/>
            <w:vAlign w:val="center"/>
          </w:tcPr>
          <w:p>
            <w:pPr>
              <w:pStyle w:val="TableContents"/>
              <w:spacing w:lineRule="atLeast" w:line="240" w:before="0" w:after="0"/>
              <w:jc w:val="right"/>
              <w:rPr>
                <w:rFonts w:ascii="ARIAL" w:hAnsi="ARIAL"/>
                <w:sz w:val="16"/>
              </w:rPr>
            </w:pPr>
            <w:r>
              <w:rPr>
                <w:rFonts w:ascii="ARIAL" w:hAnsi="ARIAL"/>
                <w:sz w:val="16"/>
              </w:rPr>
              <w:t>302,083</w:t>
            </w:r>
          </w:p>
        </w:tc>
        <w:tc>
          <w:tcPr>
            <w:tcW w:w="60" w:type="dxa"/>
            <w:tcBorders/>
            <w:shd w:fill="CEE8F6" w:val="clear"/>
            <w:vAlign w:val="center"/>
          </w:tcPr>
          <w:p>
            <w:pPr>
              <w:pStyle w:val="TableContents"/>
              <w:spacing w:lineRule="atLeast" w:line="240" w:before="0" w:after="0"/>
              <w:rPr/>
            </w:pPr>
            <w:r>
              <w:rPr/>
              <w:t> </w:t>
            </w:r>
          </w:p>
        </w:tc>
        <w:tc>
          <w:tcPr>
            <w:tcW w:w="120" w:type="dxa"/>
            <w:tcBorders/>
            <w:shd w:fill="CEE8F6" w:val="clear"/>
            <w:vAlign w:val="center"/>
          </w:tcPr>
          <w:p>
            <w:pPr>
              <w:pStyle w:val="TableContents"/>
              <w:spacing w:before="0" w:after="283"/>
              <w:rPr/>
            </w:pPr>
            <w:r>
              <w:rPr/>
              <w:t>  </w:t>
            </w:r>
          </w:p>
        </w:tc>
        <w:tc>
          <w:tcPr>
            <w:tcW w:w="87" w:type="dxa"/>
            <w:tcBorders/>
            <w:shd w:fill="CEE8F6" w:val="clear"/>
            <w:vAlign w:val="center"/>
          </w:tcPr>
          <w:p>
            <w:pPr>
              <w:pStyle w:val="TableContents"/>
              <w:spacing w:lineRule="atLeast" w:line="240" w:before="0" w:after="0"/>
              <w:rPr/>
            </w:pPr>
            <w:r>
              <w:rPr/>
              <w:t> </w:t>
            </w:r>
          </w:p>
        </w:tc>
        <w:tc>
          <w:tcPr>
            <w:tcW w:w="1087" w:type="dxa"/>
            <w:tcBorders/>
            <w:shd w:fill="CEE8F6" w:val="clear"/>
            <w:vAlign w:val="center"/>
          </w:tcPr>
          <w:p>
            <w:pPr>
              <w:pStyle w:val="TableContents"/>
              <w:spacing w:lineRule="atLeast" w:line="240" w:before="0" w:after="0"/>
              <w:jc w:val="right"/>
              <w:rPr>
                <w:rFonts w:ascii="ARIAL" w:hAnsi="ARIAL"/>
                <w:sz w:val="16"/>
              </w:rPr>
            </w:pPr>
            <w:r>
              <w:rPr>
                <w:rFonts w:ascii="ARIAL" w:hAnsi="ARIAL"/>
                <w:sz w:val="16"/>
              </w:rPr>
              <w:t>3,075,205</w:t>
            </w:r>
          </w:p>
        </w:tc>
        <w:tc>
          <w:tcPr>
            <w:tcW w:w="75" w:type="dxa"/>
            <w:tcBorders/>
            <w:shd w:fill="CEE8F6" w:val="clear"/>
            <w:vAlign w:val="center"/>
          </w:tcPr>
          <w:p>
            <w:pPr>
              <w:pStyle w:val="TableContents"/>
              <w:spacing w:lineRule="atLeast" w:line="240" w:before="0" w:after="0"/>
              <w:rPr/>
            </w:pPr>
            <w:r>
              <w:rPr/>
              <w:t> </w:t>
            </w:r>
          </w:p>
        </w:tc>
      </w:tr>
      <w:tr>
        <w:trPr/>
        <w:tc>
          <w:tcPr>
            <w:tcW w:w="1520" w:type="dxa"/>
            <w:tcBorders/>
            <w:shd w:fill="auto" w:val="clear"/>
            <w:vAlign w:val="center"/>
          </w:tcPr>
          <w:p>
            <w:pPr>
              <w:pStyle w:val="TableContents"/>
              <w:spacing w:lineRule="atLeast" w:line="240" w:before="0" w:after="0"/>
              <w:rPr>
                <w:rFonts w:ascii="ARIAL" w:hAnsi="ARIAL"/>
                <w:sz w:val="16"/>
              </w:rPr>
            </w:pPr>
            <w:r>
              <w:rPr>
                <w:rFonts w:ascii="ARIAL" w:hAnsi="ARIAL"/>
                <w:sz w:val="16"/>
              </w:rPr>
              <w:t>Wayne T. Smith</w:t>
            </w:r>
          </w:p>
        </w:tc>
        <w:tc>
          <w:tcPr>
            <w:tcW w:w="120" w:type="dxa"/>
            <w:tcBorders/>
            <w:shd w:fill="auto" w:val="clear"/>
            <w:vAlign w:val="center"/>
          </w:tcPr>
          <w:p>
            <w:pPr>
              <w:pStyle w:val="TableContents"/>
              <w:spacing w:before="0" w:after="283"/>
              <w:rPr/>
            </w:pPr>
            <w:r>
              <w:rPr/>
              <w:t>  </w:t>
            </w:r>
          </w:p>
        </w:tc>
        <w:tc>
          <w:tcPr>
            <w:tcW w:w="428" w:type="dxa"/>
            <w:tcBorders/>
            <w:shd w:fill="auto" w:val="clear"/>
            <w:vAlign w:val="center"/>
          </w:tcPr>
          <w:p>
            <w:pPr>
              <w:pStyle w:val="TableContents"/>
              <w:spacing w:lineRule="atLeast" w:line="240" w:before="0" w:after="0"/>
              <w:rPr/>
            </w:pPr>
            <w:r>
              <w:rPr/>
              <w:t> </w:t>
            </w:r>
          </w:p>
        </w:tc>
        <w:tc>
          <w:tcPr>
            <w:tcW w:w="897"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 </w:t>
            </w:r>
          </w:p>
        </w:tc>
        <w:tc>
          <w:tcPr>
            <w:tcW w:w="172"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pPr>
            <w:r>
              <w:rPr/>
              <w:t>  </w:t>
            </w:r>
          </w:p>
        </w:tc>
        <w:tc>
          <w:tcPr>
            <w:tcW w:w="376" w:type="dxa"/>
            <w:tcBorders/>
            <w:shd w:fill="auto" w:val="clear"/>
            <w:vAlign w:val="center"/>
          </w:tcPr>
          <w:p>
            <w:pPr>
              <w:pStyle w:val="TableContents"/>
              <w:spacing w:lineRule="atLeast" w:line="240" w:before="0" w:after="0"/>
              <w:rPr/>
            </w:pPr>
            <w:r>
              <w:rPr/>
              <w:t> </w:t>
            </w:r>
          </w:p>
        </w:tc>
        <w:tc>
          <w:tcPr>
            <w:tcW w:w="799"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 </w:t>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18" w:type="dxa"/>
            <w:tcBorders/>
            <w:shd w:fill="auto" w:val="clear"/>
            <w:vAlign w:val="center"/>
          </w:tcPr>
          <w:p>
            <w:pPr>
              <w:pStyle w:val="TableContents"/>
              <w:spacing w:lineRule="atLeast" w:line="240" w:before="0" w:after="0"/>
              <w:rPr/>
            </w:pPr>
            <w:r>
              <w:rPr/>
              <w:t> </w:t>
            </w:r>
          </w:p>
        </w:tc>
        <w:tc>
          <w:tcPr>
            <w:tcW w:w="1206"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408,750</w:t>
            </w:r>
          </w:p>
        </w:tc>
        <w:tc>
          <w:tcPr>
            <w:tcW w:w="60" w:type="dxa"/>
            <w:tcBorders/>
            <w:shd w:fill="auto" w:val="clear"/>
            <w:vAlign w:val="center"/>
          </w:tcPr>
          <w:p>
            <w:pPr>
              <w:pStyle w:val="TableContents"/>
              <w:spacing w:lineRule="atLeast" w:line="240" w:before="0" w:after="0"/>
              <w:rPr/>
            </w:pPr>
            <w:r>
              <w:rPr/>
              <w:t> </w:t>
            </w:r>
          </w:p>
        </w:tc>
        <w:tc>
          <w:tcPr>
            <w:tcW w:w="120" w:type="dxa"/>
            <w:tcBorders/>
            <w:shd w:fill="auto" w:val="clear"/>
            <w:vAlign w:val="center"/>
          </w:tcPr>
          <w:p>
            <w:pPr>
              <w:pStyle w:val="TableContents"/>
              <w:spacing w:before="0" w:after="283"/>
              <w:rPr/>
            </w:pPr>
            <w:r>
              <w:rPr/>
              <w:t>  </w:t>
            </w:r>
          </w:p>
        </w:tc>
        <w:tc>
          <w:tcPr>
            <w:tcW w:w="87" w:type="dxa"/>
            <w:tcBorders/>
            <w:shd w:fill="auto" w:val="clear"/>
            <w:vAlign w:val="center"/>
          </w:tcPr>
          <w:p>
            <w:pPr>
              <w:pStyle w:val="TableContents"/>
              <w:spacing w:lineRule="atLeast" w:line="240" w:before="0" w:after="0"/>
              <w:rPr/>
            </w:pPr>
            <w:r>
              <w:rPr/>
              <w:t> </w:t>
            </w:r>
          </w:p>
        </w:tc>
        <w:tc>
          <w:tcPr>
            <w:tcW w:w="1087"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4,161,075</w:t>
            </w:r>
          </w:p>
        </w:tc>
        <w:tc>
          <w:tcPr>
            <w:tcW w:w="75" w:type="dxa"/>
            <w:tcBorders/>
            <w:shd w:fill="auto" w:val="clear"/>
            <w:vAlign w:val="center"/>
          </w:tcPr>
          <w:p>
            <w:pPr>
              <w:pStyle w:val="TableContents"/>
              <w:spacing w:lineRule="atLeast" w:line="240" w:before="0" w:after="0"/>
              <w:rPr/>
            </w:pPr>
            <w:r>
              <w:rPr/>
              <w:t> </w:t>
            </w:r>
          </w:p>
        </w:tc>
      </w:tr>
      <w:tr>
        <w:trPr/>
        <w:tc>
          <w:tcPr>
            <w:tcW w:w="1520" w:type="dxa"/>
            <w:tcBorders/>
            <w:shd w:fill="CEE8F6" w:val="clear"/>
            <w:vAlign w:val="center"/>
          </w:tcPr>
          <w:p>
            <w:pPr>
              <w:pStyle w:val="TableContents"/>
              <w:spacing w:lineRule="atLeast" w:line="240" w:before="0" w:after="0"/>
              <w:rPr>
                <w:rFonts w:ascii="ARIAL" w:hAnsi="ARIAL"/>
                <w:sz w:val="16"/>
              </w:rPr>
            </w:pPr>
            <w:r>
              <w:rPr>
                <w:rFonts w:ascii="ARIAL" w:hAnsi="ARIAL"/>
                <w:sz w:val="16"/>
              </w:rPr>
              <w:t>Kevin J. Hammons</w:t>
            </w:r>
          </w:p>
        </w:tc>
        <w:tc>
          <w:tcPr>
            <w:tcW w:w="120" w:type="dxa"/>
            <w:tcBorders/>
            <w:shd w:fill="CEE8F6" w:val="clear"/>
            <w:vAlign w:val="center"/>
          </w:tcPr>
          <w:p>
            <w:pPr>
              <w:pStyle w:val="TableContents"/>
              <w:spacing w:before="0" w:after="283"/>
              <w:rPr/>
            </w:pPr>
            <w:r>
              <w:rPr/>
              <w:t>  </w:t>
            </w:r>
          </w:p>
        </w:tc>
        <w:tc>
          <w:tcPr>
            <w:tcW w:w="428" w:type="dxa"/>
            <w:tcBorders/>
            <w:shd w:fill="CEE8F6" w:val="clear"/>
            <w:vAlign w:val="center"/>
          </w:tcPr>
          <w:p>
            <w:pPr>
              <w:pStyle w:val="TableContents"/>
              <w:spacing w:lineRule="atLeast" w:line="240" w:before="0" w:after="0"/>
              <w:rPr/>
            </w:pPr>
            <w:r>
              <w:rPr/>
              <w:t> </w:t>
            </w:r>
          </w:p>
        </w:tc>
        <w:tc>
          <w:tcPr>
            <w:tcW w:w="897" w:type="dxa"/>
            <w:tcBorders/>
            <w:shd w:fill="CEE8F6" w:val="clear"/>
            <w:vAlign w:val="center"/>
          </w:tcPr>
          <w:p>
            <w:pPr>
              <w:pStyle w:val="TableContents"/>
              <w:spacing w:lineRule="atLeast" w:line="240" w:before="0" w:after="0"/>
              <w:jc w:val="right"/>
              <w:rPr>
                <w:rFonts w:ascii="ARIAL" w:hAnsi="ARIAL"/>
                <w:sz w:val="16"/>
              </w:rPr>
            </w:pPr>
            <w:r>
              <w:rPr>
                <w:rFonts w:ascii="ARIAL" w:hAnsi="ARIAL"/>
                <w:sz w:val="16"/>
              </w:rPr>
              <w:t>- </w:t>
            </w:r>
          </w:p>
        </w:tc>
        <w:tc>
          <w:tcPr>
            <w:tcW w:w="172" w:type="dxa"/>
            <w:tcBorders/>
            <w:shd w:fill="CEE8F6" w:val="clear"/>
            <w:vAlign w:val="center"/>
          </w:tcPr>
          <w:p>
            <w:pPr>
              <w:pStyle w:val="TableContents"/>
              <w:spacing w:before="0" w:after="283"/>
              <w:rPr>
                <w:sz w:val="4"/>
                <w:szCs w:val="4"/>
              </w:rPr>
            </w:pPr>
            <w:r>
              <w:rPr>
                <w:sz w:val="4"/>
                <w:szCs w:val="4"/>
              </w:rPr>
            </w:r>
          </w:p>
        </w:tc>
        <w:tc>
          <w:tcPr>
            <w:tcW w:w="347" w:type="dxa"/>
            <w:tcBorders/>
            <w:shd w:fill="CEE8F6" w:val="clear"/>
            <w:vAlign w:val="center"/>
          </w:tcPr>
          <w:p>
            <w:pPr>
              <w:pStyle w:val="TableContents"/>
              <w:spacing w:before="0" w:after="283"/>
              <w:rPr/>
            </w:pPr>
            <w:r>
              <w:rPr/>
              <w:t>  </w:t>
            </w:r>
          </w:p>
        </w:tc>
        <w:tc>
          <w:tcPr>
            <w:tcW w:w="376" w:type="dxa"/>
            <w:tcBorders/>
            <w:shd w:fill="CEE8F6" w:val="clear"/>
            <w:vAlign w:val="center"/>
          </w:tcPr>
          <w:p>
            <w:pPr>
              <w:pStyle w:val="TableContents"/>
              <w:spacing w:lineRule="atLeast" w:line="240" w:before="0" w:after="0"/>
              <w:rPr/>
            </w:pPr>
            <w:r>
              <w:rPr/>
              <w:t> </w:t>
            </w:r>
          </w:p>
        </w:tc>
        <w:tc>
          <w:tcPr>
            <w:tcW w:w="799" w:type="dxa"/>
            <w:tcBorders/>
            <w:shd w:fill="CEE8F6" w:val="clear"/>
            <w:vAlign w:val="center"/>
          </w:tcPr>
          <w:p>
            <w:pPr>
              <w:pStyle w:val="TableContents"/>
              <w:spacing w:lineRule="atLeast" w:line="240" w:before="0" w:after="0"/>
              <w:jc w:val="right"/>
              <w:rPr>
                <w:rFonts w:ascii="ARIAL" w:hAnsi="ARIAL"/>
                <w:sz w:val="16"/>
              </w:rPr>
            </w:pPr>
            <w:r>
              <w:rPr>
                <w:rFonts w:ascii="ARIAL" w:hAnsi="ARIAL"/>
                <w:sz w:val="16"/>
              </w:rPr>
              <w:t>- </w:t>
            </w:r>
          </w:p>
        </w:tc>
        <w:tc>
          <w:tcPr>
            <w:tcW w:w="60" w:type="dxa"/>
            <w:tcBorders/>
            <w:shd w:fill="CEE8F6" w:val="clear"/>
            <w:vAlign w:val="center"/>
          </w:tcPr>
          <w:p>
            <w:pPr>
              <w:pStyle w:val="TableContents"/>
              <w:spacing w:before="0" w:after="283"/>
              <w:rPr>
                <w:sz w:val="4"/>
                <w:szCs w:val="4"/>
              </w:rPr>
            </w:pPr>
            <w:r>
              <w:rPr>
                <w:sz w:val="4"/>
                <w:szCs w:val="4"/>
              </w:rPr>
            </w:r>
          </w:p>
        </w:tc>
        <w:tc>
          <w:tcPr>
            <w:tcW w:w="120" w:type="dxa"/>
            <w:tcBorders/>
            <w:shd w:fill="CEE8F6" w:val="clear"/>
            <w:vAlign w:val="center"/>
          </w:tcPr>
          <w:p>
            <w:pPr>
              <w:pStyle w:val="TableContents"/>
              <w:spacing w:before="0" w:after="283"/>
              <w:rPr/>
            </w:pPr>
            <w:r>
              <w:rPr/>
              <w:t>  </w:t>
            </w:r>
          </w:p>
        </w:tc>
        <w:tc>
          <w:tcPr>
            <w:tcW w:w="118" w:type="dxa"/>
            <w:tcBorders/>
            <w:shd w:fill="CEE8F6" w:val="clear"/>
            <w:vAlign w:val="center"/>
          </w:tcPr>
          <w:p>
            <w:pPr>
              <w:pStyle w:val="TableContents"/>
              <w:spacing w:lineRule="atLeast" w:line="240" w:before="0" w:after="0"/>
              <w:rPr/>
            </w:pPr>
            <w:r>
              <w:rPr/>
              <w:t> </w:t>
            </w:r>
          </w:p>
        </w:tc>
        <w:tc>
          <w:tcPr>
            <w:tcW w:w="1206" w:type="dxa"/>
            <w:tcBorders/>
            <w:shd w:fill="CEE8F6" w:val="clear"/>
            <w:vAlign w:val="center"/>
          </w:tcPr>
          <w:p>
            <w:pPr>
              <w:pStyle w:val="TableContents"/>
              <w:spacing w:lineRule="atLeast" w:line="240" w:before="0" w:after="0"/>
              <w:jc w:val="right"/>
              <w:rPr>
                <w:rFonts w:ascii="ARIAL" w:hAnsi="ARIAL"/>
                <w:sz w:val="16"/>
              </w:rPr>
            </w:pPr>
            <w:r>
              <w:rPr>
                <w:rFonts w:ascii="ARIAL" w:hAnsi="ARIAL"/>
                <w:sz w:val="16"/>
              </w:rPr>
              <w:t>82,833</w:t>
            </w:r>
          </w:p>
        </w:tc>
        <w:tc>
          <w:tcPr>
            <w:tcW w:w="60" w:type="dxa"/>
            <w:tcBorders/>
            <w:shd w:fill="CEE8F6" w:val="clear"/>
            <w:vAlign w:val="center"/>
          </w:tcPr>
          <w:p>
            <w:pPr>
              <w:pStyle w:val="TableContents"/>
              <w:spacing w:lineRule="atLeast" w:line="240" w:before="0" w:after="0"/>
              <w:rPr/>
            </w:pPr>
            <w:r>
              <w:rPr/>
              <w:t> </w:t>
            </w:r>
          </w:p>
        </w:tc>
        <w:tc>
          <w:tcPr>
            <w:tcW w:w="120" w:type="dxa"/>
            <w:tcBorders/>
            <w:shd w:fill="CEE8F6" w:val="clear"/>
            <w:vAlign w:val="center"/>
          </w:tcPr>
          <w:p>
            <w:pPr>
              <w:pStyle w:val="TableContents"/>
              <w:spacing w:before="0" w:after="283"/>
              <w:rPr/>
            </w:pPr>
            <w:r>
              <w:rPr/>
              <w:t>  </w:t>
            </w:r>
          </w:p>
        </w:tc>
        <w:tc>
          <w:tcPr>
            <w:tcW w:w="87" w:type="dxa"/>
            <w:tcBorders/>
            <w:shd w:fill="CEE8F6" w:val="clear"/>
            <w:vAlign w:val="center"/>
          </w:tcPr>
          <w:p>
            <w:pPr>
              <w:pStyle w:val="TableContents"/>
              <w:spacing w:lineRule="atLeast" w:line="240" w:before="0" w:after="0"/>
              <w:rPr/>
            </w:pPr>
            <w:r>
              <w:rPr/>
              <w:t> </w:t>
            </w:r>
          </w:p>
        </w:tc>
        <w:tc>
          <w:tcPr>
            <w:tcW w:w="1087" w:type="dxa"/>
            <w:tcBorders/>
            <w:shd w:fill="CEE8F6" w:val="clear"/>
            <w:vAlign w:val="center"/>
          </w:tcPr>
          <w:p>
            <w:pPr>
              <w:pStyle w:val="TableContents"/>
              <w:spacing w:lineRule="atLeast" w:line="240" w:before="0" w:after="0"/>
              <w:jc w:val="right"/>
              <w:rPr>
                <w:rFonts w:ascii="ARIAL" w:hAnsi="ARIAL"/>
                <w:sz w:val="16"/>
              </w:rPr>
            </w:pPr>
            <w:r>
              <w:rPr>
                <w:rFonts w:ascii="ARIAL" w:hAnsi="ARIAL"/>
                <w:sz w:val="16"/>
              </w:rPr>
              <w:t>843,240</w:t>
            </w:r>
          </w:p>
        </w:tc>
        <w:tc>
          <w:tcPr>
            <w:tcW w:w="75" w:type="dxa"/>
            <w:tcBorders/>
            <w:shd w:fill="CEE8F6" w:val="clear"/>
            <w:vAlign w:val="center"/>
          </w:tcPr>
          <w:p>
            <w:pPr>
              <w:pStyle w:val="TableContents"/>
              <w:spacing w:lineRule="atLeast" w:line="240" w:before="0" w:after="0"/>
              <w:rPr/>
            </w:pPr>
            <w:r>
              <w:rPr/>
              <w:t> </w:t>
            </w:r>
          </w:p>
        </w:tc>
      </w:tr>
      <w:tr>
        <w:trPr/>
        <w:tc>
          <w:tcPr>
            <w:tcW w:w="1520" w:type="dxa"/>
            <w:tcBorders/>
            <w:shd w:fill="auto" w:val="clear"/>
            <w:vAlign w:val="center"/>
          </w:tcPr>
          <w:p>
            <w:pPr>
              <w:pStyle w:val="TableContents"/>
              <w:spacing w:lineRule="atLeast" w:line="240" w:before="0" w:after="0"/>
              <w:rPr>
                <w:rFonts w:ascii="ARIAL" w:hAnsi="ARIAL"/>
                <w:sz w:val="16"/>
              </w:rPr>
            </w:pPr>
            <w:r>
              <w:rPr>
                <w:rFonts w:ascii="ARIAL" w:hAnsi="ARIAL"/>
                <w:sz w:val="16"/>
              </w:rPr>
              <w:t>Lynn T. Simon, M.D.</w:t>
            </w:r>
          </w:p>
        </w:tc>
        <w:tc>
          <w:tcPr>
            <w:tcW w:w="120" w:type="dxa"/>
            <w:tcBorders/>
            <w:shd w:fill="auto" w:val="clear"/>
            <w:vAlign w:val="center"/>
          </w:tcPr>
          <w:p>
            <w:pPr>
              <w:pStyle w:val="TableContents"/>
              <w:spacing w:before="0" w:after="283"/>
              <w:rPr/>
            </w:pPr>
            <w:r>
              <w:rPr/>
              <w:t>  </w:t>
            </w:r>
          </w:p>
        </w:tc>
        <w:tc>
          <w:tcPr>
            <w:tcW w:w="428" w:type="dxa"/>
            <w:tcBorders/>
            <w:shd w:fill="auto" w:val="clear"/>
            <w:vAlign w:val="center"/>
          </w:tcPr>
          <w:p>
            <w:pPr>
              <w:pStyle w:val="TableContents"/>
              <w:spacing w:lineRule="atLeast" w:line="240" w:before="0" w:after="0"/>
              <w:rPr/>
            </w:pPr>
            <w:r>
              <w:rPr/>
              <w:t> </w:t>
            </w:r>
          </w:p>
        </w:tc>
        <w:tc>
          <w:tcPr>
            <w:tcW w:w="897"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 </w:t>
            </w:r>
          </w:p>
        </w:tc>
        <w:tc>
          <w:tcPr>
            <w:tcW w:w="172"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pPr>
            <w:r>
              <w:rPr/>
              <w:t>  </w:t>
            </w:r>
          </w:p>
        </w:tc>
        <w:tc>
          <w:tcPr>
            <w:tcW w:w="376" w:type="dxa"/>
            <w:tcBorders/>
            <w:shd w:fill="auto" w:val="clear"/>
            <w:vAlign w:val="center"/>
          </w:tcPr>
          <w:p>
            <w:pPr>
              <w:pStyle w:val="TableContents"/>
              <w:spacing w:lineRule="atLeast" w:line="240" w:before="0" w:after="0"/>
              <w:rPr/>
            </w:pPr>
            <w:r>
              <w:rPr/>
              <w:t> </w:t>
            </w:r>
          </w:p>
        </w:tc>
        <w:tc>
          <w:tcPr>
            <w:tcW w:w="799"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 </w:t>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18" w:type="dxa"/>
            <w:tcBorders/>
            <w:shd w:fill="auto" w:val="clear"/>
            <w:vAlign w:val="center"/>
          </w:tcPr>
          <w:p>
            <w:pPr>
              <w:pStyle w:val="TableContents"/>
              <w:spacing w:lineRule="atLeast" w:line="240" w:before="0" w:after="0"/>
              <w:rPr/>
            </w:pPr>
            <w:r>
              <w:rPr/>
              <w:t> </w:t>
            </w:r>
          </w:p>
        </w:tc>
        <w:tc>
          <w:tcPr>
            <w:tcW w:w="1206"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135,833</w:t>
            </w:r>
          </w:p>
        </w:tc>
        <w:tc>
          <w:tcPr>
            <w:tcW w:w="60" w:type="dxa"/>
            <w:tcBorders/>
            <w:shd w:fill="auto" w:val="clear"/>
            <w:vAlign w:val="center"/>
          </w:tcPr>
          <w:p>
            <w:pPr>
              <w:pStyle w:val="TableContents"/>
              <w:spacing w:lineRule="atLeast" w:line="240" w:before="0" w:after="0"/>
              <w:rPr/>
            </w:pPr>
            <w:r>
              <w:rPr/>
              <w:t> </w:t>
            </w:r>
          </w:p>
        </w:tc>
        <w:tc>
          <w:tcPr>
            <w:tcW w:w="120" w:type="dxa"/>
            <w:tcBorders/>
            <w:shd w:fill="auto" w:val="clear"/>
            <w:vAlign w:val="center"/>
          </w:tcPr>
          <w:p>
            <w:pPr>
              <w:pStyle w:val="TableContents"/>
              <w:spacing w:before="0" w:after="283"/>
              <w:rPr/>
            </w:pPr>
            <w:r>
              <w:rPr/>
              <w:t>  </w:t>
            </w:r>
          </w:p>
        </w:tc>
        <w:tc>
          <w:tcPr>
            <w:tcW w:w="87" w:type="dxa"/>
            <w:tcBorders/>
            <w:shd w:fill="auto" w:val="clear"/>
            <w:vAlign w:val="center"/>
          </w:tcPr>
          <w:p>
            <w:pPr>
              <w:pStyle w:val="TableContents"/>
              <w:spacing w:lineRule="atLeast" w:line="240" w:before="0" w:after="0"/>
              <w:rPr/>
            </w:pPr>
            <w:r>
              <w:rPr/>
              <w:t> </w:t>
            </w:r>
          </w:p>
        </w:tc>
        <w:tc>
          <w:tcPr>
            <w:tcW w:w="1087"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1,382,780</w:t>
            </w:r>
          </w:p>
        </w:tc>
        <w:tc>
          <w:tcPr>
            <w:tcW w:w="75" w:type="dxa"/>
            <w:tcBorders/>
            <w:shd w:fill="auto" w:val="clear"/>
            <w:vAlign w:val="center"/>
          </w:tcPr>
          <w:p>
            <w:pPr>
              <w:pStyle w:val="TableContents"/>
              <w:spacing w:lineRule="atLeast" w:line="240" w:before="0" w:after="0"/>
              <w:rPr/>
            </w:pPr>
            <w:r>
              <w:rPr/>
              <w:t> </w:t>
            </w:r>
          </w:p>
        </w:tc>
      </w:tr>
      <w:tr>
        <w:trPr/>
        <w:tc>
          <w:tcPr>
            <w:tcW w:w="1520" w:type="dxa"/>
            <w:tcBorders/>
            <w:shd w:fill="CEE8F6" w:val="clear"/>
            <w:vAlign w:val="center"/>
          </w:tcPr>
          <w:p>
            <w:pPr>
              <w:pStyle w:val="TableContents"/>
              <w:spacing w:lineRule="atLeast" w:line="240" w:before="0" w:after="0"/>
              <w:rPr>
                <w:rFonts w:ascii="ARIAL" w:hAnsi="ARIAL"/>
                <w:sz w:val="16"/>
              </w:rPr>
            </w:pPr>
            <w:r>
              <w:rPr>
                <w:rFonts w:ascii="ARIAL" w:hAnsi="ARIAL"/>
                <w:sz w:val="16"/>
              </w:rPr>
              <w:t>Mark B. Medley</w:t>
            </w:r>
          </w:p>
        </w:tc>
        <w:tc>
          <w:tcPr>
            <w:tcW w:w="120" w:type="dxa"/>
            <w:tcBorders/>
            <w:shd w:fill="CEE8F6" w:val="clear"/>
            <w:vAlign w:val="center"/>
          </w:tcPr>
          <w:p>
            <w:pPr>
              <w:pStyle w:val="TableContents"/>
              <w:spacing w:before="0" w:after="283"/>
              <w:rPr/>
            </w:pPr>
            <w:r>
              <w:rPr/>
              <w:t>  </w:t>
            </w:r>
          </w:p>
        </w:tc>
        <w:tc>
          <w:tcPr>
            <w:tcW w:w="428" w:type="dxa"/>
            <w:tcBorders/>
            <w:shd w:fill="CEE8F6" w:val="clear"/>
            <w:vAlign w:val="center"/>
          </w:tcPr>
          <w:p>
            <w:pPr>
              <w:pStyle w:val="TableContents"/>
              <w:spacing w:lineRule="atLeast" w:line="240" w:before="0" w:after="0"/>
              <w:rPr/>
            </w:pPr>
            <w:r>
              <w:rPr/>
              <w:t> </w:t>
            </w:r>
          </w:p>
        </w:tc>
        <w:tc>
          <w:tcPr>
            <w:tcW w:w="897" w:type="dxa"/>
            <w:tcBorders/>
            <w:shd w:fill="CEE8F6" w:val="clear"/>
            <w:vAlign w:val="center"/>
          </w:tcPr>
          <w:p>
            <w:pPr>
              <w:pStyle w:val="TableContents"/>
              <w:spacing w:lineRule="atLeast" w:line="240" w:before="0" w:after="0"/>
              <w:jc w:val="right"/>
              <w:rPr>
                <w:rFonts w:ascii="ARIAL" w:hAnsi="ARIAL"/>
                <w:sz w:val="16"/>
              </w:rPr>
            </w:pPr>
            <w:r>
              <w:rPr>
                <w:rFonts w:ascii="ARIAL" w:hAnsi="ARIAL"/>
                <w:sz w:val="16"/>
              </w:rPr>
              <w:t>- </w:t>
            </w:r>
          </w:p>
        </w:tc>
        <w:tc>
          <w:tcPr>
            <w:tcW w:w="172" w:type="dxa"/>
            <w:tcBorders/>
            <w:shd w:fill="CEE8F6" w:val="clear"/>
            <w:vAlign w:val="center"/>
          </w:tcPr>
          <w:p>
            <w:pPr>
              <w:pStyle w:val="TableContents"/>
              <w:spacing w:before="0" w:after="283"/>
              <w:rPr>
                <w:sz w:val="4"/>
                <w:szCs w:val="4"/>
              </w:rPr>
            </w:pPr>
            <w:r>
              <w:rPr>
                <w:sz w:val="4"/>
                <w:szCs w:val="4"/>
              </w:rPr>
            </w:r>
          </w:p>
        </w:tc>
        <w:tc>
          <w:tcPr>
            <w:tcW w:w="347" w:type="dxa"/>
            <w:tcBorders/>
            <w:shd w:fill="CEE8F6" w:val="clear"/>
            <w:vAlign w:val="center"/>
          </w:tcPr>
          <w:p>
            <w:pPr>
              <w:pStyle w:val="TableContents"/>
              <w:spacing w:before="0" w:after="283"/>
              <w:rPr/>
            </w:pPr>
            <w:r>
              <w:rPr/>
              <w:t>  </w:t>
            </w:r>
          </w:p>
        </w:tc>
        <w:tc>
          <w:tcPr>
            <w:tcW w:w="376" w:type="dxa"/>
            <w:tcBorders/>
            <w:shd w:fill="CEE8F6" w:val="clear"/>
            <w:vAlign w:val="center"/>
          </w:tcPr>
          <w:p>
            <w:pPr>
              <w:pStyle w:val="TableContents"/>
              <w:spacing w:lineRule="atLeast" w:line="240" w:before="0" w:after="0"/>
              <w:rPr/>
            </w:pPr>
            <w:r>
              <w:rPr/>
              <w:t> </w:t>
            </w:r>
          </w:p>
        </w:tc>
        <w:tc>
          <w:tcPr>
            <w:tcW w:w="799" w:type="dxa"/>
            <w:tcBorders/>
            <w:shd w:fill="CEE8F6" w:val="clear"/>
            <w:vAlign w:val="center"/>
          </w:tcPr>
          <w:p>
            <w:pPr>
              <w:pStyle w:val="TableContents"/>
              <w:spacing w:lineRule="atLeast" w:line="240" w:before="0" w:after="0"/>
              <w:jc w:val="right"/>
              <w:rPr>
                <w:rFonts w:ascii="ARIAL" w:hAnsi="ARIAL"/>
                <w:sz w:val="16"/>
              </w:rPr>
            </w:pPr>
            <w:r>
              <w:rPr>
                <w:rFonts w:ascii="ARIAL" w:hAnsi="ARIAL"/>
                <w:sz w:val="16"/>
              </w:rPr>
              <w:t>- </w:t>
            </w:r>
          </w:p>
        </w:tc>
        <w:tc>
          <w:tcPr>
            <w:tcW w:w="60" w:type="dxa"/>
            <w:tcBorders/>
            <w:shd w:fill="CEE8F6" w:val="clear"/>
            <w:vAlign w:val="center"/>
          </w:tcPr>
          <w:p>
            <w:pPr>
              <w:pStyle w:val="TableContents"/>
              <w:spacing w:before="0" w:after="283"/>
              <w:rPr>
                <w:sz w:val="4"/>
                <w:szCs w:val="4"/>
              </w:rPr>
            </w:pPr>
            <w:r>
              <w:rPr>
                <w:sz w:val="4"/>
                <w:szCs w:val="4"/>
              </w:rPr>
            </w:r>
          </w:p>
        </w:tc>
        <w:tc>
          <w:tcPr>
            <w:tcW w:w="120" w:type="dxa"/>
            <w:tcBorders/>
            <w:shd w:fill="CEE8F6" w:val="clear"/>
            <w:vAlign w:val="center"/>
          </w:tcPr>
          <w:p>
            <w:pPr>
              <w:pStyle w:val="TableContents"/>
              <w:spacing w:before="0" w:after="283"/>
              <w:rPr/>
            </w:pPr>
            <w:r>
              <w:rPr/>
              <w:t>  </w:t>
            </w:r>
          </w:p>
        </w:tc>
        <w:tc>
          <w:tcPr>
            <w:tcW w:w="118" w:type="dxa"/>
            <w:tcBorders/>
            <w:shd w:fill="CEE8F6" w:val="clear"/>
            <w:vAlign w:val="center"/>
          </w:tcPr>
          <w:p>
            <w:pPr>
              <w:pStyle w:val="TableContents"/>
              <w:spacing w:lineRule="atLeast" w:line="240" w:before="0" w:after="0"/>
              <w:rPr/>
            </w:pPr>
            <w:r>
              <w:rPr/>
              <w:t> </w:t>
            </w:r>
          </w:p>
        </w:tc>
        <w:tc>
          <w:tcPr>
            <w:tcW w:w="1206" w:type="dxa"/>
            <w:tcBorders/>
            <w:shd w:fill="CEE8F6" w:val="clear"/>
            <w:vAlign w:val="center"/>
          </w:tcPr>
          <w:p>
            <w:pPr>
              <w:pStyle w:val="TableContents"/>
              <w:spacing w:lineRule="atLeast" w:line="240" w:before="0" w:after="0"/>
              <w:jc w:val="right"/>
              <w:rPr>
                <w:rFonts w:ascii="ARIAL" w:hAnsi="ARIAL"/>
                <w:sz w:val="16"/>
              </w:rPr>
            </w:pPr>
            <w:r>
              <w:rPr>
                <w:rFonts w:ascii="ARIAL" w:hAnsi="ARIAL"/>
                <w:sz w:val="16"/>
              </w:rPr>
              <w:t>14,000</w:t>
            </w:r>
          </w:p>
        </w:tc>
        <w:tc>
          <w:tcPr>
            <w:tcW w:w="60" w:type="dxa"/>
            <w:tcBorders/>
            <w:shd w:fill="CEE8F6" w:val="clear"/>
            <w:vAlign w:val="center"/>
          </w:tcPr>
          <w:p>
            <w:pPr>
              <w:pStyle w:val="TableContents"/>
              <w:spacing w:lineRule="atLeast" w:line="240" w:before="0" w:after="0"/>
              <w:rPr/>
            </w:pPr>
            <w:r>
              <w:rPr/>
              <w:t> </w:t>
            </w:r>
          </w:p>
        </w:tc>
        <w:tc>
          <w:tcPr>
            <w:tcW w:w="120" w:type="dxa"/>
            <w:tcBorders/>
            <w:shd w:fill="CEE8F6" w:val="clear"/>
            <w:vAlign w:val="center"/>
          </w:tcPr>
          <w:p>
            <w:pPr>
              <w:pStyle w:val="TableContents"/>
              <w:spacing w:before="0" w:after="283"/>
              <w:rPr/>
            </w:pPr>
            <w:r>
              <w:rPr/>
              <w:t>  </w:t>
            </w:r>
          </w:p>
        </w:tc>
        <w:tc>
          <w:tcPr>
            <w:tcW w:w="87" w:type="dxa"/>
            <w:tcBorders/>
            <w:shd w:fill="CEE8F6" w:val="clear"/>
            <w:vAlign w:val="center"/>
          </w:tcPr>
          <w:p>
            <w:pPr>
              <w:pStyle w:val="TableContents"/>
              <w:spacing w:lineRule="atLeast" w:line="240" w:before="0" w:after="0"/>
              <w:rPr/>
            </w:pPr>
            <w:r>
              <w:rPr/>
              <w:t> </w:t>
            </w:r>
          </w:p>
        </w:tc>
        <w:tc>
          <w:tcPr>
            <w:tcW w:w="1087" w:type="dxa"/>
            <w:tcBorders/>
            <w:shd w:fill="CEE8F6" w:val="clear"/>
            <w:vAlign w:val="center"/>
          </w:tcPr>
          <w:p>
            <w:pPr>
              <w:pStyle w:val="TableContents"/>
              <w:spacing w:lineRule="atLeast" w:line="240" w:before="0" w:after="0"/>
              <w:jc w:val="right"/>
              <w:rPr>
                <w:rFonts w:ascii="ARIAL" w:hAnsi="ARIAL"/>
                <w:sz w:val="16"/>
              </w:rPr>
            </w:pPr>
            <w:r>
              <w:rPr>
                <w:rFonts w:ascii="ARIAL" w:hAnsi="ARIAL"/>
                <w:sz w:val="16"/>
              </w:rPr>
              <w:t>121,800</w:t>
            </w:r>
          </w:p>
        </w:tc>
        <w:tc>
          <w:tcPr>
            <w:tcW w:w="75" w:type="dxa"/>
            <w:tcBorders/>
            <w:shd w:fill="CEE8F6" w:val="clear"/>
            <w:vAlign w:val="center"/>
          </w:tcPr>
          <w:p>
            <w:pPr>
              <w:pStyle w:val="TableContents"/>
              <w:spacing w:lineRule="atLeast" w:line="240" w:before="0" w:after="0"/>
              <w:rPr/>
            </w:pPr>
            <w:r>
              <w:rPr/>
              <w:t> </w:t>
            </w:r>
          </w:p>
        </w:tc>
      </w:tr>
    </w:tbl>
    <w:p>
      <w:pPr>
        <w:pStyle w:val="TextBody"/>
        <w:pBdr>
          <w:bottom w:val="single" w:sz="2" w:space="1" w:color="000000"/>
        </w:pBdr>
        <w:spacing w:lineRule="atLeast" w:line="160" w:before="0" w:after="40"/>
        <w:jc w:val="left"/>
        <w:rPr/>
      </w:pPr>
      <w:r>
        <w:rPr/>
        <w:t> </w:t>
      </w:r>
    </w:p>
    <w:tbl>
      <w:tblPr>
        <w:tblW w:w="10205" w:type="dxa"/>
        <w:jc w:val="left"/>
        <w:tblInd w:w="0" w:type="dxa"/>
        <w:tblCellMar>
          <w:top w:w="0" w:type="dxa"/>
          <w:left w:w="0" w:type="dxa"/>
          <w:bottom w:w="0" w:type="dxa"/>
          <w:right w:w="0" w:type="dxa"/>
        </w:tblCellMar>
      </w:tblPr>
      <w:tblGrid>
        <w:gridCol w:w="282"/>
        <w:gridCol w:w="9923"/>
      </w:tblGrid>
      <w:tr>
        <w:trPr/>
        <w:tc>
          <w:tcPr>
            <w:tcW w:w="282" w:type="dxa"/>
            <w:tcBorders/>
            <w:shd w:fill="auto" w:val="clear"/>
            <w:vAlign w:val="center"/>
          </w:tcPr>
          <w:p>
            <w:pPr>
              <w:pStyle w:val="TableContents"/>
              <w:spacing w:before="0" w:after="283"/>
              <w:jc w:val="left"/>
              <w:rPr/>
            </w:pPr>
            <w:r>
              <w:rPr/>
              <w:t>(1)</w:t>
            </w:r>
          </w:p>
        </w:tc>
        <w:tc>
          <w:tcPr>
            <w:tcW w:w="9923" w:type="dxa"/>
            <w:tcBorders/>
            <w:shd w:fill="auto" w:val="clear"/>
            <w:vAlign w:val="center"/>
          </w:tcPr>
          <w:p>
            <w:pPr>
              <w:pStyle w:val="TableContents"/>
              <w:spacing w:before="0" w:after="0"/>
              <w:jc w:val="left"/>
              <w:rPr>
                <w:rFonts w:ascii="ARIAL" w:hAnsi="ARIAL"/>
                <w:sz w:val="20"/>
              </w:rPr>
            </w:pPr>
            <w:r>
              <w:rPr>
                <w:rFonts w:ascii="ARIAL" w:hAnsi="ARIAL"/>
                <w:sz w:val="20"/>
              </w:rPr>
              <w:t xml:space="preserve">The value realized upon vesting is based on the number of shares vesting multiplied by the closing price of our Common Stock on the date the award vested. </w:t>
            </w:r>
          </w:p>
        </w:tc>
      </w:tr>
    </w:tbl>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69 </w:t>
      </w:r>
      <w:r>
        <w:br w:type="page"/>
      </w:r>
    </w:p>
    <w:p>
      <w:pPr>
        <w:pStyle w:val="HorizontalLine"/>
        <w:rPr/>
      </w:pPr>
      <w:r>
        <w:rPr/>
      </w:r>
    </w:p>
    <w:p>
      <w:pPr>
        <w:pStyle w:val="TextBody"/>
        <w:spacing w:before="0" w:after="0"/>
        <w:jc w:val="left"/>
        <w:rPr>
          <w:rFonts w:ascii="ARIAL" w:hAnsi="ARIAL"/>
          <w:b/>
          <w:sz w:val="20"/>
        </w:rPr>
      </w:pPr>
      <w:bookmarkStart w:id="22" w:name="toc360141_20"/>
      <w:bookmarkEnd w:id="22"/>
      <w:r>
        <w:rPr>
          <w:rFonts w:ascii="ARIAL" w:hAnsi="ARIAL"/>
          <w:b/>
          <w:sz w:val="20"/>
        </w:rPr>
        <w:t xml:space="preserve">Pension Benefits </w:t>
      </w:r>
    </w:p>
    <w:p>
      <w:pPr>
        <w:pStyle w:val="TextBody"/>
        <w:spacing w:before="240" w:after="0"/>
        <w:jc w:val="left"/>
        <w:rPr>
          <w:rFonts w:ascii="ARIAL" w:hAnsi="ARIAL"/>
          <w:sz w:val="20"/>
        </w:rPr>
      </w:pPr>
      <w:r>
        <w:rPr>
          <w:rFonts w:ascii="ARIAL" w:hAnsi="ARIAL"/>
          <w:sz w:val="20"/>
        </w:rPr>
        <w:t xml:space="preserve">The table below shows the present value of accumulated benefits payable to each of the named executive officers as of December 31, 2022, including the number of years of service credited to each such named executive officer. Under the Company’s SERPs, the present value is determined by using discount rate and mortality rate assumptions consistent with those described in Note 10 of the footnotes of the Company’s audited consolidated financial statements for the year ended December 31, 2022, included in the Company’s Annual Report on Form 10-K filed with the SEC on February 17, 2023. </w:t>
      </w:r>
    </w:p>
    <w:p>
      <w:pPr>
        <w:pStyle w:val="TextBody"/>
        <w:spacing w:before="240" w:after="0"/>
        <w:jc w:val="left"/>
        <w:rPr>
          <w:rFonts w:ascii="ARIAL" w:hAnsi="ARIAL"/>
          <w:sz w:val="20"/>
        </w:rPr>
      </w:pPr>
      <w:r>
        <w:rPr>
          <w:rFonts w:ascii="ARIAL" w:hAnsi="ARIAL"/>
          <w:sz w:val="20"/>
        </w:rPr>
        <w:t xml:space="preserve">These plans are non-contributory, non-qualified defined benefit plans that provide for the payment of benefits from the general funds of the Company. The plans generally provide that, when a participant retires after his or her normal retirement age (age 65), he or she will be entitled to receive a single lump-sum payment based on the actuarially-determined monthly income payment based on a monthly calculation of (i) the participant’s Annual Retirement Benefit, reduced by (ii) the participant’s monthly amount of Social Security old age and survivor disability insurance benefits payable to the participant commencing at his or her unreduced Social Security retirement age. For this purpose, the “Annual Retirement Benefit” means an amount equal to the sum of the participant’s compensation for the highest three years out of the last ten full years of service preceding the participant’s termination of employment, divided by three, then multiplied by the lesser of (i) 60% or a (ii) percentage equal to 2% multiplied by the participant’s years of service. Employees who have attained age 55 with at least 5 years of service and who retire prior to the normal retirement date or with fewer than 30 years of service receive a reduced benefit. </w:t>
      </w:r>
    </w:p>
    <w:p>
      <w:pPr>
        <w:pStyle w:val="TextBody"/>
        <w:spacing w:before="0" w:after="0"/>
        <w:jc w:val="left"/>
        <w:rPr/>
      </w:pPr>
      <w:r>
        <w:rPr/>
        <w:t> </w:t>
      </w:r>
    </w:p>
    <w:tbl>
      <w:tblPr>
        <w:tblW w:w="7089" w:type="dxa"/>
        <w:jc w:val="left"/>
        <w:tblInd w:w="0" w:type="dxa"/>
        <w:tblCellMar>
          <w:top w:w="0" w:type="dxa"/>
          <w:left w:w="0" w:type="dxa"/>
          <w:bottom w:w="0" w:type="dxa"/>
          <w:right w:w="0" w:type="dxa"/>
        </w:tblCellMar>
      </w:tblPr>
      <w:tblGrid>
        <w:gridCol w:w="1850"/>
        <w:gridCol w:w="120"/>
        <w:gridCol w:w="1145"/>
        <w:gridCol w:w="120"/>
        <w:gridCol w:w="106"/>
        <w:gridCol w:w="889"/>
        <w:gridCol w:w="60"/>
        <w:gridCol w:w="120"/>
        <w:gridCol w:w="75"/>
        <w:gridCol w:w="1234"/>
        <w:gridCol w:w="60"/>
        <w:gridCol w:w="120"/>
        <w:gridCol w:w="477"/>
        <w:gridCol w:w="638"/>
        <w:gridCol w:w="75"/>
      </w:tblGrid>
      <w:tr>
        <w:trPr/>
        <w:tc>
          <w:tcPr>
            <w:tcW w:w="18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14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6" w:type="dxa"/>
            <w:tcBorders/>
            <w:shd w:fill="auto" w:val="clear"/>
            <w:vAlign w:val="center"/>
          </w:tcPr>
          <w:p>
            <w:pPr>
              <w:pStyle w:val="TableContents"/>
              <w:spacing w:before="0" w:after="283"/>
              <w:rPr>
                <w:sz w:val="4"/>
                <w:szCs w:val="4"/>
              </w:rPr>
            </w:pPr>
            <w:r>
              <w:rPr>
                <w:sz w:val="4"/>
                <w:szCs w:val="4"/>
              </w:rPr>
            </w:r>
          </w:p>
        </w:tc>
        <w:tc>
          <w:tcPr>
            <w:tcW w:w="88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c>
          <w:tcPr>
            <w:tcW w:w="123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77"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850" w:type="dxa"/>
            <w:tcBorders>
              <w:bottom w:val="single" w:sz="6" w:space="0" w:color="000000"/>
            </w:tcBorders>
            <w:shd w:fill="auto" w:val="clear"/>
            <w:tcMar>
              <w:bottom w:w="28" w:type="dxa"/>
            </w:tcMar>
            <w:vAlign w:val="center"/>
          </w:tcPr>
          <w:p>
            <w:pPr>
              <w:pStyle w:val="TableContents"/>
              <w:spacing w:before="0" w:after="283"/>
              <w:rPr>
                <w:b/>
              </w:rPr>
            </w:pPr>
            <w:r>
              <w:rPr>
                <w:b/>
              </w:rPr>
              <w:t>Name</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1145" w:type="dxa"/>
            <w:tcBorders>
              <w:bottom w:val="single" w:sz="6" w:space="0" w:color="000000"/>
            </w:tcBorders>
            <w:shd w:fill="auto" w:val="clear"/>
            <w:tcMar>
              <w:bottom w:w="28" w:type="dxa"/>
            </w:tcMar>
            <w:vAlign w:val="center"/>
          </w:tcPr>
          <w:p>
            <w:pPr>
              <w:pStyle w:val="TableContents"/>
              <w:spacing w:before="0" w:after="283"/>
              <w:jc w:val="center"/>
              <w:rPr>
                <w:b/>
              </w:rPr>
            </w:pPr>
            <w:r>
              <w:rPr>
                <w:b/>
              </w:rPr>
              <w:t>Plan Name</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995" w:type="dxa"/>
            <w:gridSpan w:val="2"/>
            <w:tcBorders>
              <w:bottom w:val="single" w:sz="6" w:space="0" w:color="000000"/>
            </w:tcBorders>
            <w:shd w:fill="auto" w:val="clear"/>
            <w:tcMar>
              <w:bottom w:w="28" w:type="dxa"/>
            </w:tcMar>
            <w:vAlign w:val="center"/>
          </w:tcPr>
          <w:p>
            <w:pPr>
              <w:pStyle w:val="TableContents"/>
              <w:spacing w:before="0" w:after="0"/>
              <w:jc w:val="center"/>
              <w:rPr>
                <w:rFonts w:ascii="ARIAL" w:hAnsi="ARIAL"/>
                <w:b/>
                <w:sz w:val="20"/>
              </w:rPr>
            </w:pPr>
            <w:r>
              <w:rPr>
                <w:rFonts w:ascii="ARIAL" w:hAnsi="ARIAL"/>
                <w:b/>
                <w:sz w:val="20"/>
              </w:rPr>
              <w:t>Number of</w:t>
              <w:br/>
              <w:t>Years of</w:t>
              <w:br/>
              <w:t>Credited</w:t>
              <w:br/>
              <w:t>Service</w:t>
            </w:r>
          </w:p>
          <w:p>
            <w:pPr>
              <w:pStyle w:val="TableContents"/>
              <w:spacing w:before="0" w:after="20"/>
              <w:jc w:val="center"/>
              <w:rPr>
                <w:rFonts w:ascii="ARIAL" w:hAnsi="ARIAL"/>
                <w:b/>
                <w:sz w:val="20"/>
              </w:rPr>
            </w:pPr>
            <w:r>
              <w:rPr>
                <w:rFonts w:ascii="ARIAL" w:hAnsi="ARIAL"/>
                <w:b/>
                <w:sz w:val="20"/>
              </w:rPr>
              <w:t>(#) (1)</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1309" w:type="dxa"/>
            <w:gridSpan w:val="2"/>
            <w:tcBorders>
              <w:bottom w:val="single" w:sz="6" w:space="0" w:color="000000"/>
            </w:tcBorders>
            <w:shd w:fill="auto" w:val="clear"/>
            <w:tcMar>
              <w:bottom w:w="28" w:type="dxa"/>
            </w:tcMar>
            <w:vAlign w:val="center"/>
          </w:tcPr>
          <w:p>
            <w:pPr>
              <w:pStyle w:val="TableContents"/>
              <w:spacing w:before="0" w:after="0"/>
              <w:jc w:val="center"/>
              <w:rPr>
                <w:rFonts w:ascii="ARIAL" w:hAnsi="ARIAL"/>
                <w:b/>
                <w:sz w:val="20"/>
              </w:rPr>
            </w:pPr>
            <w:r>
              <w:rPr>
                <w:rFonts w:ascii="ARIAL" w:hAnsi="ARIAL"/>
                <w:b/>
                <w:sz w:val="20"/>
              </w:rPr>
              <w:t>Present Value</w:t>
              <w:br/>
              <w:t>of</w:t>
              <w:br/>
              <w:t>Accumulated</w:t>
              <w:br/>
              <w:t>Benefit</w:t>
            </w:r>
          </w:p>
          <w:p>
            <w:pPr>
              <w:pStyle w:val="TableContents"/>
              <w:spacing w:before="0" w:after="20"/>
              <w:jc w:val="center"/>
              <w:rPr>
                <w:rFonts w:ascii="ARIAL" w:hAnsi="ARIAL"/>
                <w:b/>
                <w:sz w:val="20"/>
              </w:rPr>
            </w:pPr>
            <w:r>
              <w:rPr>
                <w:rFonts w:ascii="ARIAL" w:hAnsi="ARIAL"/>
                <w:b/>
                <w:sz w:val="20"/>
              </w:rPr>
              <w:t>($)</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1115" w:type="dxa"/>
            <w:gridSpan w:val="2"/>
            <w:tcBorders>
              <w:bottom w:val="single" w:sz="6" w:space="0" w:color="000000"/>
            </w:tcBorders>
            <w:shd w:fill="auto" w:val="clear"/>
            <w:tcMar>
              <w:bottom w:w="28" w:type="dxa"/>
            </w:tcMar>
            <w:vAlign w:val="center"/>
          </w:tcPr>
          <w:p>
            <w:pPr>
              <w:pStyle w:val="TableContents"/>
              <w:spacing w:before="0" w:after="283"/>
              <w:jc w:val="center"/>
              <w:rPr>
                <w:b/>
              </w:rPr>
            </w:pPr>
            <w:r>
              <w:rPr>
                <w:b/>
              </w:rPr>
              <w:t>Payments</w:t>
              <w:br/>
              <w:t>During</w:t>
              <w:br/>
              <w:t>Last Fiscal</w:t>
              <w:br/>
              <w:t>Year ($)</w:t>
            </w:r>
          </w:p>
        </w:tc>
        <w:tc>
          <w:tcPr>
            <w:tcW w:w="75" w:type="dxa"/>
            <w:tcBorders>
              <w:bottom w:val="single" w:sz="6" w:space="0" w:color="000000"/>
            </w:tcBorders>
            <w:shd w:fill="auto" w:val="clear"/>
            <w:tcMar>
              <w:bottom w:w="28" w:type="dxa"/>
            </w:tcMar>
            <w:vAlign w:val="center"/>
          </w:tcPr>
          <w:p>
            <w:pPr>
              <w:pStyle w:val="TableContents"/>
              <w:spacing w:before="0" w:after="283"/>
              <w:rPr/>
            </w:pPr>
            <w:r>
              <w:rPr/>
              <w:t> </w:t>
            </w:r>
          </w:p>
        </w:tc>
      </w:tr>
      <w:tr>
        <w:trPr/>
        <w:tc>
          <w:tcPr>
            <w:tcW w:w="1850" w:type="dxa"/>
            <w:tcBorders/>
            <w:shd w:fill="CEE8F6" w:val="clear"/>
            <w:vAlign w:val="center"/>
          </w:tcPr>
          <w:p>
            <w:pPr>
              <w:pStyle w:val="TableContents"/>
              <w:spacing w:lineRule="atLeast" w:line="240" w:before="0" w:after="0"/>
              <w:rPr>
                <w:rFonts w:ascii="ARIAL" w:hAnsi="ARIAL"/>
                <w:sz w:val="20"/>
              </w:rPr>
            </w:pPr>
            <w:r>
              <w:rPr>
                <w:rFonts w:ascii="ARIAL" w:hAnsi="ARIAL"/>
                <w:sz w:val="20"/>
              </w:rPr>
              <w:t>Tim L. Hingtgen</w:t>
            </w:r>
          </w:p>
        </w:tc>
        <w:tc>
          <w:tcPr>
            <w:tcW w:w="120" w:type="dxa"/>
            <w:tcBorders/>
            <w:shd w:fill="CEE8F6" w:val="clear"/>
            <w:vAlign w:val="center"/>
          </w:tcPr>
          <w:p>
            <w:pPr>
              <w:pStyle w:val="TableContents"/>
              <w:spacing w:before="0" w:after="283"/>
              <w:rPr/>
            </w:pPr>
            <w:r>
              <w:rPr/>
              <w:t>  </w:t>
            </w:r>
          </w:p>
        </w:tc>
        <w:tc>
          <w:tcPr>
            <w:tcW w:w="1145" w:type="dxa"/>
            <w:tcBorders/>
            <w:shd w:fill="CEE8F6" w:val="clear"/>
            <w:vAlign w:val="center"/>
          </w:tcPr>
          <w:p>
            <w:pPr>
              <w:pStyle w:val="TableContents"/>
              <w:spacing w:lineRule="atLeast" w:line="240" w:before="0" w:after="0"/>
              <w:jc w:val="center"/>
              <w:rPr>
                <w:rFonts w:ascii="ARIAL" w:hAnsi="ARIAL"/>
                <w:sz w:val="20"/>
              </w:rPr>
            </w:pPr>
            <w:r>
              <w:rPr>
                <w:rFonts w:ascii="ARIAL" w:hAnsi="ARIAL"/>
                <w:sz w:val="20"/>
              </w:rPr>
              <w:t>SERP</w:t>
            </w:r>
          </w:p>
        </w:tc>
        <w:tc>
          <w:tcPr>
            <w:tcW w:w="120" w:type="dxa"/>
            <w:tcBorders/>
            <w:shd w:fill="CEE8F6" w:val="clear"/>
            <w:vAlign w:val="center"/>
          </w:tcPr>
          <w:p>
            <w:pPr>
              <w:pStyle w:val="TableContents"/>
              <w:spacing w:before="0" w:after="283"/>
              <w:rPr/>
            </w:pPr>
            <w:r>
              <w:rPr/>
              <w:t>  </w:t>
            </w:r>
          </w:p>
        </w:tc>
        <w:tc>
          <w:tcPr>
            <w:tcW w:w="106" w:type="dxa"/>
            <w:tcBorders/>
            <w:shd w:fill="CEE8F6" w:val="clear"/>
            <w:vAlign w:val="center"/>
          </w:tcPr>
          <w:p>
            <w:pPr>
              <w:pStyle w:val="TableContents"/>
              <w:spacing w:lineRule="atLeast" w:line="240" w:before="0" w:after="0"/>
              <w:rPr/>
            </w:pPr>
            <w:r>
              <w:rPr/>
              <w:t> </w:t>
            </w:r>
          </w:p>
        </w:tc>
        <w:tc>
          <w:tcPr>
            <w:tcW w:w="889" w:type="dxa"/>
            <w:tcBorders/>
            <w:shd w:fill="CEE8F6" w:val="clear"/>
            <w:vAlign w:val="center"/>
          </w:tcPr>
          <w:p>
            <w:pPr>
              <w:pStyle w:val="TableContents"/>
              <w:spacing w:lineRule="atLeast" w:line="240" w:before="0" w:after="0"/>
              <w:jc w:val="right"/>
              <w:rPr>
                <w:rFonts w:ascii="ARIAL" w:hAnsi="ARIAL"/>
                <w:sz w:val="20"/>
              </w:rPr>
            </w:pPr>
            <w:r>
              <w:rPr>
                <w:rFonts w:ascii="ARIAL" w:hAnsi="ARIAL"/>
                <w:sz w:val="20"/>
              </w:rPr>
              <w:t>8.92</w:t>
            </w:r>
          </w:p>
        </w:tc>
        <w:tc>
          <w:tcPr>
            <w:tcW w:w="60" w:type="dxa"/>
            <w:tcBorders/>
            <w:shd w:fill="CEE8F6" w:val="clear"/>
            <w:vAlign w:val="center"/>
          </w:tcPr>
          <w:p>
            <w:pPr>
              <w:pStyle w:val="TableContents"/>
              <w:spacing w:lineRule="atLeast" w:line="240" w:before="0" w:after="0"/>
              <w:rPr/>
            </w:pPr>
            <w:r>
              <w:rPr/>
              <w:t> </w:t>
            </w:r>
          </w:p>
        </w:tc>
        <w:tc>
          <w:tcPr>
            <w:tcW w:w="120" w:type="dxa"/>
            <w:tcBorders/>
            <w:shd w:fill="CEE8F6" w:val="clear"/>
            <w:vAlign w:val="center"/>
          </w:tcPr>
          <w:p>
            <w:pPr>
              <w:pStyle w:val="TableContents"/>
              <w:spacing w:before="0" w:after="283"/>
              <w:rPr/>
            </w:pPr>
            <w:r>
              <w:rPr/>
              <w:t>  </w:t>
            </w:r>
          </w:p>
        </w:tc>
        <w:tc>
          <w:tcPr>
            <w:tcW w:w="75" w:type="dxa"/>
            <w:tcBorders/>
            <w:shd w:fill="CEE8F6" w:val="clear"/>
            <w:vAlign w:val="center"/>
          </w:tcPr>
          <w:p>
            <w:pPr>
              <w:pStyle w:val="TableContents"/>
              <w:spacing w:lineRule="atLeast" w:line="240" w:before="0" w:after="0"/>
              <w:rPr/>
            </w:pPr>
            <w:r>
              <w:rPr/>
              <w:t> </w:t>
            </w:r>
          </w:p>
        </w:tc>
        <w:tc>
          <w:tcPr>
            <w:tcW w:w="1234" w:type="dxa"/>
            <w:tcBorders/>
            <w:shd w:fill="CEE8F6" w:val="clear"/>
            <w:vAlign w:val="center"/>
          </w:tcPr>
          <w:p>
            <w:pPr>
              <w:pStyle w:val="TableContents"/>
              <w:spacing w:lineRule="atLeast" w:line="240" w:before="0" w:after="0"/>
              <w:jc w:val="right"/>
              <w:rPr>
                <w:rFonts w:ascii="ARIAL" w:hAnsi="ARIAL"/>
                <w:sz w:val="20"/>
              </w:rPr>
            </w:pPr>
            <w:r>
              <w:rPr>
                <w:rFonts w:ascii="ARIAL" w:hAnsi="ARIAL"/>
                <w:sz w:val="20"/>
              </w:rPr>
              <w:t>5,046,259</w:t>
            </w:r>
          </w:p>
        </w:tc>
        <w:tc>
          <w:tcPr>
            <w:tcW w:w="60" w:type="dxa"/>
            <w:tcBorders/>
            <w:shd w:fill="CEE8F6" w:val="clear"/>
            <w:vAlign w:val="center"/>
          </w:tcPr>
          <w:p>
            <w:pPr>
              <w:pStyle w:val="TableContents"/>
              <w:spacing w:lineRule="atLeast" w:line="240" w:before="0" w:after="0"/>
              <w:rPr/>
            </w:pPr>
            <w:r>
              <w:rPr/>
              <w:t> </w:t>
            </w:r>
          </w:p>
        </w:tc>
        <w:tc>
          <w:tcPr>
            <w:tcW w:w="120" w:type="dxa"/>
            <w:tcBorders/>
            <w:shd w:fill="CEE8F6" w:val="clear"/>
            <w:vAlign w:val="center"/>
          </w:tcPr>
          <w:p>
            <w:pPr>
              <w:pStyle w:val="TableContents"/>
              <w:spacing w:before="0" w:after="283"/>
              <w:rPr/>
            </w:pPr>
            <w:r>
              <w:rPr/>
              <w:t>  </w:t>
            </w:r>
          </w:p>
        </w:tc>
        <w:tc>
          <w:tcPr>
            <w:tcW w:w="477" w:type="dxa"/>
            <w:tcBorders/>
            <w:shd w:fill="CEE8F6" w:val="clear"/>
            <w:vAlign w:val="center"/>
          </w:tcPr>
          <w:p>
            <w:pPr>
              <w:pStyle w:val="TableContents"/>
              <w:spacing w:lineRule="atLeast" w:line="240" w:before="0" w:after="0"/>
              <w:rPr/>
            </w:pPr>
            <w:r>
              <w:rPr/>
              <w:t> </w:t>
            </w:r>
          </w:p>
        </w:tc>
        <w:tc>
          <w:tcPr>
            <w:tcW w:w="638" w:type="dxa"/>
            <w:tcBorders/>
            <w:shd w:fill="CEE8F6" w:val="clear"/>
            <w:vAlign w:val="center"/>
          </w:tcPr>
          <w:p>
            <w:pPr>
              <w:pStyle w:val="TableContents"/>
              <w:spacing w:lineRule="atLeast" w:line="240" w:before="0" w:after="0"/>
              <w:jc w:val="right"/>
              <w:rPr>
                <w:rFonts w:ascii="ARIAL" w:hAnsi="ARIAL"/>
                <w:sz w:val="20"/>
              </w:rPr>
            </w:pPr>
            <w:r>
              <w:rPr>
                <w:rFonts w:ascii="ARIAL" w:hAnsi="ARIAL"/>
                <w:sz w:val="20"/>
              </w:rPr>
              <w:t>-</w:t>
            </w:r>
          </w:p>
        </w:tc>
        <w:tc>
          <w:tcPr>
            <w:tcW w:w="75" w:type="dxa"/>
            <w:tcBorders/>
            <w:shd w:fill="CEE8F6" w:val="clear"/>
            <w:vAlign w:val="center"/>
          </w:tcPr>
          <w:p>
            <w:pPr>
              <w:pStyle w:val="TableContents"/>
              <w:spacing w:lineRule="atLeast" w:line="240" w:before="0" w:after="0"/>
              <w:rPr/>
            </w:pPr>
            <w:r>
              <w:rPr/>
              <w:t> </w:t>
            </w:r>
          </w:p>
        </w:tc>
      </w:tr>
      <w:tr>
        <w:trPr/>
        <w:tc>
          <w:tcPr>
            <w:tcW w:w="1850" w:type="dxa"/>
            <w:tcBorders/>
            <w:shd w:fill="auto" w:val="clear"/>
            <w:vAlign w:val="center"/>
          </w:tcPr>
          <w:p>
            <w:pPr>
              <w:pStyle w:val="TableContents"/>
              <w:spacing w:lineRule="atLeast" w:line="240" w:before="0" w:after="0"/>
              <w:rPr>
                <w:rFonts w:ascii="ARIAL" w:hAnsi="ARIAL"/>
                <w:sz w:val="20"/>
              </w:rPr>
            </w:pPr>
            <w:r>
              <w:rPr>
                <w:rFonts w:ascii="ARIAL" w:hAnsi="ARIAL"/>
                <w:sz w:val="20"/>
              </w:rPr>
              <w:t>Wayne T. Smith</w:t>
            </w:r>
          </w:p>
        </w:tc>
        <w:tc>
          <w:tcPr>
            <w:tcW w:w="120" w:type="dxa"/>
            <w:tcBorders/>
            <w:shd w:fill="auto" w:val="clear"/>
            <w:vAlign w:val="center"/>
          </w:tcPr>
          <w:p>
            <w:pPr>
              <w:pStyle w:val="TableContents"/>
              <w:spacing w:before="0" w:after="283"/>
              <w:rPr/>
            </w:pPr>
            <w:r>
              <w:rPr/>
              <w:t>  </w:t>
            </w:r>
          </w:p>
        </w:tc>
        <w:tc>
          <w:tcPr>
            <w:tcW w:w="1145" w:type="dxa"/>
            <w:tcBorders/>
            <w:shd w:fill="auto" w:val="clear"/>
            <w:vAlign w:val="center"/>
          </w:tcPr>
          <w:p>
            <w:pPr>
              <w:pStyle w:val="TableContents"/>
              <w:spacing w:lineRule="atLeast" w:line="240" w:before="0" w:after="0"/>
              <w:jc w:val="center"/>
              <w:rPr>
                <w:rFonts w:ascii="ARIAL" w:hAnsi="ARIAL"/>
                <w:sz w:val="20"/>
              </w:rPr>
            </w:pPr>
            <w:r>
              <w:rPr>
                <w:rFonts w:ascii="ARIAL" w:hAnsi="ARIAL"/>
                <w:sz w:val="20"/>
              </w:rPr>
              <w:t>SERP</w:t>
            </w:r>
          </w:p>
        </w:tc>
        <w:tc>
          <w:tcPr>
            <w:tcW w:w="120" w:type="dxa"/>
            <w:tcBorders/>
            <w:shd w:fill="auto" w:val="clear"/>
            <w:vAlign w:val="center"/>
          </w:tcPr>
          <w:p>
            <w:pPr>
              <w:pStyle w:val="TableContents"/>
              <w:spacing w:before="0" w:after="283"/>
              <w:rPr/>
            </w:pPr>
            <w:r>
              <w:rPr/>
              <w:t>  </w:t>
            </w:r>
          </w:p>
        </w:tc>
        <w:tc>
          <w:tcPr>
            <w:tcW w:w="106" w:type="dxa"/>
            <w:tcBorders/>
            <w:shd w:fill="auto" w:val="clear"/>
            <w:vAlign w:val="center"/>
          </w:tcPr>
          <w:p>
            <w:pPr>
              <w:pStyle w:val="TableContents"/>
              <w:spacing w:lineRule="atLeast" w:line="240" w:before="0" w:after="0"/>
              <w:rPr/>
            </w:pPr>
            <w:r>
              <w:rPr/>
              <w:t> </w:t>
            </w:r>
          </w:p>
        </w:tc>
        <w:tc>
          <w:tcPr>
            <w:tcW w:w="889" w:type="dxa"/>
            <w:tcBorders/>
            <w:shd w:fill="auto" w:val="clear"/>
            <w:vAlign w:val="center"/>
          </w:tcPr>
          <w:p>
            <w:pPr>
              <w:pStyle w:val="TableContents"/>
              <w:spacing w:lineRule="atLeast" w:line="240" w:before="0" w:after="0"/>
              <w:jc w:val="right"/>
              <w:rPr>
                <w:rFonts w:ascii="ARIAL" w:hAnsi="ARIAL"/>
                <w:sz w:val="20"/>
              </w:rPr>
            </w:pPr>
            <w:r>
              <w:rPr>
                <w:rFonts w:ascii="ARIAL" w:hAnsi="ARIAL"/>
                <w:sz w:val="20"/>
              </w:rPr>
              <w:t>30.00</w:t>
            </w:r>
          </w:p>
        </w:tc>
        <w:tc>
          <w:tcPr>
            <w:tcW w:w="60" w:type="dxa"/>
            <w:tcBorders/>
            <w:shd w:fill="auto" w:val="clear"/>
            <w:vAlign w:val="center"/>
          </w:tcPr>
          <w:p>
            <w:pPr>
              <w:pStyle w:val="TableContents"/>
              <w:spacing w:lineRule="atLeast" w:line="240" w:before="0" w:after="0"/>
              <w:rPr/>
            </w:pPr>
            <w:r>
              <w:rPr/>
              <w:t> </w:t>
            </w:r>
          </w:p>
        </w:tc>
        <w:tc>
          <w:tcPr>
            <w:tcW w:w="12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lineRule="atLeast" w:line="240" w:before="0" w:after="0"/>
              <w:rPr/>
            </w:pPr>
            <w:r>
              <w:rPr/>
              <w:t> </w:t>
            </w:r>
          </w:p>
        </w:tc>
        <w:tc>
          <w:tcPr>
            <w:tcW w:w="1234" w:type="dxa"/>
            <w:tcBorders/>
            <w:shd w:fill="auto" w:val="clear"/>
            <w:vAlign w:val="center"/>
          </w:tcPr>
          <w:p>
            <w:pPr>
              <w:pStyle w:val="TableContents"/>
              <w:spacing w:lineRule="atLeast" w:line="240" w:before="0" w:after="0"/>
              <w:jc w:val="right"/>
              <w:rPr>
                <w:rFonts w:ascii="ARIAL" w:hAnsi="ARIAL"/>
                <w:sz w:val="20"/>
              </w:rPr>
            </w:pPr>
            <w:r>
              <w:rPr>
                <w:rFonts w:ascii="ARIAL" w:hAnsi="ARIAL"/>
                <w:sz w:val="20"/>
              </w:rPr>
              <w:t>53,028,271</w:t>
            </w:r>
          </w:p>
        </w:tc>
        <w:tc>
          <w:tcPr>
            <w:tcW w:w="60" w:type="dxa"/>
            <w:tcBorders/>
            <w:shd w:fill="auto" w:val="clear"/>
            <w:vAlign w:val="center"/>
          </w:tcPr>
          <w:p>
            <w:pPr>
              <w:pStyle w:val="TableContents"/>
              <w:spacing w:lineRule="atLeast" w:line="240" w:before="0" w:after="0"/>
              <w:rPr/>
            </w:pPr>
            <w:r>
              <w:rPr/>
              <w:t> </w:t>
            </w:r>
          </w:p>
        </w:tc>
        <w:tc>
          <w:tcPr>
            <w:tcW w:w="120" w:type="dxa"/>
            <w:tcBorders/>
            <w:shd w:fill="auto" w:val="clear"/>
            <w:vAlign w:val="center"/>
          </w:tcPr>
          <w:p>
            <w:pPr>
              <w:pStyle w:val="TableContents"/>
              <w:spacing w:before="0" w:after="283"/>
              <w:rPr/>
            </w:pPr>
            <w:r>
              <w:rPr/>
              <w:t>  </w:t>
            </w:r>
          </w:p>
        </w:tc>
        <w:tc>
          <w:tcPr>
            <w:tcW w:w="477" w:type="dxa"/>
            <w:tcBorders/>
            <w:shd w:fill="auto" w:val="clear"/>
            <w:vAlign w:val="center"/>
          </w:tcPr>
          <w:p>
            <w:pPr>
              <w:pStyle w:val="TableContents"/>
              <w:spacing w:lineRule="atLeast" w:line="240" w:before="0" w:after="0"/>
              <w:rPr/>
            </w:pPr>
            <w:r>
              <w:rPr/>
              <w:t> </w:t>
            </w:r>
          </w:p>
        </w:tc>
        <w:tc>
          <w:tcPr>
            <w:tcW w:w="638" w:type="dxa"/>
            <w:tcBorders/>
            <w:shd w:fill="auto" w:val="clear"/>
            <w:vAlign w:val="center"/>
          </w:tcPr>
          <w:p>
            <w:pPr>
              <w:pStyle w:val="TableContents"/>
              <w:spacing w:lineRule="atLeast" w:line="240" w:before="0" w:after="0"/>
              <w:jc w:val="right"/>
              <w:rPr>
                <w:rFonts w:ascii="ARIAL" w:hAnsi="ARIAL"/>
                <w:sz w:val="20"/>
              </w:rPr>
            </w:pPr>
            <w:r>
              <w:rPr>
                <w:rFonts w:ascii="ARIAL" w:hAnsi="ARIAL"/>
                <w:sz w:val="20"/>
              </w:rPr>
              <w:t>-</w:t>
            </w:r>
          </w:p>
        </w:tc>
        <w:tc>
          <w:tcPr>
            <w:tcW w:w="75" w:type="dxa"/>
            <w:tcBorders/>
            <w:shd w:fill="auto" w:val="clear"/>
            <w:vAlign w:val="center"/>
          </w:tcPr>
          <w:p>
            <w:pPr>
              <w:pStyle w:val="TableContents"/>
              <w:spacing w:lineRule="atLeast" w:line="240" w:before="0" w:after="0"/>
              <w:rPr/>
            </w:pPr>
            <w:r>
              <w:rPr/>
              <w:t> </w:t>
            </w:r>
          </w:p>
        </w:tc>
      </w:tr>
      <w:tr>
        <w:trPr/>
        <w:tc>
          <w:tcPr>
            <w:tcW w:w="1850" w:type="dxa"/>
            <w:tcBorders/>
            <w:shd w:fill="CEE8F6" w:val="clear"/>
            <w:vAlign w:val="center"/>
          </w:tcPr>
          <w:p>
            <w:pPr>
              <w:pStyle w:val="TableContents"/>
              <w:spacing w:lineRule="atLeast" w:line="240" w:before="0" w:after="0"/>
              <w:rPr>
                <w:rFonts w:ascii="ARIAL" w:hAnsi="ARIAL"/>
                <w:sz w:val="20"/>
              </w:rPr>
            </w:pPr>
            <w:r>
              <w:rPr>
                <w:rFonts w:ascii="ARIAL" w:hAnsi="ARIAL"/>
                <w:sz w:val="20"/>
              </w:rPr>
              <w:t>Kevin J. Hammons</w:t>
            </w:r>
          </w:p>
        </w:tc>
        <w:tc>
          <w:tcPr>
            <w:tcW w:w="120" w:type="dxa"/>
            <w:tcBorders/>
            <w:shd w:fill="CEE8F6" w:val="clear"/>
            <w:vAlign w:val="center"/>
          </w:tcPr>
          <w:p>
            <w:pPr>
              <w:pStyle w:val="TableContents"/>
              <w:spacing w:before="0" w:after="283"/>
              <w:rPr/>
            </w:pPr>
            <w:r>
              <w:rPr/>
              <w:t>  </w:t>
            </w:r>
          </w:p>
        </w:tc>
        <w:tc>
          <w:tcPr>
            <w:tcW w:w="1145" w:type="dxa"/>
            <w:tcBorders/>
            <w:shd w:fill="CEE8F6" w:val="clear"/>
            <w:vAlign w:val="center"/>
          </w:tcPr>
          <w:p>
            <w:pPr>
              <w:pStyle w:val="TableContents"/>
              <w:spacing w:lineRule="atLeast" w:line="240" w:before="0" w:after="0"/>
              <w:jc w:val="center"/>
              <w:rPr>
                <w:rFonts w:ascii="ARIAL" w:hAnsi="ARIAL"/>
                <w:sz w:val="20"/>
              </w:rPr>
            </w:pPr>
            <w:r>
              <w:rPr>
                <w:rFonts w:ascii="ARIAL" w:hAnsi="ARIAL"/>
                <w:sz w:val="20"/>
              </w:rPr>
              <w:t>SERP</w:t>
            </w:r>
          </w:p>
        </w:tc>
        <w:tc>
          <w:tcPr>
            <w:tcW w:w="120" w:type="dxa"/>
            <w:tcBorders/>
            <w:shd w:fill="CEE8F6" w:val="clear"/>
            <w:vAlign w:val="center"/>
          </w:tcPr>
          <w:p>
            <w:pPr>
              <w:pStyle w:val="TableContents"/>
              <w:spacing w:before="0" w:after="283"/>
              <w:rPr/>
            </w:pPr>
            <w:r>
              <w:rPr/>
              <w:t>  </w:t>
            </w:r>
          </w:p>
        </w:tc>
        <w:tc>
          <w:tcPr>
            <w:tcW w:w="106" w:type="dxa"/>
            <w:tcBorders/>
            <w:shd w:fill="CEE8F6" w:val="clear"/>
            <w:vAlign w:val="center"/>
          </w:tcPr>
          <w:p>
            <w:pPr>
              <w:pStyle w:val="TableContents"/>
              <w:spacing w:lineRule="atLeast" w:line="240" w:before="0" w:after="0"/>
              <w:rPr/>
            </w:pPr>
            <w:r>
              <w:rPr/>
              <w:t> </w:t>
            </w:r>
          </w:p>
        </w:tc>
        <w:tc>
          <w:tcPr>
            <w:tcW w:w="889" w:type="dxa"/>
            <w:tcBorders/>
            <w:shd w:fill="CEE8F6" w:val="clear"/>
            <w:vAlign w:val="center"/>
          </w:tcPr>
          <w:p>
            <w:pPr>
              <w:pStyle w:val="TableContents"/>
              <w:spacing w:lineRule="atLeast" w:line="240" w:before="0" w:after="0"/>
              <w:jc w:val="right"/>
              <w:rPr>
                <w:rFonts w:ascii="ARIAL" w:hAnsi="ARIAL"/>
                <w:sz w:val="20"/>
              </w:rPr>
            </w:pPr>
            <w:r>
              <w:rPr>
                <w:rFonts w:ascii="ARIAL" w:hAnsi="ARIAL"/>
                <w:sz w:val="20"/>
              </w:rPr>
              <w:t>10.83</w:t>
            </w:r>
          </w:p>
        </w:tc>
        <w:tc>
          <w:tcPr>
            <w:tcW w:w="60" w:type="dxa"/>
            <w:tcBorders/>
            <w:shd w:fill="CEE8F6" w:val="clear"/>
            <w:vAlign w:val="center"/>
          </w:tcPr>
          <w:p>
            <w:pPr>
              <w:pStyle w:val="TableContents"/>
              <w:spacing w:lineRule="atLeast" w:line="240" w:before="0" w:after="0"/>
              <w:rPr/>
            </w:pPr>
            <w:r>
              <w:rPr/>
              <w:t> </w:t>
            </w:r>
          </w:p>
        </w:tc>
        <w:tc>
          <w:tcPr>
            <w:tcW w:w="120" w:type="dxa"/>
            <w:tcBorders/>
            <w:shd w:fill="CEE8F6" w:val="clear"/>
            <w:vAlign w:val="center"/>
          </w:tcPr>
          <w:p>
            <w:pPr>
              <w:pStyle w:val="TableContents"/>
              <w:spacing w:before="0" w:after="283"/>
              <w:rPr/>
            </w:pPr>
            <w:r>
              <w:rPr/>
              <w:t>  </w:t>
            </w:r>
          </w:p>
        </w:tc>
        <w:tc>
          <w:tcPr>
            <w:tcW w:w="75" w:type="dxa"/>
            <w:tcBorders/>
            <w:shd w:fill="CEE8F6" w:val="clear"/>
            <w:vAlign w:val="center"/>
          </w:tcPr>
          <w:p>
            <w:pPr>
              <w:pStyle w:val="TableContents"/>
              <w:spacing w:lineRule="atLeast" w:line="240" w:before="0" w:after="0"/>
              <w:rPr/>
            </w:pPr>
            <w:r>
              <w:rPr/>
              <w:t> </w:t>
            </w:r>
          </w:p>
        </w:tc>
        <w:tc>
          <w:tcPr>
            <w:tcW w:w="1234" w:type="dxa"/>
            <w:tcBorders/>
            <w:shd w:fill="CEE8F6" w:val="clear"/>
            <w:vAlign w:val="center"/>
          </w:tcPr>
          <w:p>
            <w:pPr>
              <w:pStyle w:val="TableContents"/>
              <w:spacing w:lineRule="atLeast" w:line="240" w:before="0" w:after="0"/>
              <w:jc w:val="right"/>
              <w:rPr>
                <w:rFonts w:ascii="ARIAL" w:hAnsi="ARIAL"/>
                <w:sz w:val="20"/>
              </w:rPr>
            </w:pPr>
            <w:r>
              <w:rPr>
                <w:rFonts w:ascii="ARIAL" w:hAnsi="ARIAL"/>
                <w:sz w:val="20"/>
              </w:rPr>
              <w:t>2,951,163</w:t>
            </w:r>
          </w:p>
        </w:tc>
        <w:tc>
          <w:tcPr>
            <w:tcW w:w="60" w:type="dxa"/>
            <w:tcBorders/>
            <w:shd w:fill="CEE8F6" w:val="clear"/>
            <w:vAlign w:val="center"/>
          </w:tcPr>
          <w:p>
            <w:pPr>
              <w:pStyle w:val="TableContents"/>
              <w:spacing w:lineRule="atLeast" w:line="240" w:before="0" w:after="0"/>
              <w:rPr/>
            </w:pPr>
            <w:r>
              <w:rPr/>
              <w:t> </w:t>
            </w:r>
          </w:p>
        </w:tc>
        <w:tc>
          <w:tcPr>
            <w:tcW w:w="120" w:type="dxa"/>
            <w:tcBorders/>
            <w:shd w:fill="CEE8F6" w:val="clear"/>
            <w:vAlign w:val="center"/>
          </w:tcPr>
          <w:p>
            <w:pPr>
              <w:pStyle w:val="TableContents"/>
              <w:spacing w:before="0" w:after="283"/>
              <w:rPr/>
            </w:pPr>
            <w:r>
              <w:rPr/>
              <w:t>  </w:t>
            </w:r>
          </w:p>
        </w:tc>
        <w:tc>
          <w:tcPr>
            <w:tcW w:w="477" w:type="dxa"/>
            <w:tcBorders/>
            <w:shd w:fill="CEE8F6" w:val="clear"/>
            <w:vAlign w:val="center"/>
          </w:tcPr>
          <w:p>
            <w:pPr>
              <w:pStyle w:val="TableContents"/>
              <w:spacing w:lineRule="atLeast" w:line="240" w:before="0" w:after="0"/>
              <w:rPr/>
            </w:pPr>
            <w:r>
              <w:rPr/>
              <w:t> </w:t>
            </w:r>
          </w:p>
        </w:tc>
        <w:tc>
          <w:tcPr>
            <w:tcW w:w="638" w:type="dxa"/>
            <w:tcBorders/>
            <w:shd w:fill="CEE8F6" w:val="clear"/>
            <w:vAlign w:val="center"/>
          </w:tcPr>
          <w:p>
            <w:pPr>
              <w:pStyle w:val="TableContents"/>
              <w:spacing w:lineRule="atLeast" w:line="240" w:before="0" w:after="0"/>
              <w:jc w:val="right"/>
              <w:rPr>
                <w:rFonts w:ascii="ARIAL" w:hAnsi="ARIAL"/>
                <w:sz w:val="20"/>
              </w:rPr>
            </w:pPr>
            <w:r>
              <w:rPr>
                <w:rFonts w:ascii="ARIAL" w:hAnsi="ARIAL"/>
                <w:sz w:val="20"/>
              </w:rPr>
              <w:t>-</w:t>
            </w:r>
          </w:p>
        </w:tc>
        <w:tc>
          <w:tcPr>
            <w:tcW w:w="75" w:type="dxa"/>
            <w:tcBorders/>
            <w:shd w:fill="CEE8F6" w:val="clear"/>
            <w:vAlign w:val="center"/>
          </w:tcPr>
          <w:p>
            <w:pPr>
              <w:pStyle w:val="TableContents"/>
              <w:spacing w:lineRule="atLeast" w:line="240" w:before="0" w:after="0"/>
              <w:rPr/>
            </w:pPr>
            <w:r>
              <w:rPr/>
              <w:t> </w:t>
            </w:r>
          </w:p>
        </w:tc>
      </w:tr>
      <w:tr>
        <w:trPr/>
        <w:tc>
          <w:tcPr>
            <w:tcW w:w="1850" w:type="dxa"/>
            <w:tcBorders/>
            <w:shd w:fill="auto" w:val="clear"/>
            <w:vAlign w:val="center"/>
          </w:tcPr>
          <w:p>
            <w:pPr>
              <w:pStyle w:val="TableContents"/>
              <w:spacing w:lineRule="atLeast" w:line="240" w:before="0" w:after="0"/>
              <w:rPr>
                <w:rFonts w:ascii="ARIAL" w:hAnsi="ARIAL"/>
                <w:sz w:val="20"/>
              </w:rPr>
            </w:pPr>
            <w:r>
              <w:rPr>
                <w:rFonts w:ascii="ARIAL" w:hAnsi="ARIAL"/>
                <w:sz w:val="20"/>
              </w:rPr>
              <w:t>Lynn T. Simon, M.D.</w:t>
            </w:r>
          </w:p>
        </w:tc>
        <w:tc>
          <w:tcPr>
            <w:tcW w:w="120" w:type="dxa"/>
            <w:tcBorders/>
            <w:shd w:fill="auto" w:val="clear"/>
            <w:vAlign w:val="center"/>
          </w:tcPr>
          <w:p>
            <w:pPr>
              <w:pStyle w:val="TableContents"/>
              <w:spacing w:before="0" w:after="283"/>
              <w:rPr/>
            </w:pPr>
            <w:r>
              <w:rPr/>
              <w:t>  </w:t>
            </w:r>
          </w:p>
        </w:tc>
        <w:tc>
          <w:tcPr>
            <w:tcW w:w="1145" w:type="dxa"/>
            <w:tcBorders/>
            <w:shd w:fill="auto" w:val="clear"/>
            <w:vAlign w:val="center"/>
          </w:tcPr>
          <w:p>
            <w:pPr>
              <w:pStyle w:val="TableContents"/>
              <w:spacing w:lineRule="atLeast" w:line="240" w:before="0" w:after="0"/>
              <w:jc w:val="center"/>
              <w:rPr>
                <w:rFonts w:ascii="ARIAL" w:hAnsi="ARIAL"/>
                <w:sz w:val="20"/>
              </w:rPr>
            </w:pPr>
            <w:r>
              <w:rPr>
                <w:rFonts w:ascii="ARIAL" w:hAnsi="ARIAL"/>
                <w:sz w:val="20"/>
              </w:rPr>
              <w:t>SERP</w:t>
            </w:r>
          </w:p>
        </w:tc>
        <w:tc>
          <w:tcPr>
            <w:tcW w:w="120" w:type="dxa"/>
            <w:tcBorders/>
            <w:shd w:fill="auto" w:val="clear"/>
            <w:vAlign w:val="center"/>
          </w:tcPr>
          <w:p>
            <w:pPr>
              <w:pStyle w:val="TableContents"/>
              <w:spacing w:before="0" w:after="283"/>
              <w:rPr/>
            </w:pPr>
            <w:r>
              <w:rPr/>
              <w:t>  </w:t>
            </w:r>
          </w:p>
        </w:tc>
        <w:tc>
          <w:tcPr>
            <w:tcW w:w="106" w:type="dxa"/>
            <w:tcBorders/>
            <w:shd w:fill="auto" w:val="clear"/>
            <w:vAlign w:val="center"/>
          </w:tcPr>
          <w:p>
            <w:pPr>
              <w:pStyle w:val="TableContents"/>
              <w:spacing w:lineRule="atLeast" w:line="240" w:before="0" w:after="0"/>
              <w:rPr/>
            </w:pPr>
            <w:r>
              <w:rPr/>
              <w:t> </w:t>
            </w:r>
          </w:p>
        </w:tc>
        <w:tc>
          <w:tcPr>
            <w:tcW w:w="889" w:type="dxa"/>
            <w:tcBorders/>
            <w:shd w:fill="auto" w:val="clear"/>
            <w:vAlign w:val="center"/>
          </w:tcPr>
          <w:p>
            <w:pPr>
              <w:pStyle w:val="TableContents"/>
              <w:spacing w:lineRule="atLeast" w:line="240" w:before="0" w:after="0"/>
              <w:jc w:val="right"/>
              <w:rPr>
                <w:rFonts w:ascii="ARIAL" w:hAnsi="ARIAL"/>
                <w:sz w:val="20"/>
              </w:rPr>
            </w:pPr>
            <w:r>
              <w:rPr>
                <w:rFonts w:ascii="ARIAL" w:hAnsi="ARIAL"/>
                <w:sz w:val="20"/>
              </w:rPr>
              <w:t>12.00</w:t>
            </w:r>
          </w:p>
        </w:tc>
        <w:tc>
          <w:tcPr>
            <w:tcW w:w="60" w:type="dxa"/>
            <w:tcBorders/>
            <w:shd w:fill="auto" w:val="clear"/>
            <w:vAlign w:val="center"/>
          </w:tcPr>
          <w:p>
            <w:pPr>
              <w:pStyle w:val="TableContents"/>
              <w:spacing w:lineRule="atLeast" w:line="240" w:before="0" w:after="0"/>
              <w:rPr/>
            </w:pPr>
            <w:r>
              <w:rPr/>
              <w:t> </w:t>
            </w:r>
          </w:p>
        </w:tc>
        <w:tc>
          <w:tcPr>
            <w:tcW w:w="12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lineRule="atLeast" w:line="240" w:before="0" w:after="0"/>
              <w:rPr/>
            </w:pPr>
            <w:r>
              <w:rPr/>
              <w:t> </w:t>
            </w:r>
          </w:p>
        </w:tc>
        <w:tc>
          <w:tcPr>
            <w:tcW w:w="1234" w:type="dxa"/>
            <w:tcBorders/>
            <w:shd w:fill="auto" w:val="clear"/>
            <w:vAlign w:val="center"/>
          </w:tcPr>
          <w:p>
            <w:pPr>
              <w:pStyle w:val="TableContents"/>
              <w:spacing w:lineRule="atLeast" w:line="240" w:before="0" w:after="0"/>
              <w:jc w:val="right"/>
              <w:rPr>
                <w:rFonts w:ascii="ARIAL" w:hAnsi="ARIAL"/>
                <w:sz w:val="20"/>
              </w:rPr>
            </w:pPr>
            <w:r>
              <w:rPr>
                <w:rFonts w:ascii="ARIAL" w:hAnsi="ARIAL"/>
                <w:sz w:val="20"/>
              </w:rPr>
              <w:t>3,973,862</w:t>
            </w:r>
          </w:p>
        </w:tc>
        <w:tc>
          <w:tcPr>
            <w:tcW w:w="60" w:type="dxa"/>
            <w:tcBorders/>
            <w:shd w:fill="auto" w:val="clear"/>
            <w:vAlign w:val="center"/>
          </w:tcPr>
          <w:p>
            <w:pPr>
              <w:pStyle w:val="TableContents"/>
              <w:spacing w:lineRule="atLeast" w:line="240" w:before="0" w:after="0"/>
              <w:rPr/>
            </w:pPr>
            <w:r>
              <w:rPr/>
              <w:t> </w:t>
            </w:r>
          </w:p>
        </w:tc>
        <w:tc>
          <w:tcPr>
            <w:tcW w:w="120" w:type="dxa"/>
            <w:tcBorders/>
            <w:shd w:fill="auto" w:val="clear"/>
            <w:vAlign w:val="center"/>
          </w:tcPr>
          <w:p>
            <w:pPr>
              <w:pStyle w:val="TableContents"/>
              <w:spacing w:before="0" w:after="283"/>
              <w:rPr/>
            </w:pPr>
            <w:r>
              <w:rPr/>
              <w:t>  </w:t>
            </w:r>
          </w:p>
        </w:tc>
        <w:tc>
          <w:tcPr>
            <w:tcW w:w="477" w:type="dxa"/>
            <w:tcBorders/>
            <w:shd w:fill="auto" w:val="clear"/>
            <w:vAlign w:val="center"/>
          </w:tcPr>
          <w:p>
            <w:pPr>
              <w:pStyle w:val="TableContents"/>
              <w:spacing w:lineRule="atLeast" w:line="240" w:before="0" w:after="0"/>
              <w:rPr/>
            </w:pPr>
            <w:r>
              <w:rPr/>
              <w:t> </w:t>
            </w:r>
          </w:p>
        </w:tc>
        <w:tc>
          <w:tcPr>
            <w:tcW w:w="638" w:type="dxa"/>
            <w:tcBorders/>
            <w:shd w:fill="auto" w:val="clear"/>
            <w:vAlign w:val="center"/>
          </w:tcPr>
          <w:p>
            <w:pPr>
              <w:pStyle w:val="TableContents"/>
              <w:spacing w:lineRule="atLeast" w:line="240" w:before="0" w:after="0"/>
              <w:jc w:val="right"/>
              <w:rPr>
                <w:rFonts w:ascii="ARIAL" w:hAnsi="ARIAL"/>
                <w:sz w:val="20"/>
              </w:rPr>
            </w:pPr>
            <w:r>
              <w:rPr>
                <w:rFonts w:ascii="ARIAL" w:hAnsi="ARIAL"/>
                <w:sz w:val="20"/>
              </w:rPr>
              <w:t>-</w:t>
            </w:r>
          </w:p>
        </w:tc>
        <w:tc>
          <w:tcPr>
            <w:tcW w:w="75" w:type="dxa"/>
            <w:tcBorders/>
            <w:shd w:fill="auto" w:val="clear"/>
            <w:vAlign w:val="center"/>
          </w:tcPr>
          <w:p>
            <w:pPr>
              <w:pStyle w:val="TableContents"/>
              <w:spacing w:lineRule="atLeast" w:line="240" w:before="0" w:after="0"/>
              <w:rPr/>
            </w:pPr>
            <w:r>
              <w:rPr/>
              <w:t> </w:t>
            </w:r>
          </w:p>
        </w:tc>
      </w:tr>
      <w:tr>
        <w:trPr/>
        <w:tc>
          <w:tcPr>
            <w:tcW w:w="1850" w:type="dxa"/>
            <w:tcBorders/>
            <w:shd w:fill="CEE8F6" w:val="clear"/>
            <w:vAlign w:val="center"/>
          </w:tcPr>
          <w:p>
            <w:pPr>
              <w:pStyle w:val="TableContents"/>
              <w:spacing w:lineRule="atLeast" w:line="240" w:before="0" w:after="0"/>
              <w:rPr>
                <w:rFonts w:ascii="ARIAL" w:hAnsi="ARIAL"/>
                <w:sz w:val="20"/>
              </w:rPr>
            </w:pPr>
            <w:r>
              <w:rPr>
                <w:rFonts w:ascii="ARIAL" w:hAnsi="ARIAL"/>
                <w:sz w:val="20"/>
              </w:rPr>
              <w:t>Mark B. Medley</w:t>
            </w:r>
          </w:p>
        </w:tc>
        <w:tc>
          <w:tcPr>
            <w:tcW w:w="120" w:type="dxa"/>
            <w:tcBorders/>
            <w:shd w:fill="CEE8F6" w:val="clear"/>
            <w:vAlign w:val="center"/>
          </w:tcPr>
          <w:p>
            <w:pPr>
              <w:pStyle w:val="TableContents"/>
              <w:spacing w:before="0" w:after="283"/>
              <w:rPr/>
            </w:pPr>
            <w:r>
              <w:rPr/>
              <w:t>  </w:t>
            </w:r>
          </w:p>
        </w:tc>
        <w:tc>
          <w:tcPr>
            <w:tcW w:w="1145" w:type="dxa"/>
            <w:tcBorders/>
            <w:shd w:fill="CEE8F6" w:val="clear"/>
            <w:vAlign w:val="center"/>
          </w:tcPr>
          <w:p>
            <w:pPr>
              <w:pStyle w:val="TableContents"/>
              <w:spacing w:lineRule="atLeast" w:line="240" w:before="0" w:after="0"/>
              <w:jc w:val="center"/>
              <w:rPr>
                <w:rFonts w:ascii="ARIAL" w:hAnsi="ARIAL"/>
                <w:sz w:val="20"/>
              </w:rPr>
            </w:pPr>
            <w:r>
              <w:rPr>
                <w:rFonts w:ascii="ARIAL" w:hAnsi="ARIAL"/>
                <w:sz w:val="20"/>
              </w:rPr>
              <w:t>SERP</w:t>
            </w:r>
          </w:p>
        </w:tc>
        <w:tc>
          <w:tcPr>
            <w:tcW w:w="120" w:type="dxa"/>
            <w:tcBorders/>
            <w:shd w:fill="CEE8F6" w:val="clear"/>
            <w:vAlign w:val="center"/>
          </w:tcPr>
          <w:p>
            <w:pPr>
              <w:pStyle w:val="TableContents"/>
              <w:spacing w:before="0" w:after="283"/>
              <w:rPr/>
            </w:pPr>
            <w:r>
              <w:rPr/>
              <w:t>  </w:t>
            </w:r>
          </w:p>
        </w:tc>
        <w:tc>
          <w:tcPr>
            <w:tcW w:w="106" w:type="dxa"/>
            <w:tcBorders/>
            <w:shd w:fill="CEE8F6" w:val="clear"/>
            <w:vAlign w:val="center"/>
          </w:tcPr>
          <w:p>
            <w:pPr>
              <w:pStyle w:val="TableContents"/>
              <w:spacing w:lineRule="atLeast" w:line="240" w:before="0" w:after="0"/>
              <w:rPr/>
            </w:pPr>
            <w:r>
              <w:rPr/>
              <w:t> </w:t>
            </w:r>
          </w:p>
        </w:tc>
        <w:tc>
          <w:tcPr>
            <w:tcW w:w="889" w:type="dxa"/>
            <w:tcBorders/>
            <w:shd w:fill="CEE8F6" w:val="clear"/>
            <w:vAlign w:val="center"/>
          </w:tcPr>
          <w:p>
            <w:pPr>
              <w:pStyle w:val="TableContents"/>
              <w:spacing w:lineRule="atLeast" w:line="240" w:before="0" w:after="0"/>
              <w:jc w:val="right"/>
              <w:rPr>
                <w:rFonts w:ascii="ARIAL" w:hAnsi="ARIAL"/>
                <w:sz w:val="20"/>
              </w:rPr>
            </w:pPr>
            <w:r>
              <w:rPr>
                <w:rFonts w:ascii="ARIAL" w:hAnsi="ARIAL"/>
                <w:sz w:val="20"/>
              </w:rPr>
              <w:t>1.58</w:t>
            </w:r>
          </w:p>
        </w:tc>
        <w:tc>
          <w:tcPr>
            <w:tcW w:w="60" w:type="dxa"/>
            <w:tcBorders/>
            <w:shd w:fill="CEE8F6" w:val="clear"/>
            <w:vAlign w:val="center"/>
          </w:tcPr>
          <w:p>
            <w:pPr>
              <w:pStyle w:val="TableContents"/>
              <w:spacing w:lineRule="atLeast" w:line="240" w:before="0" w:after="0"/>
              <w:rPr/>
            </w:pPr>
            <w:r>
              <w:rPr/>
              <w:t> </w:t>
            </w:r>
          </w:p>
        </w:tc>
        <w:tc>
          <w:tcPr>
            <w:tcW w:w="120" w:type="dxa"/>
            <w:tcBorders/>
            <w:shd w:fill="CEE8F6" w:val="clear"/>
            <w:vAlign w:val="center"/>
          </w:tcPr>
          <w:p>
            <w:pPr>
              <w:pStyle w:val="TableContents"/>
              <w:spacing w:before="0" w:after="283"/>
              <w:rPr/>
            </w:pPr>
            <w:r>
              <w:rPr/>
              <w:t>  </w:t>
            </w:r>
          </w:p>
        </w:tc>
        <w:tc>
          <w:tcPr>
            <w:tcW w:w="75" w:type="dxa"/>
            <w:tcBorders/>
            <w:shd w:fill="CEE8F6" w:val="clear"/>
            <w:vAlign w:val="center"/>
          </w:tcPr>
          <w:p>
            <w:pPr>
              <w:pStyle w:val="TableContents"/>
              <w:spacing w:lineRule="atLeast" w:line="240" w:before="0" w:after="0"/>
              <w:rPr/>
            </w:pPr>
            <w:r>
              <w:rPr/>
              <w:t> </w:t>
            </w:r>
          </w:p>
        </w:tc>
        <w:tc>
          <w:tcPr>
            <w:tcW w:w="1234" w:type="dxa"/>
            <w:tcBorders/>
            <w:shd w:fill="CEE8F6" w:val="clear"/>
            <w:vAlign w:val="center"/>
          </w:tcPr>
          <w:p>
            <w:pPr>
              <w:pStyle w:val="TableContents"/>
              <w:spacing w:lineRule="atLeast" w:line="240" w:before="0" w:after="0"/>
              <w:jc w:val="right"/>
              <w:rPr>
                <w:rFonts w:ascii="ARIAL" w:hAnsi="ARIAL"/>
                <w:sz w:val="20"/>
              </w:rPr>
            </w:pPr>
            <w:r>
              <w:rPr>
                <w:rFonts w:ascii="ARIAL" w:hAnsi="ARIAL"/>
                <w:sz w:val="20"/>
              </w:rPr>
              <w:t>-</w:t>
            </w:r>
          </w:p>
        </w:tc>
        <w:tc>
          <w:tcPr>
            <w:tcW w:w="60" w:type="dxa"/>
            <w:tcBorders/>
            <w:shd w:fill="CEE8F6" w:val="clear"/>
            <w:vAlign w:val="center"/>
          </w:tcPr>
          <w:p>
            <w:pPr>
              <w:pStyle w:val="TableContents"/>
              <w:spacing w:lineRule="atLeast" w:line="240" w:before="0" w:after="0"/>
              <w:rPr/>
            </w:pPr>
            <w:r>
              <w:rPr/>
              <w:t> </w:t>
            </w:r>
          </w:p>
        </w:tc>
        <w:tc>
          <w:tcPr>
            <w:tcW w:w="120" w:type="dxa"/>
            <w:tcBorders/>
            <w:shd w:fill="CEE8F6" w:val="clear"/>
            <w:vAlign w:val="center"/>
          </w:tcPr>
          <w:p>
            <w:pPr>
              <w:pStyle w:val="TableContents"/>
              <w:spacing w:before="0" w:after="283"/>
              <w:rPr/>
            </w:pPr>
            <w:r>
              <w:rPr/>
              <w:t>  </w:t>
            </w:r>
          </w:p>
        </w:tc>
        <w:tc>
          <w:tcPr>
            <w:tcW w:w="477" w:type="dxa"/>
            <w:tcBorders/>
            <w:shd w:fill="CEE8F6" w:val="clear"/>
            <w:vAlign w:val="center"/>
          </w:tcPr>
          <w:p>
            <w:pPr>
              <w:pStyle w:val="TableContents"/>
              <w:spacing w:lineRule="atLeast" w:line="240" w:before="0" w:after="0"/>
              <w:rPr/>
            </w:pPr>
            <w:r>
              <w:rPr/>
              <w:t> </w:t>
            </w:r>
          </w:p>
        </w:tc>
        <w:tc>
          <w:tcPr>
            <w:tcW w:w="638" w:type="dxa"/>
            <w:tcBorders/>
            <w:shd w:fill="CEE8F6" w:val="clear"/>
            <w:vAlign w:val="center"/>
          </w:tcPr>
          <w:p>
            <w:pPr>
              <w:pStyle w:val="TableContents"/>
              <w:spacing w:lineRule="atLeast" w:line="240" w:before="0" w:after="0"/>
              <w:jc w:val="right"/>
              <w:rPr>
                <w:rFonts w:ascii="ARIAL" w:hAnsi="ARIAL"/>
                <w:sz w:val="20"/>
              </w:rPr>
            </w:pPr>
            <w:r>
              <w:rPr>
                <w:rFonts w:ascii="ARIAL" w:hAnsi="ARIAL"/>
                <w:sz w:val="20"/>
              </w:rPr>
              <w:t>-</w:t>
            </w:r>
          </w:p>
        </w:tc>
        <w:tc>
          <w:tcPr>
            <w:tcW w:w="75" w:type="dxa"/>
            <w:tcBorders/>
            <w:shd w:fill="CEE8F6" w:val="clear"/>
            <w:vAlign w:val="center"/>
          </w:tcPr>
          <w:p>
            <w:pPr>
              <w:pStyle w:val="TableContents"/>
              <w:spacing w:lineRule="atLeast" w:line="240" w:before="0" w:after="0"/>
              <w:rPr/>
            </w:pPr>
            <w:r>
              <w:rPr/>
              <w:t> </w:t>
            </w:r>
          </w:p>
        </w:tc>
      </w:tr>
    </w:tbl>
    <w:p>
      <w:pPr>
        <w:pStyle w:val="TextBody"/>
        <w:pBdr>
          <w:bottom w:val="single" w:sz="2" w:space="1" w:color="000000"/>
        </w:pBdr>
        <w:spacing w:lineRule="atLeast" w:line="160" w:before="0" w:after="40"/>
        <w:jc w:val="left"/>
        <w:rPr/>
      </w:pPr>
      <w:r>
        <w:rPr/>
        <w:t> </w:t>
      </w:r>
    </w:p>
    <w:tbl>
      <w:tblPr>
        <w:tblW w:w="10205" w:type="dxa"/>
        <w:jc w:val="left"/>
        <w:tblInd w:w="0" w:type="dxa"/>
        <w:tblCellMar>
          <w:top w:w="0" w:type="dxa"/>
          <w:left w:w="0" w:type="dxa"/>
          <w:bottom w:w="0" w:type="dxa"/>
          <w:right w:w="0" w:type="dxa"/>
        </w:tblCellMar>
      </w:tblPr>
      <w:tblGrid>
        <w:gridCol w:w="236"/>
        <w:gridCol w:w="9969"/>
      </w:tblGrid>
      <w:tr>
        <w:trPr/>
        <w:tc>
          <w:tcPr>
            <w:tcW w:w="236" w:type="dxa"/>
            <w:tcBorders/>
            <w:shd w:fill="auto" w:val="clear"/>
            <w:vAlign w:val="center"/>
          </w:tcPr>
          <w:p>
            <w:pPr>
              <w:pStyle w:val="TableContents"/>
              <w:spacing w:before="0" w:after="283"/>
              <w:jc w:val="left"/>
              <w:rPr/>
            </w:pPr>
            <w:r>
              <w:rPr/>
              <w:t>(1)</w:t>
            </w:r>
          </w:p>
        </w:tc>
        <w:tc>
          <w:tcPr>
            <w:tcW w:w="9969" w:type="dxa"/>
            <w:tcBorders/>
            <w:shd w:fill="auto" w:val="clear"/>
            <w:vAlign w:val="center"/>
          </w:tcPr>
          <w:p>
            <w:pPr>
              <w:pStyle w:val="TableContents"/>
              <w:spacing w:before="0" w:after="0"/>
              <w:jc w:val="left"/>
              <w:rPr>
                <w:rFonts w:ascii="ARIAL" w:hAnsi="ARIAL"/>
                <w:sz w:val="20"/>
              </w:rPr>
            </w:pPr>
            <w:r>
              <w:rPr>
                <w:rFonts w:ascii="ARIAL" w:hAnsi="ARIAL"/>
                <w:sz w:val="20"/>
              </w:rPr>
              <w:t xml:space="preserve">Named executive officers receive one year of credited service for each year of actual service. As discussed further in “Retirement and Deferred Compensation Benefits” on page 56 of this Proxy Statement, under the Original SERP, Mr. Smith was formerly credited with two years of service for each year of actual service. This component of the Original SERP was adopted by the Compensation Committee in March 2004, while the Company’s stock ownership and Board of Directors were controlled by affiliates of Forstmann Little &amp; Co. In 2008, the Compensation Committee and the Board voted to amend the Original SERP to terminate this practice after 25 years of service had been credited. Since reaching 25 years of credited service, Mr. Smith received one year of credited service for each year of actual service. Mr. Smith, having reached his maximum number of 30 years of credited service, previously elected in accordance with the plan provisions to have his benefit frozen, effective in July 2014, with future increases for interest earned based on the 24-month average yield on 10-Year Treasury Bonds. Mr. Smith earned no additional service credit following such election. </w:t>
            </w:r>
          </w:p>
        </w:tc>
      </w:tr>
    </w:tbl>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70 </w:t>
      </w:r>
      <w:r>
        <w:br w:type="page"/>
      </w:r>
    </w:p>
    <w:p>
      <w:pPr>
        <w:pStyle w:val="HorizontalLine"/>
        <w:rPr/>
      </w:pPr>
      <w:r>
        <w:rPr/>
      </w:r>
    </w:p>
    <w:p>
      <w:pPr>
        <w:pStyle w:val="TextBody"/>
        <w:spacing w:before="0" w:after="0"/>
        <w:jc w:val="left"/>
        <w:rPr>
          <w:rFonts w:ascii="ARIAL" w:hAnsi="ARIAL"/>
          <w:b/>
          <w:sz w:val="20"/>
        </w:rPr>
      </w:pPr>
      <w:bookmarkStart w:id="23" w:name="toc360141_21"/>
      <w:bookmarkEnd w:id="23"/>
      <w:r>
        <w:rPr>
          <w:rFonts w:ascii="ARIAL" w:hAnsi="ARIAL"/>
          <w:b/>
          <w:sz w:val="20"/>
        </w:rPr>
        <w:t xml:space="preserve">Non-Qualified Deferred Compensation </w:t>
      </w:r>
    </w:p>
    <w:p>
      <w:pPr>
        <w:pStyle w:val="TextBody"/>
        <w:spacing w:before="240" w:after="0"/>
        <w:jc w:val="left"/>
        <w:rPr>
          <w:rFonts w:ascii="ARIAL" w:hAnsi="ARIAL"/>
          <w:sz w:val="20"/>
        </w:rPr>
      </w:pPr>
      <w:r>
        <w:rPr>
          <w:rFonts w:ascii="ARIAL" w:hAnsi="ARIAL"/>
          <w:sz w:val="20"/>
        </w:rPr>
        <w:t xml:space="preserve">The following table shows the contributions, earnings and account balances for the named executive officers in the Deferred Compensation Plan. Participation in this plan is limited to a selected group of management or highly compensated employees of the Company. The participants may select their investment funds in the plan in which their accounts are deemed to be invested. Since 2009, the Company has not contributed to this plan. Company contributions made prior to that time are now fully vested. </w:t>
      </w:r>
    </w:p>
    <w:p>
      <w:pPr>
        <w:pStyle w:val="TextBody"/>
        <w:spacing w:before="240" w:after="0"/>
        <w:jc w:val="left"/>
        <w:rPr>
          <w:rFonts w:ascii="ARIAL" w:hAnsi="ARIAL"/>
          <w:sz w:val="20"/>
        </w:rPr>
      </w:pPr>
      <w:r>
        <w:rPr>
          <w:rFonts w:ascii="ARIAL" w:hAnsi="ARIAL"/>
          <w:sz w:val="20"/>
        </w:rPr>
        <w:t xml:space="preserve">Distributions from the plan are in a lump sum payment as soon as administratively feasible, but no earlier than 10 days and no later than 45 days following the date on which the participant is entitled to receive the distribution. The participant also has the option to make an election to delay the time of payments in five (5) annual installments or in ten (10) annual installments. The election for the deferral may not be made less than 12 months prior to the date of the first scheduled payment. An election relating to the form of payment may be made as permitted under Section 409A of the IRC. </w:t>
      </w:r>
    </w:p>
    <w:p>
      <w:pPr>
        <w:pStyle w:val="TextBody"/>
        <w:spacing w:before="0" w:after="0"/>
        <w:jc w:val="left"/>
        <w:rPr/>
      </w:pPr>
      <w:r>
        <w:rPr/>
        <w:t> </w:t>
      </w:r>
    </w:p>
    <w:tbl>
      <w:tblPr>
        <w:tblW w:w="7425" w:type="dxa"/>
        <w:jc w:val="left"/>
        <w:tblInd w:w="0" w:type="dxa"/>
        <w:tblCellMar>
          <w:top w:w="0" w:type="dxa"/>
          <w:left w:w="0" w:type="dxa"/>
          <w:bottom w:w="0" w:type="dxa"/>
          <w:right w:w="0" w:type="dxa"/>
        </w:tblCellMar>
      </w:tblPr>
      <w:tblGrid>
        <w:gridCol w:w="2075"/>
        <w:gridCol w:w="120"/>
        <w:gridCol w:w="100"/>
        <w:gridCol w:w="1195"/>
        <w:gridCol w:w="60"/>
        <w:gridCol w:w="120"/>
        <w:gridCol w:w="60"/>
        <w:gridCol w:w="935"/>
        <w:gridCol w:w="140"/>
        <w:gridCol w:w="60"/>
        <w:gridCol w:w="366"/>
        <w:gridCol w:w="854"/>
        <w:gridCol w:w="60"/>
        <w:gridCol w:w="120"/>
        <w:gridCol w:w="69"/>
        <w:gridCol w:w="1016"/>
        <w:gridCol w:w="75"/>
      </w:tblGrid>
      <w:tr>
        <w:trPr/>
        <w:tc>
          <w:tcPr>
            <w:tcW w:w="207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center"/>
          </w:tcPr>
          <w:p>
            <w:pPr>
              <w:pStyle w:val="TableContents"/>
              <w:spacing w:before="0" w:after="283"/>
              <w:rPr>
                <w:sz w:val="4"/>
                <w:szCs w:val="4"/>
              </w:rPr>
            </w:pPr>
            <w:r>
              <w:rPr>
                <w:sz w:val="4"/>
                <w:szCs w:val="4"/>
              </w:rPr>
            </w:r>
          </w:p>
        </w:tc>
        <w:tc>
          <w:tcPr>
            <w:tcW w:w="11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35"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85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9" w:type="dxa"/>
            <w:tcBorders/>
            <w:shd w:fill="auto" w:val="clear"/>
            <w:vAlign w:val="center"/>
          </w:tcPr>
          <w:p>
            <w:pPr>
              <w:pStyle w:val="TableContents"/>
              <w:spacing w:before="0" w:after="283"/>
              <w:rPr>
                <w:sz w:val="4"/>
                <w:szCs w:val="4"/>
              </w:rPr>
            </w:pPr>
            <w:r>
              <w:rPr>
                <w:sz w:val="4"/>
                <w:szCs w:val="4"/>
              </w:rPr>
            </w:r>
          </w:p>
        </w:tc>
        <w:tc>
          <w:tcPr>
            <w:tcW w:w="1016"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2075" w:type="dxa"/>
            <w:tcBorders/>
            <w:shd w:fill="auto" w:val="clear"/>
            <w:vAlign w:val="center"/>
          </w:tcPr>
          <w:p>
            <w:pPr>
              <w:pStyle w:val="TableContents"/>
              <w:spacing w:before="0" w:after="283"/>
              <w:rPr>
                <w:b/>
              </w:rPr>
            </w:pPr>
            <w:r>
              <w:rPr>
                <w:b/>
              </w:rPr>
              <w:t>Name</w:t>
            </w:r>
          </w:p>
        </w:tc>
        <w:tc>
          <w:tcPr>
            <w:tcW w:w="120" w:type="dxa"/>
            <w:tcBorders/>
            <w:shd w:fill="auto" w:val="clear"/>
            <w:vAlign w:val="center"/>
          </w:tcPr>
          <w:p>
            <w:pPr>
              <w:pStyle w:val="TableContents"/>
              <w:spacing w:before="0" w:after="283"/>
              <w:rPr/>
            </w:pPr>
            <w:r>
              <w:rPr/>
              <w:t>  </w:t>
            </w:r>
          </w:p>
        </w:tc>
        <w:tc>
          <w:tcPr>
            <w:tcW w:w="1295" w:type="dxa"/>
            <w:gridSpan w:val="2"/>
            <w:tcBorders/>
            <w:shd w:fill="auto" w:val="clear"/>
            <w:vAlign w:val="center"/>
          </w:tcPr>
          <w:p>
            <w:pPr>
              <w:pStyle w:val="TableContents"/>
              <w:spacing w:before="0" w:after="0"/>
              <w:jc w:val="center"/>
              <w:rPr>
                <w:rFonts w:ascii="ARIAL" w:hAnsi="ARIAL"/>
                <w:b/>
                <w:sz w:val="20"/>
              </w:rPr>
            </w:pPr>
            <w:r>
              <w:rPr>
                <w:rFonts w:ascii="ARIAL" w:hAnsi="ARIAL"/>
                <w:b/>
                <w:sz w:val="20"/>
              </w:rPr>
              <w:t>Executive</w:t>
              <w:br/>
              <w:t>Contributions</w:t>
              <w:br/>
              <w:t>in Last FY</w:t>
            </w:r>
          </w:p>
          <w:p>
            <w:pPr>
              <w:pStyle w:val="TableContents"/>
              <w:spacing w:before="0" w:after="20"/>
              <w:jc w:val="center"/>
              <w:rPr>
                <w:rFonts w:ascii="ARIAL" w:hAnsi="ARIAL"/>
                <w:b/>
                <w:sz w:val="20"/>
              </w:rPr>
            </w:pPr>
            <w:r>
              <w:rPr>
                <w:rFonts w:ascii="ARIAL" w:hAnsi="ARIAL"/>
                <w:b/>
                <w:sz w:val="20"/>
              </w:rPr>
              <w:t>($) (1)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95" w:type="dxa"/>
            <w:gridSpan w:val="2"/>
            <w:tcBorders/>
            <w:shd w:fill="auto" w:val="clear"/>
            <w:vAlign w:val="center"/>
          </w:tcPr>
          <w:p>
            <w:pPr>
              <w:pStyle w:val="TableContents"/>
              <w:spacing w:before="0" w:after="0"/>
              <w:jc w:val="center"/>
              <w:rPr>
                <w:rFonts w:ascii="ARIAL" w:hAnsi="ARIAL"/>
                <w:b/>
                <w:sz w:val="20"/>
              </w:rPr>
            </w:pPr>
            <w:r>
              <w:rPr>
                <w:rFonts w:ascii="ARIAL" w:hAnsi="ARIAL"/>
                <w:b/>
                <w:sz w:val="20"/>
              </w:rPr>
              <w:t>Aggregate</w:t>
              <w:br/>
              <w:t>Earnings</w:t>
              <w:br/>
              <w:t>in Last FY</w:t>
            </w:r>
          </w:p>
          <w:p>
            <w:pPr>
              <w:pStyle w:val="TableContents"/>
              <w:spacing w:before="0" w:after="20"/>
              <w:jc w:val="center"/>
              <w:rPr>
                <w:rFonts w:ascii="ARIAL" w:hAnsi="ARIAL"/>
                <w:b/>
                <w:sz w:val="20"/>
              </w:rPr>
            </w:pPr>
            <w:r>
              <w:rPr>
                <w:rFonts w:ascii="ARIAL" w:hAnsi="ARIAL"/>
                <w:b/>
                <w:sz w:val="20"/>
              </w:rPr>
              <w:t>($)</w:t>
            </w:r>
          </w:p>
        </w:tc>
        <w:tc>
          <w:tcPr>
            <w:tcW w:w="14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20" w:type="dxa"/>
            <w:gridSpan w:val="2"/>
            <w:tcBorders/>
            <w:shd w:fill="auto" w:val="clear"/>
            <w:vAlign w:val="center"/>
          </w:tcPr>
          <w:p>
            <w:pPr>
              <w:pStyle w:val="TableContents"/>
              <w:spacing w:before="0" w:after="0"/>
              <w:jc w:val="center"/>
              <w:rPr>
                <w:rFonts w:ascii="ARIAL" w:hAnsi="ARIAL"/>
                <w:b/>
                <w:sz w:val="20"/>
              </w:rPr>
            </w:pPr>
            <w:r>
              <w:rPr>
                <w:rFonts w:ascii="ARIAL" w:hAnsi="ARIAL"/>
                <w:b/>
                <w:sz w:val="20"/>
              </w:rPr>
              <w:t>Aggregate</w:t>
              <w:br/>
              <w:t>Withdrawals/</w:t>
              <w:br/>
              <w:t>Distributions</w:t>
            </w:r>
          </w:p>
          <w:p>
            <w:pPr>
              <w:pStyle w:val="TableContents"/>
              <w:spacing w:before="0" w:after="20"/>
              <w:jc w:val="center"/>
              <w:rPr>
                <w:rFonts w:ascii="ARIAL" w:hAnsi="ARIAL"/>
                <w:b/>
                <w:sz w:val="20"/>
              </w:rPr>
            </w:pPr>
            <w:r>
              <w:rPr>
                <w:rFonts w:ascii="ARIAL" w:hAnsi="ARIAL"/>
                <w:b/>
                <w:sz w:val="20"/>
              </w:rPr>
              <w: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85" w:type="dxa"/>
            <w:gridSpan w:val="2"/>
            <w:tcBorders/>
            <w:shd w:fill="auto" w:val="clear"/>
            <w:vAlign w:val="center"/>
          </w:tcPr>
          <w:p>
            <w:pPr>
              <w:pStyle w:val="TableContents"/>
              <w:spacing w:before="0" w:after="0"/>
              <w:jc w:val="center"/>
              <w:rPr>
                <w:rFonts w:ascii="ARIAL" w:hAnsi="ARIAL"/>
                <w:b/>
                <w:sz w:val="20"/>
              </w:rPr>
            </w:pPr>
            <w:r>
              <w:rPr>
                <w:rFonts w:ascii="ARIAL" w:hAnsi="ARIAL"/>
                <w:b/>
                <w:sz w:val="20"/>
              </w:rPr>
              <w:t>Aggregate</w:t>
              <w:br/>
              <w:t>Balance</w:t>
              <w:br/>
              <w:t>at Last FYE</w:t>
            </w:r>
          </w:p>
          <w:p>
            <w:pPr>
              <w:pStyle w:val="TableContents"/>
              <w:spacing w:before="0" w:after="20"/>
              <w:jc w:val="center"/>
              <w:rPr>
                <w:rFonts w:ascii="ARIAL" w:hAnsi="ARIAL"/>
                <w:b/>
                <w:sz w:val="20"/>
              </w:rPr>
            </w:pPr>
            <w:r>
              <w:rPr>
                <w:rFonts w:ascii="ARIAL" w:hAnsi="ARIAL"/>
                <w:b/>
                <w:sz w:val="20"/>
              </w:rPr>
              <w:t>($) (2)</w:t>
            </w:r>
          </w:p>
        </w:tc>
        <w:tc>
          <w:tcPr>
            <w:tcW w:w="75" w:type="dxa"/>
            <w:tcBorders/>
            <w:shd w:fill="auto" w:val="clear"/>
            <w:vAlign w:val="center"/>
          </w:tcPr>
          <w:p>
            <w:pPr>
              <w:pStyle w:val="TableContents"/>
              <w:spacing w:before="0" w:after="283"/>
              <w:rPr/>
            </w:pPr>
            <w:r>
              <w:rPr/>
              <w:t> </w:t>
            </w:r>
          </w:p>
        </w:tc>
      </w:tr>
      <w:tr>
        <w:trPr/>
        <w:tc>
          <w:tcPr>
            <w:tcW w:w="2075" w:type="dxa"/>
            <w:tcBorders>
              <w:top w:val="single" w:sz="6" w:space="0" w:color="000000"/>
            </w:tcBorders>
            <w:shd w:fill="CEE8F6" w:val="clear"/>
            <w:tcMar>
              <w:top w:w="28" w:type="dxa"/>
            </w:tcMar>
            <w:vAlign w:val="center"/>
          </w:tcPr>
          <w:p>
            <w:pPr>
              <w:pStyle w:val="TableContents"/>
              <w:spacing w:lineRule="atLeast" w:line="240" w:before="0" w:after="0"/>
              <w:rPr>
                <w:rFonts w:ascii="ARIAL" w:hAnsi="ARIAL"/>
                <w:sz w:val="20"/>
              </w:rPr>
            </w:pPr>
            <w:r>
              <w:rPr>
                <w:rFonts w:ascii="ARIAL" w:hAnsi="ARIAL"/>
                <w:sz w:val="20"/>
              </w:rPr>
              <w:t>Tim L. Hingtgen</w:t>
            </w:r>
          </w:p>
        </w:tc>
        <w:tc>
          <w:tcPr>
            <w:tcW w:w="120" w:type="dxa"/>
            <w:tcBorders>
              <w:top w:val="single" w:sz="6" w:space="0" w:color="000000"/>
            </w:tcBorders>
            <w:shd w:fill="CEE8F6" w:val="clear"/>
            <w:tcMar>
              <w:top w:w="28" w:type="dxa"/>
            </w:tcMar>
            <w:vAlign w:val="center"/>
          </w:tcPr>
          <w:p>
            <w:pPr>
              <w:pStyle w:val="TableContents"/>
              <w:spacing w:before="0" w:after="283"/>
              <w:rPr/>
            </w:pPr>
            <w:r>
              <w:rPr/>
              <w:t>  </w:t>
            </w:r>
          </w:p>
        </w:tc>
        <w:tc>
          <w:tcPr>
            <w:tcW w:w="100" w:type="dxa"/>
            <w:tcBorders>
              <w:top w:val="single" w:sz="6" w:space="0" w:color="000000"/>
            </w:tcBorders>
            <w:shd w:fill="CEE8F6" w:val="clear"/>
            <w:tcMar>
              <w:top w:w="28" w:type="dxa"/>
            </w:tcMar>
            <w:vAlign w:val="center"/>
          </w:tcPr>
          <w:p>
            <w:pPr>
              <w:pStyle w:val="TableContents"/>
              <w:spacing w:lineRule="atLeast" w:line="240" w:before="0" w:after="0"/>
              <w:rPr/>
            </w:pPr>
            <w:r>
              <w:rPr/>
              <w:t> </w:t>
            </w:r>
          </w:p>
        </w:tc>
        <w:tc>
          <w:tcPr>
            <w:tcW w:w="1195" w:type="dxa"/>
            <w:tcBorders>
              <w:top w:val="single" w:sz="6" w:space="0" w:color="000000"/>
            </w:tcBorders>
            <w:shd w:fill="CEE8F6" w:val="clear"/>
            <w:tcMar>
              <w:top w:w="28" w:type="dxa"/>
            </w:tcMar>
            <w:vAlign w:val="center"/>
          </w:tcPr>
          <w:p>
            <w:pPr>
              <w:pStyle w:val="TableContents"/>
              <w:spacing w:lineRule="atLeast" w:line="240" w:before="0" w:after="0"/>
              <w:jc w:val="right"/>
              <w:rPr>
                <w:rFonts w:ascii="ARIAL" w:hAnsi="ARIAL"/>
                <w:sz w:val="20"/>
              </w:rPr>
            </w:pPr>
            <w:r>
              <w:rPr>
                <w:rFonts w:ascii="ARIAL" w:hAnsi="ARIAL"/>
                <w:sz w:val="20"/>
              </w:rPr>
              <w:t>112,500</w:t>
            </w:r>
          </w:p>
        </w:tc>
        <w:tc>
          <w:tcPr>
            <w:tcW w:w="60" w:type="dxa"/>
            <w:tcBorders>
              <w:top w:val="single" w:sz="6" w:space="0" w:color="000000"/>
            </w:tcBorders>
            <w:shd w:fill="CEE8F6" w:val="clear"/>
            <w:tcMar>
              <w:top w:w="28" w:type="dxa"/>
            </w:tcMar>
            <w:vAlign w:val="center"/>
          </w:tcPr>
          <w:p>
            <w:pPr>
              <w:pStyle w:val="TableContents"/>
              <w:spacing w:lineRule="atLeast" w:line="240" w:before="0" w:after="0"/>
              <w:rPr/>
            </w:pPr>
            <w:r>
              <w:rPr/>
              <w:t> </w:t>
            </w:r>
          </w:p>
        </w:tc>
        <w:tc>
          <w:tcPr>
            <w:tcW w:w="120" w:type="dxa"/>
            <w:tcBorders>
              <w:top w:val="single" w:sz="6" w:space="0" w:color="000000"/>
            </w:tcBorders>
            <w:shd w:fill="CEE8F6" w:val="clear"/>
            <w:tcMar>
              <w:top w:w="28" w:type="dxa"/>
            </w:tcMar>
            <w:vAlign w:val="center"/>
          </w:tcPr>
          <w:p>
            <w:pPr>
              <w:pStyle w:val="TableContents"/>
              <w:spacing w:before="0" w:after="283"/>
              <w:rPr/>
            </w:pPr>
            <w:r>
              <w:rPr/>
              <w:t>  </w:t>
            </w:r>
          </w:p>
        </w:tc>
        <w:tc>
          <w:tcPr>
            <w:tcW w:w="60" w:type="dxa"/>
            <w:tcBorders>
              <w:top w:val="single" w:sz="6" w:space="0" w:color="000000"/>
            </w:tcBorders>
            <w:shd w:fill="CEE8F6" w:val="clear"/>
            <w:tcMar>
              <w:top w:w="28" w:type="dxa"/>
            </w:tcMar>
            <w:vAlign w:val="center"/>
          </w:tcPr>
          <w:p>
            <w:pPr>
              <w:pStyle w:val="TableContents"/>
              <w:spacing w:lineRule="atLeast" w:line="240" w:before="0" w:after="0"/>
              <w:rPr/>
            </w:pPr>
            <w:r>
              <w:rPr/>
              <w:t> </w:t>
            </w:r>
          </w:p>
        </w:tc>
        <w:tc>
          <w:tcPr>
            <w:tcW w:w="935" w:type="dxa"/>
            <w:tcBorders>
              <w:top w:val="single" w:sz="6" w:space="0" w:color="000000"/>
            </w:tcBorders>
            <w:shd w:fill="CEE8F6" w:val="clear"/>
            <w:tcMar>
              <w:top w:w="28" w:type="dxa"/>
            </w:tcMar>
            <w:vAlign w:val="center"/>
          </w:tcPr>
          <w:p>
            <w:pPr>
              <w:pStyle w:val="TableContents"/>
              <w:spacing w:lineRule="atLeast" w:line="240" w:before="0" w:after="0"/>
              <w:jc w:val="right"/>
              <w:rPr>
                <w:rFonts w:ascii="ARIAL" w:hAnsi="ARIAL"/>
                <w:sz w:val="20"/>
              </w:rPr>
            </w:pPr>
            <w:r>
              <w:rPr>
                <w:rFonts w:ascii="ARIAL" w:hAnsi="ARIAL"/>
                <w:sz w:val="20"/>
              </w:rPr>
              <w:t>(49,599</w:t>
            </w:r>
          </w:p>
        </w:tc>
        <w:tc>
          <w:tcPr>
            <w:tcW w:w="140" w:type="dxa"/>
            <w:tcBorders>
              <w:top w:val="single" w:sz="6" w:space="0" w:color="000000"/>
            </w:tcBorders>
            <w:shd w:fill="CEE8F6" w:val="clear"/>
            <w:tcMar>
              <w:top w:w="28" w:type="dxa"/>
            </w:tcMar>
            <w:vAlign w:val="center"/>
          </w:tcPr>
          <w:p>
            <w:pPr>
              <w:pStyle w:val="TableContents"/>
              <w:spacing w:lineRule="atLeast" w:line="240" w:before="0" w:after="0"/>
              <w:rPr>
                <w:rFonts w:ascii="ARIAL" w:hAnsi="ARIAL"/>
                <w:sz w:val="20"/>
              </w:rPr>
            </w:pPr>
            <w:r>
              <w:rPr>
                <w:rFonts w:ascii="ARIAL" w:hAnsi="ARIAL"/>
                <w:sz w:val="20"/>
              </w:rPr>
              <w:t>) </w:t>
            </w:r>
          </w:p>
        </w:tc>
        <w:tc>
          <w:tcPr>
            <w:tcW w:w="60" w:type="dxa"/>
            <w:tcBorders>
              <w:top w:val="single" w:sz="6" w:space="0" w:color="000000"/>
            </w:tcBorders>
            <w:shd w:fill="CEE8F6" w:val="clear"/>
            <w:tcMar>
              <w:top w:w="28" w:type="dxa"/>
            </w:tcMar>
            <w:vAlign w:val="center"/>
          </w:tcPr>
          <w:p>
            <w:pPr>
              <w:pStyle w:val="TableContents"/>
              <w:spacing w:before="0" w:after="283"/>
              <w:rPr/>
            </w:pPr>
            <w:r>
              <w:rPr/>
              <w:t> </w:t>
            </w:r>
          </w:p>
        </w:tc>
        <w:tc>
          <w:tcPr>
            <w:tcW w:w="366" w:type="dxa"/>
            <w:tcBorders>
              <w:top w:val="single" w:sz="6" w:space="0" w:color="000000"/>
            </w:tcBorders>
            <w:shd w:fill="CEE8F6" w:val="clear"/>
            <w:tcMar>
              <w:top w:w="28" w:type="dxa"/>
            </w:tcMar>
            <w:vAlign w:val="center"/>
          </w:tcPr>
          <w:p>
            <w:pPr>
              <w:pStyle w:val="TableContents"/>
              <w:spacing w:lineRule="atLeast" w:line="240" w:before="0" w:after="0"/>
              <w:rPr/>
            </w:pPr>
            <w:r>
              <w:rPr/>
              <w:t> </w:t>
            </w:r>
          </w:p>
        </w:tc>
        <w:tc>
          <w:tcPr>
            <w:tcW w:w="854" w:type="dxa"/>
            <w:tcBorders>
              <w:top w:val="single" w:sz="6" w:space="0" w:color="000000"/>
            </w:tcBorders>
            <w:shd w:fill="CEE8F6" w:val="clear"/>
            <w:tcMar>
              <w:top w:w="28" w:type="dxa"/>
            </w:tcMar>
            <w:vAlign w:val="center"/>
          </w:tcPr>
          <w:p>
            <w:pPr>
              <w:pStyle w:val="TableContents"/>
              <w:spacing w:lineRule="atLeast" w:line="240" w:before="0" w:after="0"/>
              <w:jc w:val="right"/>
              <w:rPr>
                <w:rFonts w:ascii="ARIAL" w:hAnsi="ARIAL"/>
                <w:sz w:val="20"/>
              </w:rPr>
            </w:pPr>
            <w:r>
              <w:rPr>
                <w:rFonts w:ascii="ARIAL" w:hAnsi="ARIAL"/>
                <w:sz w:val="20"/>
              </w:rPr>
              <w:t>- </w:t>
            </w:r>
          </w:p>
        </w:tc>
        <w:tc>
          <w:tcPr>
            <w:tcW w:w="60" w:type="dxa"/>
            <w:tcBorders>
              <w:top w:val="single" w:sz="6" w:space="0" w:color="000000"/>
            </w:tcBorders>
            <w:shd w:fill="CEE8F6" w:val="clear"/>
            <w:tcMar>
              <w:top w:w="28" w:type="dxa"/>
            </w:tcMar>
            <w:vAlign w:val="center"/>
          </w:tcPr>
          <w:p>
            <w:pPr>
              <w:pStyle w:val="TableContents"/>
              <w:spacing w:before="0" w:after="283"/>
              <w:rPr>
                <w:sz w:val="4"/>
                <w:szCs w:val="4"/>
              </w:rPr>
            </w:pPr>
            <w:r>
              <w:rPr>
                <w:sz w:val="4"/>
                <w:szCs w:val="4"/>
              </w:rPr>
            </w:r>
          </w:p>
        </w:tc>
        <w:tc>
          <w:tcPr>
            <w:tcW w:w="120" w:type="dxa"/>
            <w:tcBorders>
              <w:top w:val="single" w:sz="6" w:space="0" w:color="000000"/>
            </w:tcBorders>
            <w:shd w:fill="CEE8F6" w:val="clear"/>
            <w:tcMar>
              <w:top w:w="28" w:type="dxa"/>
            </w:tcMar>
            <w:vAlign w:val="center"/>
          </w:tcPr>
          <w:p>
            <w:pPr>
              <w:pStyle w:val="TableContents"/>
              <w:spacing w:before="0" w:after="283"/>
              <w:rPr/>
            </w:pPr>
            <w:r>
              <w:rPr/>
              <w:t>  </w:t>
            </w:r>
          </w:p>
        </w:tc>
        <w:tc>
          <w:tcPr>
            <w:tcW w:w="69" w:type="dxa"/>
            <w:tcBorders>
              <w:top w:val="single" w:sz="6" w:space="0" w:color="000000"/>
            </w:tcBorders>
            <w:shd w:fill="CEE8F6" w:val="clear"/>
            <w:tcMar>
              <w:top w:w="28" w:type="dxa"/>
            </w:tcMar>
            <w:vAlign w:val="center"/>
          </w:tcPr>
          <w:p>
            <w:pPr>
              <w:pStyle w:val="TableContents"/>
              <w:spacing w:lineRule="atLeast" w:line="240" w:before="0" w:after="0"/>
              <w:rPr/>
            </w:pPr>
            <w:r>
              <w:rPr/>
              <w:t> </w:t>
            </w:r>
          </w:p>
        </w:tc>
        <w:tc>
          <w:tcPr>
            <w:tcW w:w="1016" w:type="dxa"/>
            <w:tcBorders>
              <w:top w:val="single" w:sz="6" w:space="0" w:color="000000"/>
            </w:tcBorders>
            <w:shd w:fill="CEE8F6" w:val="clear"/>
            <w:tcMar>
              <w:top w:w="28" w:type="dxa"/>
            </w:tcMar>
            <w:vAlign w:val="center"/>
          </w:tcPr>
          <w:p>
            <w:pPr>
              <w:pStyle w:val="TableContents"/>
              <w:spacing w:lineRule="atLeast" w:line="240" w:before="0" w:after="0"/>
              <w:jc w:val="right"/>
              <w:rPr>
                <w:rFonts w:ascii="ARIAL" w:hAnsi="ARIAL"/>
                <w:sz w:val="20"/>
              </w:rPr>
            </w:pPr>
            <w:r>
              <w:rPr>
                <w:rFonts w:ascii="ARIAL" w:hAnsi="ARIAL"/>
                <w:sz w:val="20"/>
              </w:rPr>
              <w:t>384,683</w:t>
            </w:r>
          </w:p>
        </w:tc>
        <w:tc>
          <w:tcPr>
            <w:tcW w:w="75" w:type="dxa"/>
            <w:tcBorders>
              <w:top w:val="single" w:sz="6" w:space="0" w:color="000000"/>
            </w:tcBorders>
            <w:shd w:fill="CEE8F6" w:val="clear"/>
            <w:tcMar>
              <w:top w:w="28" w:type="dxa"/>
            </w:tcMar>
            <w:vAlign w:val="center"/>
          </w:tcPr>
          <w:p>
            <w:pPr>
              <w:pStyle w:val="TableContents"/>
              <w:spacing w:lineRule="atLeast" w:line="240" w:before="0" w:after="0"/>
              <w:rPr/>
            </w:pPr>
            <w:r>
              <w:rPr/>
              <w:t> </w:t>
            </w:r>
          </w:p>
        </w:tc>
      </w:tr>
      <w:tr>
        <w:trPr/>
        <w:tc>
          <w:tcPr>
            <w:tcW w:w="2075" w:type="dxa"/>
            <w:tcBorders/>
            <w:shd w:fill="auto" w:val="clear"/>
            <w:vAlign w:val="center"/>
          </w:tcPr>
          <w:p>
            <w:pPr>
              <w:pStyle w:val="TableContents"/>
              <w:spacing w:lineRule="atLeast" w:line="240" w:before="0" w:after="0"/>
              <w:rPr>
                <w:rFonts w:ascii="ARIAL" w:hAnsi="ARIAL"/>
                <w:sz w:val="20"/>
              </w:rPr>
            </w:pPr>
            <w:r>
              <w:rPr>
                <w:rFonts w:ascii="ARIAL" w:hAnsi="ARIAL"/>
                <w:sz w:val="20"/>
              </w:rPr>
              <w:t>Wayne T. Smith</w:t>
            </w:r>
          </w:p>
        </w:tc>
        <w:tc>
          <w:tcPr>
            <w:tcW w:w="120" w:type="dxa"/>
            <w:tcBorders/>
            <w:shd w:fill="auto" w:val="clear"/>
            <w:vAlign w:val="center"/>
          </w:tcPr>
          <w:p>
            <w:pPr>
              <w:pStyle w:val="TableContents"/>
              <w:spacing w:before="0" w:after="283"/>
              <w:rPr/>
            </w:pPr>
            <w:r>
              <w:rPr/>
              <w:t>  </w:t>
            </w:r>
          </w:p>
        </w:tc>
        <w:tc>
          <w:tcPr>
            <w:tcW w:w="100" w:type="dxa"/>
            <w:tcBorders/>
            <w:shd w:fill="auto" w:val="clear"/>
            <w:vAlign w:val="center"/>
          </w:tcPr>
          <w:p>
            <w:pPr>
              <w:pStyle w:val="TableContents"/>
              <w:spacing w:lineRule="atLeast" w:line="240" w:before="0" w:after="0"/>
              <w:rPr/>
            </w:pPr>
            <w:r>
              <w:rPr/>
              <w:t> </w:t>
            </w:r>
          </w:p>
        </w:tc>
        <w:tc>
          <w:tcPr>
            <w:tcW w:w="1195" w:type="dxa"/>
            <w:tcBorders/>
            <w:shd w:fill="auto" w:val="clear"/>
            <w:vAlign w:val="center"/>
          </w:tcPr>
          <w:p>
            <w:pPr>
              <w:pStyle w:val="TableContents"/>
              <w:spacing w:lineRule="atLeast" w:line="240" w:before="0" w:after="0"/>
              <w:jc w:val="right"/>
              <w:rPr>
                <w:rFonts w:ascii="ARIAL" w:hAnsi="ARIAL"/>
                <w:sz w:val="20"/>
              </w:rPr>
            </w:pPr>
            <w:r>
              <w:rPr>
                <w:rFonts w:ascii="ARIAL" w:hAnsi="ARIAL"/>
                <w:sz w:val="20"/>
              </w:rPr>
              <w:t>- </w:t>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lineRule="atLeast" w:line="240" w:before="0" w:after="0"/>
              <w:rPr/>
            </w:pPr>
            <w:r>
              <w:rPr/>
              <w:t> </w:t>
            </w:r>
          </w:p>
        </w:tc>
        <w:tc>
          <w:tcPr>
            <w:tcW w:w="935" w:type="dxa"/>
            <w:tcBorders/>
            <w:shd w:fill="auto" w:val="clear"/>
            <w:vAlign w:val="center"/>
          </w:tcPr>
          <w:p>
            <w:pPr>
              <w:pStyle w:val="TableContents"/>
              <w:spacing w:lineRule="atLeast" w:line="240" w:before="0" w:after="0"/>
              <w:jc w:val="right"/>
              <w:rPr>
                <w:rFonts w:ascii="ARIAL" w:hAnsi="ARIAL"/>
                <w:sz w:val="20"/>
              </w:rPr>
            </w:pPr>
            <w:r>
              <w:rPr>
                <w:rFonts w:ascii="ARIAL" w:hAnsi="ARIAL"/>
                <w:sz w:val="20"/>
              </w:rPr>
              <w:t>(1,752,937</w:t>
            </w:r>
          </w:p>
        </w:tc>
        <w:tc>
          <w:tcPr>
            <w:tcW w:w="140" w:type="dxa"/>
            <w:tcBorders/>
            <w:shd w:fill="auto" w:val="clear"/>
            <w:vAlign w:val="center"/>
          </w:tcPr>
          <w:p>
            <w:pPr>
              <w:pStyle w:val="TableContents"/>
              <w:spacing w:lineRule="atLeast" w:line="240" w:before="0" w:after="0"/>
              <w:rPr>
                <w:rFonts w:ascii="ARIAL" w:hAnsi="ARIAL"/>
                <w:sz w:val="20"/>
              </w:rPr>
            </w:pPr>
            <w:r>
              <w:rPr>
                <w:rFonts w:ascii="ARIAL" w:hAnsi="ARIAL"/>
                <w:sz w:val="20"/>
              </w:rPr>
              <w:t>) </w:t>
            </w:r>
          </w:p>
        </w:tc>
        <w:tc>
          <w:tcPr>
            <w:tcW w:w="60" w:type="dxa"/>
            <w:tcBorders/>
            <w:shd w:fill="auto" w:val="clear"/>
            <w:vAlign w:val="center"/>
          </w:tcPr>
          <w:p>
            <w:pPr>
              <w:pStyle w:val="TableContents"/>
              <w:spacing w:before="0" w:after="283"/>
              <w:rPr/>
            </w:pPr>
            <w:r>
              <w:rPr/>
              <w:t> </w:t>
            </w:r>
          </w:p>
        </w:tc>
        <w:tc>
          <w:tcPr>
            <w:tcW w:w="366" w:type="dxa"/>
            <w:tcBorders/>
            <w:shd w:fill="auto" w:val="clear"/>
            <w:vAlign w:val="center"/>
          </w:tcPr>
          <w:p>
            <w:pPr>
              <w:pStyle w:val="TableContents"/>
              <w:spacing w:lineRule="atLeast" w:line="240" w:before="0" w:after="0"/>
              <w:rPr/>
            </w:pPr>
            <w:r>
              <w:rPr/>
              <w:t> </w:t>
            </w:r>
          </w:p>
        </w:tc>
        <w:tc>
          <w:tcPr>
            <w:tcW w:w="854" w:type="dxa"/>
            <w:tcBorders/>
            <w:shd w:fill="auto" w:val="clear"/>
            <w:vAlign w:val="center"/>
          </w:tcPr>
          <w:p>
            <w:pPr>
              <w:pStyle w:val="TableContents"/>
              <w:spacing w:lineRule="atLeast" w:line="240" w:before="0" w:after="0"/>
              <w:jc w:val="right"/>
              <w:rPr>
                <w:rFonts w:ascii="ARIAL" w:hAnsi="ARIAL"/>
                <w:sz w:val="20"/>
              </w:rPr>
            </w:pPr>
            <w:r>
              <w:rPr>
                <w:rFonts w:ascii="ARIAL" w:hAnsi="ARIAL"/>
                <w:sz w:val="20"/>
              </w:rPr>
              <w:t>- </w:t>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9" w:type="dxa"/>
            <w:tcBorders/>
            <w:shd w:fill="auto" w:val="clear"/>
            <w:vAlign w:val="center"/>
          </w:tcPr>
          <w:p>
            <w:pPr>
              <w:pStyle w:val="TableContents"/>
              <w:spacing w:lineRule="atLeast" w:line="240" w:before="0" w:after="0"/>
              <w:rPr/>
            </w:pPr>
            <w:r>
              <w:rPr/>
              <w:t> </w:t>
            </w:r>
          </w:p>
        </w:tc>
        <w:tc>
          <w:tcPr>
            <w:tcW w:w="1016" w:type="dxa"/>
            <w:tcBorders/>
            <w:shd w:fill="auto" w:val="clear"/>
            <w:vAlign w:val="center"/>
          </w:tcPr>
          <w:p>
            <w:pPr>
              <w:pStyle w:val="TableContents"/>
              <w:spacing w:lineRule="atLeast" w:line="240" w:before="0" w:after="0"/>
              <w:jc w:val="right"/>
              <w:rPr>
                <w:rFonts w:ascii="ARIAL" w:hAnsi="ARIAL"/>
                <w:sz w:val="20"/>
              </w:rPr>
            </w:pPr>
            <w:r>
              <w:rPr>
                <w:rFonts w:ascii="ARIAL" w:hAnsi="ARIAL"/>
                <w:sz w:val="20"/>
              </w:rPr>
              <w:t>9,897,474</w:t>
            </w:r>
          </w:p>
        </w:tc>
        <w:tc>
          <w:tcPr>
            <w:tcW w:w="75" w:type="dxa"/>
            <w:tcBorders/>
            <w:shd w:fill="auto" w:val="clear"/>
            <w:vAlign w:val="center"/>
          </w:tcPr>
          <w:p>
            <w:pPr>
              <w:pStyle w:val="TableContents"/>
              <w:spacing w:lineRule="atLeast" w:line="240" w:before="0" w:after="0"/>
              <w:rPr/>
            </w:pPr>
            <w:r>
              <w:rPr/>
              <w:t> </w:t>
            </w:r>
          </w:p>
        </w:tc>
      </w:tr>
      <w:tr>
        <w:trPr/>
        <w:tc>
          <w:tcPr>
            <w:tcW w:w="2075" w:type="dxa"/>
            <w:tcBorders/>
            <w:shd w:fill="CEE8F6" w:val="clear"/>
            <w:vAlign w:val="center"/>
          </w:tcPr>
          <w:p>
            <w:pPr>
              <w:pStyle w:val="TableContents"/>
              <w:spacing w:lineRule="atLeast" w:line="240" w:before="0" w:after="0"/>
              <w:rPr>
                <w:rFonts w:ascii="ARIAL" w:hAnsi="ARIAL"/>
                <w:sz w:val="20"/>
              </w:rPr>
            </w:pPr>
            <w:r>
              <w:rPr>
                <w:rFonts w:ascii="ARIAL" w:hAnsi="ARIAL"/>
                <w:sz w:val="20"/>
              </w:rPr>
              <w:t>Kevin J. Hammons</w:t>
            </w:r>
          </w:p>
        </w:tc>
        <w:tc>
          <w:tcPr>
            <w:tcW w:w="120" w:type="dxa"/>
            <w:tcBorders/>
            <w:shd w:fill="CEE8F6" w:val="clear"/>
            <w:vAlign w:val="center"/>
          </w:tcPr>
          <w:p>
            <w:pPr>
              <w:pStyle w:val="TableContents"/>
              <w:spacing w:before="0" w:after="283"/>
              <w:rPr/>
            </w:pPr>
            <w:r>
              <w:rPr/>
              <w:t>  </w:t>
            </w:r>
          </w:p>
        </w:tc>
        <w:tc>
          <w:tcPr>
            <w:tcW w:w="100" w:type="dxa"/>
            <w:tcBorders/>
            <w:shd w:fill="CEE8F6" w:val="clear"/>
            <w:vAlign w:val="center"/>
          </w:tcPr>
          <w:p>
            <w:pPr>
              <w:pStyle w:val="TableContents"/>
              <w:spacing w:lineRule="atLeast" w:line="240" w:before="0" w:after="0"/>
              <w:rPr/>
            </w:pPr>
            <w:r>
              <w:rPr/>
              <w:t> </w:t>
            </w:r>
          </w:p>
        </w:tc>
        <w:tc>
          <w:tcPr>
            <w:tcW w:w="1195" w:type="dxa"/>
            <w:tcBorders/>
            <w:shd w:fill="CEE8F6" w:val="clear"/>
            <w:vAlign w:val="center"/>
          </w:tcPr>
          <w:p>
            <w:pPr>
              <w:pStyle w:val="TableContents"/>
              <w:spacing w:lineRule="atLeast" w:line="240" w:before="0" w:after="0"/>
              <w:jc w:val="right"/>
              <w:rPr>
                <w:rFonts w:ascii="ARIAL" w:hAnsi="ARIAL"/>
                <w:sz w:val="20"/>
              </w:rPr>
            </w:pPr>
            <w:r>
              <w:rPr>
                <w:rFonts w:ascii="ARIAL" w:hAnsi="ARIAL"/>
                <w:sz w:val="20"/>
              </w:rPr>
              <w:t>75,000</w:t>
            </w:r>
          </w:p>
        </w:tc>
        <w:tc>
          <w:tcPr>
            <w:tcW w:w="60" w:type="dxa"/>
            <w:tcBorders/>
            <w:shd w:fill="CEE8F6" w:val="clear"/>
            <w:vAlign w:val="center"/>
          </w:tcPr>
          <w:p>
            <w:pPr>
              <w:pStyle w:val="TableContents"/>
              <w:spacing w:lineRule="atLeast" w:line="240" w:before="0" w:after="0"/>
              <w:rPr/>
            </w:pPr>
            <w:r>
              <w:rPr/>
              <w:t> </w:t>
            </w:r>
          </w:p>
        </w:tc>
        <w:tc>
          <w:tcPr>
            <w:tcW w:w="12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lineRule="atLeast" w:line="240" w:before="0" w:after="0"/>
              <w:rPr/>
            </w:pPr>
            <w:r>
              <w:rPr/>
              <w:t> </w:t>
            </w:r>
          </w:p>
        </w:tc>
        <w:tc>
          <w:tcPr>
            <w:tcW w:w="935" w:type="dxa"/>
            <w:tcBorders/>
            <w:shd w:fill="CEE8F6" w:val="clear"/>
            <w:vAlign w:val="center"/>
          </w:tcPr>
          <w:p>
            <w:pPr>
              <w:pStyle w:val="TableContents"/>
              <w:spacing w:lineRule="atLeast" w:line="240" w:before="0" w:after="0"/>
              <w:jc w:val="right"/>
              <w:rPr>
                <w:rFonts w:ascii="ARIAL" w:hAnsi="ARIAL"/>
                <w:sz w:val="20"/>
              </w:rPr>
            </w:pPr>
            <w:r>
              <w:rPr>
                <w:rFonts w:ascii="ARIAL" w:hAnsi="ARIAL"/>
                <w:sz w:val="20"/>
              </w:rPr>
              <w:t>(110,047</w:t>
            </w:r>
          </w:p>
        </w:tc>
        <w:tc>
          <w:tcPr>
            <w:tcW w:w="140" w:type="dxa"/>
            <w:tcBorders/>
            <w:shd w:fill="CEE8F6" w:val="clear"/>
            <w:vAlign w:val="center"/>
          </w:tcPr>
          <w:p>
            <w:pPr>
              <w:pStyle w:val="TableContents"/>
              <w:spacing w:lineRule="atLeast" w:line="240" w:before="0" w:after="0"/>
              <w:rPr>
                <w:rFonts w:ascii="ARIAL" w:hAnsi="ARIAL"/>
                <w:sz w:val="20"/>
              </w:rPr>
            </w:pPr>
            <w:r>
              <w:rPr>
                <w:rFonts w:ascii="ARIAL" w:hAnsi="ARIAL"/>
                <w:sz w:val="20"/>
              </w:rPr>
              <w:t>) </w:t>
            </w:r>
          </w:p>
        </w:tc>
        <w:tc>
          <w:tcPr>
            <w:tcW w:w="60" w:type="dxa"/>
            <w:tcBorders/>
            <w:shd w:fill="CEE8F6" w:val="clear"/>
            <w:vAlign w:val="center"/>
          </w:tcPr>
          <w:p>
            <w:pPr>
              <w:pStyle w:val="TableContents"/>
              <w:spacing w:before="0" w:after="283"/>
              <w:rPr/>
            </w:pPr>
            <w:r>
              <w:rPr/>
              <w:t> </w:t>
            </w:r>
          </w:p>
        </w:tc>
        <w:tc>
          <w:tcPr>
            <w:tcW w:w="366" w:type="dxa"/>
            <w:tcBorders/>
            <w:shd w:fill="CEE8F6" w:val="clear"/>
            <w:vAlign w:val="center"/>
          </w:tcPr>
          <w:p>
            <w:pPr>
              <w:pStyle w:val="TableContents"/>
              <w:spacing w:lineRule="atLeast" w:line="240" w:before="0" w:after="0"/>
              <w:rPr/>
            </w:pPr>
            <w:r>
              <w:rPr/>
              <w:t> </w:t>
            </w:r>
          </w:p>
        </w:tc>
        <w:tc>
          <w:tcPr>
            <w:tcW w:w="854" w:type="dxa"/>
            <w:tcBorders/>
            <w:shd w:fill="CEE8F6" w:val="clear"/>
            <w:vAlign w:val="center"/>
          </w:tcPr>
          <w:p>
            <w:pPr>
              <w:pStyle w:val="TableContents"/>
              <w:spacing w:lineRule="atLeast" w:line="240" w:before="0" w:after="0"/>
              <w:jc w:val="right"/>
              <w:rPr>
                <w:rFonts w:ascii="ARIAL" w:hAnsi="ARIAL"/>
                <w:sz w:val="20"/>
              </w:rPr>
            </w:pPr>
            <w:r>
              <w:rPr>
                <w:rFonts w:ascii="ARIAL" w:hAnsi="ARIAL"/>
                <w:sz w:val="20"/>
              </w:rPr>
              <w:t>- </w:t>
            </w:r>
          </w:p>
        </w:tc>
        <w:tc>
          <w:tcPr>
            <w:tcW w:w="60" w:type="dxa"/>
            <w:tcBorders/>
            <w:shd w:fill="CEE8F6" w:val="clear"/>
            <w:vAlign w:val="center"/>
          </w:tcPr>
          <w:p>
            <w:pPr>
              <w:pStyle w:val="TableContents"/>
              <w:spacing w:before="0" w:after="283"/>
              <w:rPr>
                <w:sz w:val="4"/>
                <w:szCs w:val="4"/>
              </w:rPr>
            </w:pPr>
            <w:r>
              <w:rPr>
                <w:sz w:val="4"/>
                <w:szCs w:val="4"/>
              </w:rPr>
            </w:r>
          </w:p>
        </w:tc>
        <w:tc>
          <w:tcPr>
            <w:tcW w:w="120" w:type="dxa"/>
            <w:tcBorders/>
            <w:shd w:fill="CEE8F6" w:val="clear"/>
            <w:vAlign w:val="center"/>
          </w:tcPr>
          <w:p>
            <w:pPr>
              <w:pStyle w:val="TableContents"/>
              <w:spacing w:before="0" w:after="283"/>
              <w:rPr/>
            </w:pPr>
            <w:r>
              <w:rPr/>
              <w:t>  </w:t>
            </w:r>
          </w:p>
        </w:tc>
        <w:tc>
          <w:tcPr>
            <w:tcW w:w="69" w:type="dxa"/>
            <w:tcBorders/>
            <w:shd w:fill="CEE8F6" w:val="clear"/>
            <w:vAlign w:val="center"/>
          </w:tcPr>
          <w:p>
            <w:pPr>
              <w:pStyle w:val="TableContents"/>
              <w:spacing w:lineRule="atLeast" w:line="240" w:before="0" w:after="0"/>
              <w:rPr/>
            </w:pPr>
            <w:r>
              <w:rPr/>
              <w:t> </w:t>
            </w:r>
          </w:p>
        </w:tc>
        <w:tc>
          <w:tcPr>
            <w:tcW w:w="1016" w:type="dxa"/>
            <w:tcBorders/>
            <w:shd w:fill="CEE8F6" w:val="clear"/>
            <w:vAlign w:val="center"/>
          </w:tcPr>
          <w:p>
            <w:pPr>
              <w:pStyle w:val="TableContents"/>
              <w:spacing w:lineRule="atLeast" w:line="240" w:before="0" w:after="0"/>
              <w:jc w:val="right"/>
              <w:rPr>
                <w:rFonts w:ascii="ARIAL" w:hAnsi="ARIAL"/>
                <w:sz w:val="20"/>
              </w:rPr>
            </w:pPr>
            <w:r>
              <w:rPr>
                <w:rFonts w:ascii="ARIAL" w:hAnsi="ARIAL"/>
                <w:sz w:val="20"/>
              </w:rPr>
              <w:t>754,073</w:t>
            </w:r>
          </w:p>
        </w:tc>
        <w:tc>
          <w:tcPr>
            <w:tcW w:w="75" w:type="dxa"/>
            <w:tcBorders/>
            <w:shd w:fill="CEE8F6" w:val="clear"/>
            <w:vAlign w:val="center"/>
          </w:tcPr>
          <w:p>
            <w:pPr>
              <w:pStyle w:val="TableContents"/>
              <w:spacing w:lineRule="atLeast" w:line="240" w:before="0" w:after="0"/>
              <w:rPr/>
            </w:pPr>
            <w:r>
              <w:rPr/>
              <w:t> </w:t>
            </w:r>
          </w:p>
        </w:tc>
      </w:tr>
      <w:tr>
        <w:trPr/>
        <w:tc>
          <w:tcPr>
            <w:tcW w:w="2075" w:type="dxa"/>
            <w:tcBorders/>
            <w:shd w:fill="auto" w:val="clear"/>
            <w:vAlign w:val="center"/>
          </w:tcPr>
          <w:p>
            <w:pPr>
              <w:pStyle w:val="TableContents"/>
              <w:spacing w:lineRule="atLeast" w:line="180" w:before="0" w:after="0"/>
              <w:rPr>
                <w:rFonts w:ascii="ARIAL" w:hAnsi="ARIAL"/>
                <w:sz w:val="20"/>
              </w:rPr>
            </w:pPr>
            <w:r>
              <w:rPr>
                <w:rFonts w:ascii="ARIAL" w:hAnsi="ARIAL"/>
                <w:sz w:val="20"/>
              </w:rPr>
              <w:t>Lynn T. Simon, M.D.(3)</w:t>
            </w:r>
          </w:p>
        </w:tc>
        <w:tc>
          <w:tcPr>
            <w:tcW w:w="120" w:type="dxa"/>
            <w:tcBorders/>
            <w:shd w:fill="auto" w:val="clear"/>
            <w:vAlign w:val="center"/>
          </w:tcPr>
          <w:p>
            <w:pPr>
              <w:pStyle w:val="TableContents"/>
              <w:spacing w:before="0" w:after="283"/>
              <w:rPr/>
            </w:pPr>
            <w:r>
              <w:rPr/>
              <w:t>  </w:t>
            </w:r>
          </w:p>
        </w:tc>
        <w:tc>
          <w:tcPr>
            <w:tcW w:w="100" w:type="dxa"/>
            <w:tcBorders/>
            <w:shd w:fill="auto" w:val="clear"/>
            <w:vAlign w:val="center"/>
          </w:tcPr>
          <w:p>
            <w:pPr>
              <w:pStyle w:val="TableContents"/>
              <w:spacing w:lineRule="atLeast" w:line="240" w:before="0" w:after="0"/>
              <w:rPr/>
            </w:pPr>
            <w:r>
              <w:rPr/>
              <w:t> </w:t>
            </w:r>
          </w:p>
        </w:tc>
        <w:tc>
          <w:tcPr>
            <w:tcW w:w="1195" w:type="dxa"/>
            <w:tcBorders/>
            <w:shd w:fill="auto" w:val="clear"/>
            <w:vAlign w:val="center"/>
          </w:tcPr>
          <w:p>
            <w:pPr>
              <w:pStyle w:val="TableContents"/>
              <w:spacing w:lineRule="atLeast" w:line="240" w:before="0" w:after="0"/>
              <w:jc w:val="right"/>
              <w:rPr>
                <w:rFonts w:ascii="ARIAL" w:hAnsi="ARIAL"/>
                <w:sz w:val="20"/>
              </w:rPr>
            </w:pPr>
            <w:r>
              <w:rPr>
                <w:rFonts w:ascii="ARIAL" w:hAnsi="ARIAL"/>
                <w:sz w:val="20"/>
              </w:rPr>
              <w:t>- </w:t>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lineRule="atLeast" w:line="240" w:before="0" w:after="0"/>
              <w:rPr/>
            </w:pPr>
            <w:r>
              <w:rPr/>
              <w:t> </w:t>
            </w:r>
          </w:p>
        </w:tc>
        <w:tc>
          <w:tcPr>
            <w:tcW w:w="935" w:type="dxa"/>
            <w:tcBorders/>
            <w:shd w:fill="auto" w:val="clear"/>
            <w:vAlign w:val="center"/>
          </w:tcPr>
          <w:p>
            <w:pPr>
              <w:pStyle w:val="TableContents"/>
              <w:spacing w:lineRule="atLeast" w:line="240" w:before="0" w:after="0"/>
              <w:jc w:val="right"/>
              <w:rPr>
                <w:rFonts w:ascii="ARIAL" w:hAnsi="ARIAL"/>
                <w:sz w:val="20"/>
              </w:rPr>
            </w:pPr>
            <w:r>
              <w:rPr>
                <w:rFonts w:ascii="ARIAL" w:hAnsi="ARIAL"/>
                <w:sz w:val="20"/>
              </w:rPr>
              <w:t>- </w:t>
            </w:r>
          </w:p>
        </w:tc>
        <w:tc>
          <w:tcPr>
            <w:tcW w:w="1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66" w:type="dxa"/>
            <w:tcBorders/>
            <w:shd w:fill="auto" w:val="clear"/>
            <w:vAlign w:val="center"/>
          </w:tcPr>
          <w:p>
            <w:pPr>
              <w:pStyle w:val="TableContents"/>
              <w:spacing w:lineRule="atLeast" w:line="240" w:before="0" w:after="0"/>
              <w:rPr/>
            </w:pPr>
            <w:r>
              <w:rPr/>
              <w:t> </w:t>
            </w:r>
          </w:p>
        </w:tc>
        <w:tc>
          <w:tcPr>
            <w:tcW w:w="854" w:type="dxa"/>
            <w:tcBorders/>
            <w:shd w:fill="auto" w:val="clear"/>
            <w:vAlign w:val="center"/>
          </w:tcPr>
          <w:p>
            <w:pPr>
              <w:pStyle w:val="TableContents"/>
              <w:spacing w:lineRule="atLeast" w:line="240" w:before="0" w:after="0"/>
              <w:jc w:val="right"/>
              <w:rPr>
                <w:rFonts w:ascii="ARIAL" w:hAnsi="ARIAL"/>
                <w:sz w:val="20"/>
              </w:rPr>
            </w:pPr>
            <w:r>
              <w:rPr>
                <w:rFonts w:ascii="ARIAL" w:hAnsi="ARIAL"/>
                <w:sz w:val="20"/>
              </w:rPr>
              <w:t>- </w:t>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9" w:type="dxa"/>
            <w:tcBorders/>
            <w:shd w:fill="auto" w:val="clear"/>
            <w:vAlign w:val="center"/>
          </w:tcPr>
          <w:p>
            <w:pPr>
              <w:pStyle w:val="TableContents"/>
              <w:spacing w:lineRule="atLeast" w:line="240" w:before="0" w:after="0"/>
              <w:rPr/>
            </w:pPr>
            <w:r>
              <w:rPr/>
              <w:t> </w:t>
            </w:r>
          </w:p>
        </w:tc>
        <w:tc>
          <w:tcPr>
            <w:tcW w:w="1016" w:type="dxa"/>
            <w:tcBorders/>
            <w:shd w:fill="auto" w:val="clear"/>
            <w:vAlign w:val="center"/>
          </w:tcPr>
          <w:p>
            <w:pPr>
              <w:pStyle w:val="TableContents"/>
              <w:spacing w:lineRule="atLeast" w:line="240" w:before="0" w:after="0"/>
              <w:jc w:val="right"/>
              <w:rPr>
                <w:rFonts w:ascii="ARIAL" w:hAnsi="ARIAL"/>
                <w:sz w:val="20"/>
              </w:rPr>
            </w:pPr>
            <w:r>
              <w:rPr>
                <w:rFonts w:ascii="ARIAL" w:hAnsi="ARIAL"/>
                <w:sz w:val="20"/>
              </w:rPr>
              <w:t>- </w:t>
            </w:r>
          </w:p>
        </w:tc>
        <w:tc>
          <w:tcPr>
            <w:tcW w:w="75" w:type="dxa"/>
            <w:tcBorders/>
            <w:shd w:fill="auto" w:val="clear"/>
            <w:vAlign w:val="center"/>
          </w:tcPr>
          <w:p>
            <w:pPr>
              <w:pStyle w:val="TableContents"/>
              <w:spacing w:before="0" w:after="283"/>
              <w:rPr>
                <w:sz w:val="4"/>
                <w:szCs w:val="4"/>
              </w:rPr>
            </w:pPr>
            <w:r>
              <w:rPr>
                <w:sz w:val="4"/>
                <w:szCs w:val="4"/>
              </w:rPr>
            </w:r>
          </w:p>
        </w:tc>
      </w:tr>
      <w:tr>
        <w:trPr/>
        <w:tc>
          <w:tcPr>
            <w:tcW w:w="2075" w:type="dxa"/>
            <w:tcBorders/>
            <w:shd w:fill="CEE8F6" w:val="clear"/>
            <w:vAlign w:val="center"/>
          </w:tcPr>
          <w:p>
            <w:pPr>
              <w:pStyle w:val="TableContents"/>
              <w:spacing w:lineRule="atLeast" w:line="180" w:before="0" w:after="0"/>
              <w:rPr>
                <w:rFonts w:ascii="ARIAL" w:hAnsi="ARIAL"/>
                <w:sz w:val="20"/>
              </w:rPr>
            </w:pPr>
            <w:r>
              <w:rPr>
                <w:rFonts w:ascii="ARIAL" w:hAnsi="ARIAL"/>
                <w:sz w:val="20"/>
              </w:rPr>
              <w:t>Mark B. Medley(3)</w:t>
            </w:r>
          </w:p>
        </w:tc>
        <w:tc>
          <w:tcPr>
            <w:tcW w:w="120" w:type="dxa"/>
            <w:tcBorders/>
            <w:shd w:fill="CEE8F6" w:val="clear"/>
            <w:vAlign w:val="center"/>
          </w:tcPr>
          <w:p>
            <w:pPr>
              <w:pStyle w:val="TableContents"/>
              <w:spacing w:before="0" w:after="283"/>
              <w:rPr/>
            </w:pPr>
            <w:r>
              <w:rPr/>
              <w:t>  </w:t>
            </w:r>
          </w:p>
        </w:tc>
        <w:tc>
          <w:tcPr>
            <w:tcW w:w="100" w:type="dxa"/>
            <w:tcBorders/>
            <w:shd w:fill="CEE8F6" w:val="clear"/>
            <w:vAlign w:val="center"/>
          </w:tcPr>
          <w:p>
            <w:pPr>
              <w:pStyle w:val="TableContents"/>
              <w:spacing w:lineRule="atLeast" w:line="240" w:before="0" w:after="0"/>
              <w:rPr/>
            </w:pPr>
            <w:r>
              <w:rPr/>
              <w:t> </w:t>
            </w:r>
          </w:p>
        </w:tc>
        <w:tc>
          <w:tcPr>
            <w:tcW w:w="1195" w:type="dxa"/>
            <w:tcBorders/>
            <w:shd w:fill="CEE8F6" w:val="clear"/>
            <w:vAlign w:val="center"/>
          </w:tcPr>
          <w:p>
            <w:pPr>
              <w:pStyle w:val="TableContents"/>
              <w:spacing w:lineRule="atLeast" w:line="240" w:before="0" w:after="0"/>
              <w:jc w:val="right"/>
              <w:rPr>
                <w:rFonts w:ascii="ARIAL" w:hAnsi="ARIAL"/>
                <w:sz w:val="20"/>
              </w:rPr>
            </w:pPr>
            <w:r>
              <w:rPr>
                <w:rFonts w:ascii="ARIAL" w:hAnsi="ARIAL"/>
                <w:sz w:val="20"/>
              </w:rPr>
              <w:t>- </w:t>
            </w:r>
          </w:p>
        </w:tc>
        <w:tc>
          <w:tcPr>
            <w:tcW w:w="60" w:type="dxa"/>
            <w:tcBorders/>
            <w:shd w:fill="CEE8F6" w:val="clear"/>
            <w:vAlign w:val="center"/>
          </w:tcPr>
          <w:p>
            <w:pPr>
              <w:pStyle w:val="TableContents"/>
              <w:spacing w:before="0" w:after="283"/>
              <w:rPr>
                <w:sz w:val="4"/>
                <w:szCs w:val="4"/>
              </w:rPr>
            </w:pPr>
            <w:r>
              <w:rPr>
                <w:sz w:val="4"/>
                <w:szCs w:val="4"/>
              </w:rPr>
            </w:r>
          </w:p>
        </w:tc>
        <w:tc>
          <w:tcPr>
            <w:tcW w:w="12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lineRule="atLeast" w:line="240" w:before="0" w:after="0"/>
              <w:rPr/>
            </w:pPr>
            <w:r>
              <w:rPr/>
              <w:t> </w:t>
            </w:r>
          </w:p>
        </w:tc>
        <w:tc>
          <w:tcPr>
            <w:tcW w:w="935" w:type="dxa"/>
            <w:tcBorders/>
            <w:shd w:fill="CEE8F6" w:val="clear"/>
            <w:vAlign w:val="center"/>
          </w:tcPr>
          <w:p>
            <w:pPr>
              <w:pStyle w:val="TableContents"/>
              <w:spacing w:lineRule="atLeast" w:line="240" w:before="0" w:after="0"/>
              <w:jc w:val="right"/>
              <w:rPr>
                <w:rFonts w:ascii="ARIAL" w:hAnsi="ARIAL"/>
                <w:sz w:val="20"/>
              </w:rPr>
            </w:pPr>
            <w:r>
              <w:rPr>
                <w:rFonts w:ascii="ARIAL" w:hAnsi="ARIAL"/>
                <w:sz w:val="20"/>
              </w:rPr>
              <w:t>- </w:t>
            </w:r>
          </w:p>
        </w:tc>
        <w:tc>
          <w:tcPr>
            <w:tcW w:w="14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pPr>
            <w:r>
              <w:rPr/>
              <w:t> </w:t>
            </w:r>
          </w:p>
        </w:tc>
        <w:tc>
          <w:tcPr>
            <w:tcW w:w="366" w:type="dxa"/>
            <w:tcBorders/>
            <w:shd w:fill="CEE8F6" w:val="clear"/>
            <w:vAlign w:val="center"/>
          </w:tcPr>
          <w:p>
            <w:pPr>
              <w:pStyle w:val="TableContents"/>
              <w:spacing w:lineRule="atLeast" w:line="240" w:before="0" w:after="0"/>
              <w:rPr/>
            </w:pPr>
            <w:r>
              <w:rPr/>
              <w:t> </w:t>
            </w:r>
          </w:p>
        </w:tc>
        <w:tc>
          <w:tcPr>
            <w:tcW w:w="854" w:type="dxa"/>
            <w:tcBorders/>
            <w:shd w:fill="CEE8F6" w:val="clear"/>
            <w:vAlign w:val="center"/>
          </w:tcPr>
          <w:p>
            <w:pPr>
              <w:pStyle w:val="TableContents"/>
              <w:spacing w:lineRule="atLeast" w:line="240" w:before="0" w:after="0"/>
              <w:jc w:val="right"/>
              <w:rPr>
                <w:rFonts w:ascii="ARIAL" w:hAnsi="ARIAL"/>
                <w:sz w:val="20"/>
              </w:rPr>
            </w:pPr>
            <w:r>
              <w:rPr>
                <w:rFonts w:ascii="ARIAL" w:hAnsi="ARIAL"/>
                <w:sz w:val="20"/>
              </w:rPr>
              <w:t>- </w:t>
            </w:r>
          </w:p>
        </w:tc>
        <w:tc>
          <w:tcPr>
            <w:tcW w:w="60" w:type="dxa"/>
            <w:tcBorders/>
            <w:shd w:fill="CEE8F6" w:val="clear"/>
            <w:vAlign w:val="center"/>
          </w:tcPr>
          <w:p>
            <w:pPr>
              <w:pStyle w:val="TableContents"/>
              <w:spacing w:before="0" w:after="283"/>
              <w:rPr>
                <w:sz w:val="4"/>
                <w:szCs w:val="4"/>
              </w:rPr>
            </w:pPr>
            <w:r>
              <w:rPr>
                <w:sz w:val="4"/>
                <w:szCs w:val="4"/>
              </w:rPr>
            </w:r>
          </w:p>
        </w:tc>
        <w:tc>
          <w:tcPr>
            <w:tcW w:w="120" w:type="dxa"/>
            <w:tcBorders/>
            <w:shd w:fill="CEE8F6" w:val="clear"/>
            <w:vAlign w:val="center"/>
          </w:tcPr>
          <w:p>
            <w:pPr>
              <w:pStyle w:val="TableContents"/>
              <w:spacing w:before="0" w:after="283"/>
              <w:rPr/>
            </w:pPr>
            <w:r>
              <w:rPr/>
              <w:t>  </w:t>
            </w:r>
          </w:p>
        </w:tc>
        <w:tc>
          <w:tcPr>
            <w:tcW w:w="69" w:type="dxa"/>
            <w:tcBorders/>
            <w:shd w:fill="CEE8F6" w:val="clear"/>
            <w:vAlign w:val="center"/>
          </w:tcPr>
          <w:p>
            <w:pPr>
              <w:pStyle w:val="TableContents"/>
              <w:spacing w:lineRule="atLeast" w:line="240" w:before="0" w:after="0"/>
              <w:rPr/>
            </w:pPr>
            <w:r>
              <w:rPr/>
              <w:t> </w:t>
            </w:r>
          </w:p>
        </w:tc>
        <w:tc>
          <w:tcPr>
            <w:tcW w:w="1016" w:type="dxa"/>
            <w:tcBorders/>
            <w:shd w:fill="CEE8F6" w:val="clear"/>
            <w:vAlign w:val="center"/>
          </w:tcPr>
          <w:p>
            <w:pPr>
              <w:pStyle w:val="TableContents"/>
              <w:spacing w:lineRule="atLeast" w:line="240" w:before="0" w:after="0"/>
              <w:jc w:val="right"/>
              <w:rPr>
                <w:rFonts w:ascii="ARIAL" w:hAnsi="ARIAL"/>
                <w:sz w:val="20"/>
              </w:rPr>
            </w:pPr>
            <w:r>
              <w:rPr>
                <w:rFonts w:ascii="ARIAL" w:hAnsi="ARIAL"/>
                <w:sz w:val="20"/>
              </w:rPr>
              <w:t>- </w:t>
            </w:r>
          </w:p>
        </w:tc>
        <w:tc>
          <w:tcPr>
            <w:tcW w:w="75" w:type="dxa"/>
            <w:tcBorders/>
            <w:shd w:fill="CEE8F6" w:val="clear"/>
            <w:vAlign w:val="center"/>
          </w:tcPr>
          <w:p>
            <w:pPr>
              <w:pStyle w:val="TableContents"/>
              <w:spacing w:before="0" w:after="283"/>
              <w:rPr>
                <w:sz w:val="4"/>
                <w:szCs w:val="4"/>
              </w:rPr>
            </w:pPr>
            <w:r>
              <w:rPr>
                <w:sz w:val="4"/>
                <w:szCs w:val="4"/>
              </w:rPr>
            </w:r>
          </w:p>
        </w:tc>
      </w:tr>
    </w:tbl>
    <w:p>
      <w:pPr>
        <w:pStyle w:val="TextBody"/>
        <w:pBdr>
          <w:bottom w:val="single" w:sz="2" w:space="1" w:color="000000"/>
        </w:pBdr>
        <w:spacing w:lineRule="atLeast" w:line="160" w:before="0" w:after="40"/>
        <w:jc w:val="left"/>
        <w:rPr/>
      </w:pPr>
      <w:r>
        <w:rPr/>
        <w:t> </w:t>
      </w:r>
    </w:p>
    <w:tbl>
      <w:tblPr>
        <w:tblW w:w="10205" w:type="dxa"/>
        <w:jc w:val="left"/>
        <w:tblInd w:w="0" w:type="dxa"/>
        <w:tblCellMar>
          <w:top w:w="0" w:type="dxa"/>
          <w:left w:w="0" w:type="dxa"/>
          <w:bottom w:w="0" w:type="dxa"/>
          <w:right w:w="0" w:type="dxa"/>
        </w:tblCellMar>
      </w:tblPr>
      <w:tblGrid>
        <w:gridCol w:w="299"/>
        <w:gridCol w:w="9906"/>
      </w:tblGrid>
      <w:tr>
        <w:trPr/>
        <w:tc>
          <w:tcPr>
            <w:tcW w:w="299" w:type="dxa"/>
            <w:tcBorders/>
            <w:shd w:fill="auto" w:val="clear"/>
            <w:vAlign w:val="center"/>
          </w:tcPr>
          <w:p>
            <w:pPr>
              <w:pStyle w:val="TableContents"/>
              <w:spacing w:before="0" w:after="283"/>
              <w:jc w:val="left"/>
              <w:rPr/>
            </w:pPr>
            <w:r>
              <w:rPr/>
              <w:t>(1)</w:t>
            </w:r>
          </w:p>
        </w:tc>
        <w:tc>
          <w:tcPr>
            <w:tcW w:w="9906" w:type="dxa"/>
            <w:tcBorders/>
            <w:shd w:fill="auto" w:val="clear"/>
            <w:vAlign w:val="center"/>
          </w:tcPr>
          <w:p>
            <w:pPr>
              <w:pStyle w:val="TableContents"/>
              <w:spacing w:before="0" w:after="0"/>
              <w:jc w:val="left"/>
              <w:rPr>
                <w:rFonts w:ascii="ARIAL" w:hAnsi="ARIAL"/>
                <w:sz w:val="20"/>
              </w:rPr>
            </w:pPr>
            <w:r>
              <w:rPr>
                <w:rFonts w:ascii="ARIAL" w:hAnsi="ARIAL"/>
                <w:sz w:val="20"/>
              </w:rPr>
              <w:t xml:space="preserve">Contributions from 2022 salary. These amounts are also included as compensation in the Summary Compensation Table. </w:t>
            </w:r>
          </w:p>
        </w:tc>
      </w:tr>
    </w:tbl>
    <w:p>
      <w:pPr>
        <w:pStyle w:val="TextBody"/>
        <w:spacing w:before="0" w:after="0"/>
        <w:jc w:val="left"/>
        <w:rPr/>
      </w:pPr>
      <w:r>
        <w:rPr/>
        <w:t> </w:t>
      </w:r>
    </w:p>
    <w:tbl>
      <w:tblPr>
        <w:tblW w:w="3865" w:type="dxa"/>
        <w:jc w:val="left"/>
        <w:tblInd w:w="0" w:type="dxa"/>
        <w:tblCellMar>
          <w:top w:w="0" w:type="dxa"/>
          <w:left w:w="0" w:type="dxa"/>
          <w:bottom w:w="0" w:type="dxa"/>
          <w:right w:w="0" w:type="dxa"/>
        </w:tblCellMar>
      </w:tblPr>
      <w:tblGrid>
        <w:gridCol w:w="305"/>
        <w:gridCol w:w="3560"/>
      </w:tblGrid>
      <w:tr>
        <w:trPr/>
        <w:tc>
          <w:tcPr>
            <w:tcW w:w="305" w:type="dxa"/>
            <w:tcBorders/>
            <w:shd w:fill="auto" w:val="clear"/>
            <w:vAlign w:val="center"/>
          </w:tcPr>
          <w:p>
            <w:pPr>
              <w:pStyle w:val="TableContents"/>
              <w:spacing w:before="0" w:after="283"/>
              <w:jc w:val="left"/>
              <w:rPr/>
            </w:pPr>
            <w:r>
              <w:rPr/>
              <w:t>(2)</w:t>
            </w:r>
          </w:p>
        </w:tc>
        <w:tc>
          <w:tcPr>
            <w:tcW w:w="3560" w:type="dxa"/>
            <w:tcBorders/>
            <w:shd w:fill="auto" w:val="clear"/>
            <w:vAlign w:val="center"/>
          </w:tcPr>
          <w:p>
            <w:pPr>
              <w:pStyle w:val="TableContents"/>
              <w:spacing w:before="0" w:after="0"/>
              <w:jc w:val="left"/>
              <w:rPr>
                <w:rFonts w:ascii="ARIAL" w:hAnsi="ARIAL"/>
                <w:sz w:val="20"/>
              </w:rPr>
            </w:pPr>
            <w:r>
              <w:rPr>
                <w:rFonts w:ascii="ARIAL" w:hAnsi="ARIAL"/>
                <w:sz w:val="20"/>
              </w:rPr>
              <w:t xml:space="preserve">Plan Balance as of December 31, 2022. </w:t>
            </w:r>
          </w:p>
        </w:tc>
      </w:tr>
    </w:tbl>
    <w:p>
      <w:pPr>
        <w:pStyle w:val="TextBody"/>
        <w:spacing w:before="0" w:after="0"/>
        <w:jc w:val="left"/>
        <w:rPr/>
      </w:pPr>
      <w:r>
        <w:rPr/>
        <w:t> </w:t>
      </w:r>
    </w:p>
    <w:tbl>
      <w:tblPr>
        <w:tblW w:w="8905" w:type="dxa"/>
        <w:jc w:val="left"/>
        <w:tblInd w:w="0" w:type="dxa"/>
        <w:tblCellMar>
          <w:top w:w="0" w:type="dxa"/>
          <w:left w:w="0" w:type="dxa"/>
          <w:bottom w:w="0" w:type="dxa"/>
          <w:right w:w="0" w:type="dxa"/>
        </w:tblCellMar>
      </w:tblPr>
      <w:tblGrid>
        <w:gridCol w:w="305"/>
        <w:gridCol w:w="8600"/>
      </w:tblGrid>
      <w:tr>
        <w:trPr/>
        <w:tc>
          <w:tcPr>
            <w:tcW w:w="305" w:type="dxa"/>
            <w:tcBorders/>
            <w:shd w:fill="auto" w:val="clear"/>
            <w:vAlign w:val="center"/>
          </w:tcPr>
          <w:p>
            <w:pPr>
              <w:pStyle w:val="TableContents"/>
              <w:spacing w:before="0" w:after="283"/>
              <w:jc w:val="left"/>
              <w:rPr/>
            </w:pPr>
            <w:r>
              <w:rPr/>
              <w:t>(3)</w:t>
            </w:r>
          </w:p>
        </w:tc>
        <w:tc>
          <w:tcPr>
            <w:tcW w:w="8600" w:type="dxa"/>
            <w:tcBorders/>
            <w:shd w:fill="auto" w:val="clear"/>
            <w:vAlign w:val="center"/>
          </w:tcPr>
          <w:p>
            <w:pPr>
              <w:pStyle w:val="TableContents"/>
              <w:spacing w:before="0" w:after="0"/>
              <w:jc w:val="left"/>
              <w:rPr>
                <w:rFonts w:ascii="ARIAL" w:hAnsi="ARIAL"/>
                <w:sz w:val="20"/>
              </w:rPr>
            </w:pPr>
            <w:r>
              <w:rPr>
                <w:rFonts w:ascii="ARIAL" w:hAnsi="ARIAL"/>
                <w:sz w:val="20"/>
              </w:rPr>
              <w:t xml:space="preserve">Lynn T. Simon, M.D. and Mark B. Medley are not participants in the Deferred Compensation Plan. </w:t>
            </w:r>
          </w:p>
        </w:tc>
      </w:tr>
    </w:tbl>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71 </w:t>
      </w:r>
      <w:r>
        <w:br w:type="page"/>
      </w:r>
    </w:p>
    <w:p>
      <w:pPr>
        <w:pStyle w:val="HorizontalLine"/>
        <w:rPr/>
      </w:pPr>
      <w:r>
        <w:rPr/>
      </w:r>
    </w:p>
    <w:p>
      <w:pPr>
        <w:pStyle w:val="TextBody"/>
        <w:spacing w:before="0" w:after="0"/>
        <w:jc w:val="left"/>
        <w:rPr>
          <w:rFonts w:ascii="ARIAL" w:hAnsi="ARIAL"/>
          <w:b/>
          <w:sz w:val="20"/>
        </w:rPr>
      </w:pPr>
      <w:bookmarkStart w:id="24" w:name="toc360141_22"/>
      <w:bookmarkEnd w:id="24"/>
      <w:r>
        <w:rPr>
          <w:rFonts w:ascii="ARIAL" w:hAnsi="ARIAL"/>
          <w:b/>
          <w:sz w:val="20"/>
        </w:rPr>
        <w:t xml:space="preserve">Potential Payments upon Termination or Change in Control </w:t>
      </w:r>
    </w:p>
    <w:p>
      <w:pPr>
        <w:pStyle w:val="TextBody"/>
        <w:spacing w:before="120" w:after="0"/>
        <w:jc w:val="left"/>
        <w:rPr>
          <w:rFonts w:ascii="ARIAL" w:hAnsi="ARIAL"/>
          <w:sz w:val="20"/>
        </w:rPr>
      </w:pPr>
      <w:r>
        <w:rPr>
          <w:rFonts w:ascii="ARIAL" w:hAnsi="ARIAL"/>
          <w:sz w:val="20"/>
        </w:rPr>
        <w:t xml:space="preserve">The table below sets forth potential payments and/or benefits that would be provided to our current named executive officers upon termination of employment or a change in control. These amounts are the incremental or enhanced amounts that a named executive officer would receive that is in excess of those benefits that the Company would generally provide to other employees under the same circumstances. These amounts are estimates only and are based on the assumption that the terminating event or a change in control, as applicable, occurred on December 30, 2022, the last trading day of the Company’s fiscal year. The closing price of the Company’s Common Stock was $4.32 on that date. </w:t>
      </w:r>
    </w:p>
    <w:p>
      <w:pPr>
        <w:pStyle w:val="TextBody"/>
        <w:spacing w:before="0" w:after="0"/>
        <w:jc w:val="left"/>
        <w:rPr/>
      </w:pPr>
      <w:r>
        <w:rPr/>
        <w:t> </w:t>
      </w:r>
    </w:p>
    <w:tbl>
      <w:tblPr>
        <w:tblW w:w="11727" w:type="dxa"/>
        <w:jc w:val="left"/>
        <w:tblInd w:w="0" w:type="dxa"/>
        <w:tblCellMar>
          <w:top w:w="0" w:type="dxa"/>
          <w:left w:w="0" w:type="dxa"/>
          <w:bottom w:w="0" w:type="dxa"/>
          <w:right w:w="0" w:type="dxa"/>
        </w:tblCellMar>
      </w:tblPr>
      <w:tblGrid>
        <w:gridCol w:w="845"/>
        <w:gridCol w:w="60"/>
        <w:gridCol w:w="71"/>
        <w:gridCol w:w="984"/>
        <w:gridCol w:w="60"/>
        <w:gridCol w:w="60"/>
        <w:gridCol w:w="555"/>
        <w:gridCol w:w="740"/>
        <w:gridCol w:w="175"/>
        <w:gridCol w:w="175"/>
        <w:gridCol w:w="175"/>
        <w:gridCol w:w="2162"/>
        <w:gridCol w:w="60"/>
        <w:gridCol w:w="60"/>
        <w:gridCol w:w="78"/>
        <w:gridCol w:w="1082"/>
        <w:gridCol w:w="60"/>
        <w:gridCol w:w="60"/>
        <w:gridCol w:w="86"/>
        <w:gridCol w:w="744"/>
        <w:gridCol w:w="60"/>
        <w:gridCol w:w="60"/>
        <w:gridCol w:w="150"/>
        <w:gridCol w:w="1295"/>
        <w:gridCol w:w="60"/>
        <w:gridCol w:w="60"/>
        <w:gridCol w:w="285"/>
        <w:gridCol w:w="380"/>
        <w:gridCol w:w="60"/>
        <w:gridCol w:w="60"/>
        <w:gridCol w:w="60"/>
        <w:gridCol w:w="830"/>
        <w:gridCol w:w="75"/>
      </w:tblGrid>
      <w:tr>
        <w:trPr/>
        <w:tc>
          <w:tcPr>
            <w:tcW w:w="84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1" w:type="dxa"/>
            <w:tcBorders/>
            <w:shd w:fill="auto" w:val="clear"/>
            <w:vAlign w:val="center"/>
          </w:tcPr>
          <w:p>
            <w:pPr>
              <w:pStyle w:val="TableContents"/>
              <w:spacing w:before="0" w:after="283"/>
              <w:rPr>
                <w:sz w:val="4"/>
                <w:szCs w:val="4"/>
              </w:rPr>
            </w:pPr>
            <w:r>
              <w:rPr>
                <w:sz w:val="4"/>
                <w:szCs w:val="4"/>
              </w:rPr>
            </w:r>
          </w:p>
        </w:tc>
        <w:tc>
          <w:tcPr>
            <w:tcW w:w="98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55"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216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8" w:type="dxa"/>
            <w:tcBorders/>
            <w:shd w:fill="auto" w:val="clear"/>
            <w:vAlign w:val="center"/>
          </w:tcPr>
          <w:p>
            <w:pPr>
              <w:pStyle w:val="TableContents"/>
              <w:spacing w:before="0" w:after="283"/>
              <w:rPr>
                <w:sz w:val="4"/>
                <w:szCs w:val="4"/>
              </w:rPr>
            </w:pPr>
            <w:r>
              <w:rPr>
                <w:sz w:val="4"/>
                <w:szCs w:val="4"/>
              </w:rPr>
            </w:r>
          </w:p>
        </w:tc>
        <w:tc>
          <w:tcPr>
            <w:tcW w:w="108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6" w:type="dxa"/>
            <w:tcBorders/>
            <w:shd w:fill="auto" w:val="clear"/>
            <w:vAlign w:val="center"/>
          </w:tcPr>
          <w:p>
            <w:pPr>
              <w:pStyle w:val="TableContents"/>
              <w:spacing w:before="0" w:after="283"/>
              <w:rPr>
                <w:sz w:val="4"/>
                <w:szCs w:val="4"/>
              </w:rPr>
            </w:pPr>
            <w:r>
              <w:rPr>
                <w:sz w:val="4"/>
                <w:szCs w:val="4"/>
              </w:rPr>
            </w:r>
          </w:p>
        </w:tc>
        <w:tc>
          <w:tcPr>
            <w:tcW w:w="74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2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845" w:type="dxa"/>
            <w:vMerge w:val="restart"/>
            <w:tcBorders>
              <w:bottom w:val="single" w:sz="2" w:space="0" w:color="000000"/>
            </w:tcBorders>
            <w:shd w:fill="auto" w:val="clear"/>
            <w:tcMar>
              <w:bottom w:w="28" w:type="dxa"/>
            </w:tcMar>
            <w:vAlign w:val="center"/>
          </w:tcPr>
          <w:p>
            <w:pPr>
              <w:pStyle w:val="TableContents"/>
              <w:spacing w:before="0" w:after="20"/>
              <w:rPr>
                <w:rFonts w:ascii="ARIAL" w:hAnsi="ARIAL"/>
                <w:b/>
                <w:sz w:val="14"/>
              </w:rPr>
            </w:pPr>
            <w:r>
              <w:rPr>
                <w:rFonts w:ascii="ARIAL" w:hAnsi="ARIAL"/>
                <w:b/>
                <w:sz w:val="14"/>
              </w:rPr>
              <w:t>Named Executive Officer</w:t>
            </w:r>
          </w:p>
        </w:tc>
        <w:tc>
          <w:tcPr>
            <w:tcW w:w="60" w:type="dxa"/>
            <w:vMerge w:val="restart"/>
            <w:tcBorders/>
            <w:shd w:fill="auto" w:val="clear"/>
            <w:vAlign w:val="center"/>
          </w:tcPr>
          <w:p>
            <w:pPr>
              <w:pStyle w:val="TableContents"/>
              <w:spacing w:before="0" w:after="283"/>
              <w:rPr/>
            </w:pPr>
            <w:r>
              <w:rPr/>
              <w:t> </w:t>
            </w:r>
          </w:p>
        </w:tc>
        <w:tc>
          <w:tcPr>
            <w:tcW w:w="1055" w:type="dxa"/>
            <w:gridSpan w:val="2"/>
            <w:vMerge w:val="restart"/>
            <w:tcBorders>
              <w:bottom w:val="single" w:sz="2" w:space="0" w:color="000000"/>
            </w:tcBorders>
            <w:shd w:fill="auto" w:val="clear"/>
            <w:tcMar>
              <w:bottom w:w="28" w:type="dxa"/>
            </w:tcMar>
            <w:vAlign w:val="center"/>
          </w:tcPr>
          <w:p>
            <w:pPr>
              <w:pStyle w:val="TableContents"/>
              <w:spacing w:before="0" w:after="283"/>
              <w:jc w:val="center"/>
              <w:rPr>
                <w:b/>
              </w:rPr>
            </w:pPr>
            <w:r>
              <w:rPr>
                <w:b/>
              </w:rPr>
              <w:t>Cash</w:t>
              <w:br/>
              <w:t>Severance</w:t>
              <w:br/>
              <w:t>($)</w:t>
            </w:r>
          </w:p>
        </w:tc>
        <w:tc>
          <w:tcPr>
            <w:tcW w:w="60" w:type="dxa"/>
            <w:vMerge w:val="restart"/>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982" w:type="dxa"/>
            <w:gridSpan w:val="6"/>
            <w:tcBorders>
              <w:bottom w:val="single" w:sz="2" w:space="0" w:color="000000"/>
            </w:tcBorders>
            <w:shd w:fill="auto" w:val="clear"/>
            <w:tcMar>
              <w:bottom w:w="28" w:type="dxa"/>
            </w:tcMar>
            <w:vAlign w:val="center"/>
          </w:tcPr>
          <w:p>
            <w:pPr>
              <w:pStyle w:val="TableContents"/>
              <w:spacing w:before="0" w:after="283"/>
              <w:jc w:val="center"/>
              <w:rPr>
                <w:b/>
              </w:rPr>
            </w:pPr>
            <w:r>
              <w:rPr>
                <w:b/>
              </w:rPr>
              <w:t>Equity Incentive Plan Awards</w:t>
            </w:r>
          </w:p>
        </w:tc>
        <w:tc>
          <w:tcPr>
            <w:tcW w:w="60" w:type="dxa"/>
            <w:tcBorders/>
            <w:shd w:fill="auto" w:val="clear"/>
            <w:vAlign w:val="center"/>
          </w:tcPr>
          <w:p>
            <w:pPr>
              <w:pStyle w:val="TableContents"/>
              <w:spacing w:before="0" w:after="283"/>
              <w:rPr/>
            </w:pPr>
            <w:r>
              <w:rPr/>
              <w:t> </w:t>
            </w:r>
          </w:p>
        </w:tc>
        <w:tc>
          <w:tcPr>
            <w:tcW w:w="60" w:type="dxa"/>
            <w:vMerge w:val="restart"/>
            <w:tcBorders/>
            <w:shd w:fill="auto" w:val="clear"/>
            <w:vAlign w:val="center"/>
          </w:tcPr>
          <w:p>
            <w:pPr>
              <w:pStyle w:val="TableContents"/>
              <w:spacing w:before="0" w:after="283"/>
              <w:rPr/>
            </w:pPr>
            <w:r>
              <w:rPr/>
              <w:t> </w:t>
            </w:r>
          </w:p>
        </w:tc>
        <w:tc>
          <w:tcPr>
            <w:tcW w:w="1160" w:type="dxa"/>
            <w:gridSpan w:val="2"/>
            <w:vMerge w:val="restart"/>
            <w:tcBorders>
              <w:bottom w:val="single" w:sz="2" w:space="0" w:color="000000"/>
            </w:tcBorders>
            <w:shd w:fill="auto" w:val="clear"/>
            <w:tcMar>
              <w:bottom w:w="28" w:type="dxa"/>
            </w:tcMar>
            <w:vAlign w:val="center"/>
          </w:tcPr>
          <w:p>
            <w:pPr>
              <w:pStyle w:val="TableContents"/>
              <w:spacing w:before="0" w:after="283"/>
              <w:jc w:val="center"/>
              <w:rPr>
                <w:b/>
              </w:rPr>
            </w:pPr>
            <w:r>
              <w:rPr>
                <w:b/>
              </w:rPr>
              <w:t>Retirement</w:t>
              <w:br/>
              <w:t>Benefit -</w:t>
              <w:br/>
              <w:t>SERP ($)</w:t>
            </w:r>
          </w:p>
        </w:tc>
        <w:tc>
          <w:tcPr>
            <w:tcW w:w="60" w:type="dxa"/>
            <w:vMerge w:val="restart"/>
            <w:tcBorders/>
            <w:shd w:fill="auto" w:val="clear"/>
            <w:vAlign w:val="center"/>
          </w:tcPr>
          <w:p>
            <w:pPr>
              <w:pStyle w:val="TableContents"/>
              <w:spacing w:before="0" w:after="283"/>
              <w:rPr/>
            </w:pPr>
            <w:r>
              <w:rPr/>
              <w:t> </w:t>
            </w:r>
          </w:p>
        </w:tc>
        <w:tc>
          <w:tcPr>
            <w:tcW w:w="60" w:type="dxa"/>
            <w:vMerge w:val="restart"/>
            <w:tcBorders/>
            <w:shd w:fill="auto" w:val="clear"/>
            <w:vAlign w:val="center"/>
          </w:tcPr>
          <w:p>
            <w:pPr>
              <w:pStyle w:val="TableContents"/>
              <w:spacing w:before="0" w:after="283"/>
              <w:rPr/>
            </w:pPr>
            <w:r>
              <w:rPr/>
              <w:t> </w:t>
            </w:r>
          </w:p>
        </w:tc>
        <w:tc>
          <w:tcPr>
            <w:tcW w:w="830" w:type="dxa"/>
            <w:gridSpan w:val="2"/>
            <w:vMerge w:val="restart"/>
            <w:tcBorders>
              <w:bottom w:val="single" w:sz="2" w:space="0" w:color="000000"/>
            </w:tcBorders>
            <w:shd w:fill="auto" w:val="clear"/>
            <w:tcMar>
              <w:bottom w:w="28" w:type="dxa"/>
            </w:tcMar>
            <w:vAlign w:val="center"/>
          </w:tcPr>
          <w:p>
            <w:pPr>
              <w:pStyle w:val="TableContents"/>
              <w:spacing w:before="0" w:after="283"/>
              <w:jc w:val="center"/>
              <w:rPr>
                <w:b/>
              </w:rPr>
            </w:pPr>
            <w:r>
              <w:rPr>
                <w:b/>
              </w:rPr>
              <w:t>Health</w:t>
              <w:br/>
              <w:t>and</w:t>
              <w:br/>
              <w:t>Welfare</w:t>
              <w:br/>
              <w:t>Benefits</w:t>
              <w:br/>
              <w:t>($)</w:t>
            </w:r>
          </w:p>
        </w:tc>
        <w:tc>
          <w:tcPr>
            <w:tcW w:w="60" w:type="dxa"/>
            <w:vMerge w:val="restart"/>
            <w:tcBorders/>
            <w:shd w:fill="auto" w:val="clear"/>
            <w:vAlign w:val="center"/>
          </w:tcPr>
          <w:p>
            <w:pPr>
              <w:pStyle w:val="TableContents"/>
              <w:spacing w:before="0" w:after="283"/>
              <w:rPr/>
            </w:pPr>
            <w:r>
              <w:rPr/>
              <w:t> </w:t>
            </w:r>
          </w:p>
        </w:tc>
        <w:tc>
          <w:tcPr>
            <w:tcW w:w="60" w:type="dxa"/>
            <w:vMerge w:val="restart"/>
            <w:tcBorders/>
            <w:shd w:fill="auto" w:val="clear"/>
            <w:vAlign w:val="center"/>
          </w:tcPr>
          <w:p>
            <w:pPr>
              <w:pStyle w:val="TableContents"/>
              <w:spacing w:before="0" w:after="283"/>
              <w:rPr/>
            </w:pPr>
            <w:r>
              <w:rPr/>
              <w:t> </w:t>
            </w:r>
          </w:p>
        </w:tc>
        <w:tc>
          <w:tcPr>
            <w:tcW w:w="1445" w:type="dxa"/>
            <w:gridSpan w:val="2"/>
            <w:vMerge w:val="restart"/>
            <w:tcBorders>
              <w:bottom w:val="single" w:sz="2" w:space="0" w:color="000000"/>
            </w:tcBorders>
            <w:shd w:fill="auto" w:val="clear"/>
            <w:tcMar>
              <w:bottom w:w="28" w:type="dxa"/>
            </w:tcMar>
            <w:vAlign w:val="center"/>
          </w:tcPr>
          <w:p>
            <w:pPr>
              <w:pStyle w:val="TableContents"/>
              <w:spacing w:before="0" w:after="283"/>
              <w:jc w:val="center"/>
              <w:rPr>
                <w:b/>
              </w:rPr>
            </w:pPr>
            <w:r>
              <w:rPr>
                <w:b/>
              </w:rPr>
              <w:t>Outplacement</w:t>
              <w:br/>
              <w:t>Counseling</w:t>
              <w:br/>
              <w:t>and Related</w:t>
              <w:br/>
              <w:t>Benefits</w:t>
              <w:br/>
              <w:t>($)</w:t>
            </w:r>
          </w:p>
        </w:tc>
        <w:tc>
          <w:tcPr>
            <w:tcW w:w="60" w:type="dxa"/>
            <w:vMerge w:val="restart"/>
            <w:tcBorders/>
            <w:shd w:fill="auto" w:val="clear"/>
            <w:vAlign w:val="center"/>
          </w:tcPr>
          <w:p>
            <w:pPr>
              <w:pStyle w:val="TableContents"/>
              <w:spacing w:before="0" w:after="283"/>
              <w:rPr/>
            </w:pPr>
            <w:r>
              <w:rPr/>
              <w:t> </w:t>
            </w:r>
          </w:p>
        </w:tc>
        <w:tc>
          <w:tcPr>
            <w:tcW w:w="60" w:type="dxa"/>
            <w:vMerge w:val="restart"/>
            <w:tcBorders/>
            <w:shd w:fill="auto" w:val="clear"/>
            <w:vAlign w:val="center"/>
          </w:tcPr>
          <w:p>
            <w:pPr>
              <w:pStyle w:val="TableContents"/>
              <w:spacing w:before="0" w:after="283"/>
              <w:rPr/>
            </w:pPr>
            <w:r>
              <w:rPr/>
              <w:t> </w:t>
            </w:r>
          </w:p>
        </w:tc>
        <w:tc>
          <w:tcPr>
            <w:tcW w:w="665" w:type="dxa"/>
            <w:gridSpan w:val="2"/>
            <w:vMerge w:val="restart"/>
            <w:tcBorders>
              <w:bottom w:val="single" w:sz="2" w:space="0" w:color="000000"/>
            </w:tcBorders>
            <w:shd w:fill="auto" w:val="clear"/>
            <w:tcMar>
              <w:bottom w:w="28" w:type="dxa"/>
            </w:tcMar>
            <w:vAlign w:val="center"/>
          </w:tcPr>
          <w:p>
            <w:pPr>
              <w:pStyle w:val="TableContents"/>
              <w:spacing w:before="0" w:after="283"/>
              <w:jc w:val="center"/>
              <w:rPr>
                <w:b/>
              </w:rPr>
            </w:pPr>
            <w:r>
              <w:rPr>
                <w:b/>
              </w:rPr>
              <w:t>Excise</w:t>
              <w:br/>
              <w:t>Tax</w:t>
              <w:br/>
              <w:t>Gross</w:t>
              <w:br/>
              <w:t>Up</w:t>
              <w:br/>
              <w:t>($)</w:t>
            </w:r>
          </w:p>
        </w:tc>
        <w:tc>
          <w:tcPr>
            <w:tcW w:w="60" w:type="dxa"/>
            <w:vMerge w:val="restart"/>
            <w:tcBorders/>
            <w:shd w:fill="auto" w:val="clear"/>
            <w:vAlign w:val="center"/>
          </w:tcPr>
          <w:p>
            <w:pPr>
              <w:pStyle w:val="TableContents"/>
              <w:spacing w:before="0" w:after="283"/>
              <w:rPr/>
            </w:pPr>
            <w:r>
              <w:rPr/>
              <w:t> </w:t>
            </w:r>
          </w:p>
        </w:tc>
        <w:tc>
          <w:tcPr>
            <w:tcW w:w="60" w:type="dxa"/>
            <w:vMerge w:val="restart"/>
            <w:tcBorders/>
            <w:shd w:fill="auto" w:val="clear"/>
            <w:vAlign w:val="center"/>
          </w:tcPr>
          <w:p>
            <w:pPr>
              <w:pStyle w:val="TableContents"/>
              <w:spacing w:before="0" w:after="283"/>
              <w:rPr/>
            </w:pPr>
            <w:r>
              <w:rPr/>
              <w:t> </w:t>
            </w:r>
          </w:p>
        </w:tc>
        <w:tc>
          <w:tcPr>
            <w:tcW w:w="890" w:type="dxa"/>
            <w:gridSpan w:val="2"/>
            <w:vMerge w:val="restart"/>
            <w:tcBorders>
              <w:bottom w:val="single" w:sz="2" w:space="0" w:color="000000"/>
            </w:tcBorders>
            <w:shd w:fill="auto" w:val="clear"/>
            <w:tcMar>
              <w:bottom w:w="28" w:type="dxa"/>
            </w:tcMar>
            <w:vAlign w:val="center"/>
          </w:tcPr>
          <w:p>
            <w:pPr>
              <w:pStyle w:val="TableContents"/>
              <w:spacing w:before="0" w:after="283"/>
              <w:jc w:val="center"/>
              <w:rPr>
                <w:b/>
              </w:rPr>
            </w:pPr>
            <w:r>
              <w:rPr>
                <w:b/>
              </w:rPr>
              <w:t>Total</w:t>
              <w:br/>
              <w:t>($)</w:t>
            </w:r>
          </w:p>
        </w:tc>
        <w:tc>
          <w:tcPr>
            <w:tcW w:w="75" w:type="dxa"/>
            <w:vMerge w:val="restart"/>
            <w:tcBorders/>
            <w:shd w:fill="auto" w:val="clear"/>
            <w:vAlign w:val="center"/>
          </w:tcPr>
          <w:p>
            <w:pPr>
              <w:pStyle w:val="TableContents"/>
              <w:spacing w:before="0" w:after="283"/>
              <w:rPr/>
            </w:pPr>
            <w:r>
              <w:rPr/>
              <w:t> </w:t>
            </w:r>
          </w:p>
        </w:tc>
      </w:tr>
      <w:tr>
        <w:trPr/>
        <w:tc>
          <w:tcPr>
            <w:tcW w:w="845" w:type="dxa"/>
            <w:vMerge w:val="continue"/>
            <w:tcBorders>
              <w:bottom w:val="single" w:sz="2" w:space="0" w:color="000000"/>
            </w:tcBorders>
            <w:shd w:fill="auto" w:val="clear"/>
            <w:tcMar>
              <w:bottom w:w="28" w:type="dxa"/>
            </w:tcMar>
            <w:vAlign w:val="center"/>
          </w:tcPr>
          <w:p>
            <w:pPr>
              <w:pStyle w:val="Normal"/>
              <w:rPr/>
            </w:pPr>
            <w:r>
              <w:rPr/>
            </w:r>
          </w:p>
        </w:tc>
        <w:tc>
          <w:tcPr>
            <w:tcW w:w="60" w:type="dxa"/>
            <w:vMerge w:val="continue"/>
            <w:tcBorders/>
            <w:shd w:fill="auto" w:val="clear"/>
            <w:vAlign w:val="center"/>
          </w:tcPr>
          <w:p>
            <w:pPr>
              <w:pStyle w:val="Normal"/>
              <w:rPr/>
            </w:pPr>
            <w:r>
              <w:rPr/>
            </w:r>
          </w:p>
        </w:tc>
        <w:tc>
          <w:tcPr>
            <w:tcW w:w="1055" w:type="dxa"/>
            <w:gridSpan w:val="2"/>
            <w:vMerge w:val="continue"/>
            <w:tcBorders>
              <w:bottom w:val="single" w:sz="2" w:space="0" w:color="000000"/>
            </w:tcBorders>
            <w:shd w:fill="auto" w:val="clear"/>
            <w:tcMar>
              <w:bottom w:w="28" w:type="dxa"/>
            </w:tcMar>
            <w:vAlign w:val="center"/>
          </w:tcPr>
          <w:p>
            <w:pPr>
              <w:pStyle w:val="Normal"/>
              <w:rPr/>
            </w:pPr>
            <w:r>
              <w:rPr/>
            </w:r>
          </w:p>
        </w:tc>
        <w:tc>
          <w:tcPr>
            <w:tcW w:w="60" w:type="dxa"/>
            <w:vMerge w:val="continue"/>
            <w:tcBorders/>
            <w:shd w:fill="auto" w:val="clear"/>
            <w:vAlign w:val="center"/>
          </w:tcPr>
          <w:p>
            <w:pPr>
              <w:pStyle w:val="Normal"/>
              <w:rPr/>
            </w:pPr>
            <w:r>
              <w:rPr/>
            </w:r>
          </w:p>
        </w:tc>
        <w:tc>
          <w:tcPr>
            <w:tcW w:w="60" w:type="dxa"/>
            <w:tcBorders/>
            <w:shd w:fill="auto" w:val="clear"/>
            <w:vAlign w:val="center"/>
          </w:tcPr>
          <w:p>
            <w:pPr>
              <w:pStyle w:val="TableContents"/>
              <w:spacing w:before="0" w:after="283"/>
              <w:rPr/>
            </w:pPr>
            <w:r>
              <w:rPr/>
              <w:t> </w:t>
            </w:r>
          </w:p>
        </w:tc>
        <w:tc>
          <w:tcPr>
            <w:tcW w:w="1295" w:type="dxa"/>
            <w:gridSpan w:val="2"/>
            <w:tcBorders>
              <w:bottom w:val="single" w:sz="2" w:space="0" w:color="000000"/>
            </w:tcBorders>
            <w:shd w:fill="auto" w:val="clear"/>
            <w:tcMar>
              <w:bottom w:w="28" w:type="dxa"/>
            </w:tcMar>
            <w:vAlign w:val="center"/>
          </w:tcPr>
          <w:p>
            <w:pPr>
              <w:pStyle w:val="TableContents"/>
              <w:spacing w:before="0" w:after="283"/>
              <w:jc w:val="center"/>
              <w:rPr>
                <w:b/>
              </w:rPr>
            </w:pPr>
            <w:r>
              <w:rPr>
                <w:b/>
              </w:rPr>
              <w:t>Acceleration</w:t>
              <w:br/>
              <w:t>of Options</w:t>
              <w:br/>
              <w:t>($)</w:t>
            </w:r>
          </w:p>
        </w:tc>
        <w:tc>
          <w:tcPr>
            <w:tcW w:w="175" w:type="dxa"/>
            <w:tcBorders/>
            <w:shd w:fill="auto" w:val="clear"/>
            <w:vAlign w:val="center"/>
          </w:tcPr>
          <w:p>
            <w:pPr>
              <w:pStyle w:val="TableContents"/>
              <w:spacing w:before="0" w:after="283"/>
              <w:rPr/>
            </w:pPr>
            <w:r>
              <w:rPr/>
              <w:t> </w:t>
            </w:r>
          </w:p>
        </w:tc>
        <w:tc>
          <w:tcPr>
            <w:tcW w:w="175" w:type="dxa"/>
            <w:tcBorders/>
            <w:shd w:fill="auto" w:val="clear"/>
            <w:vAlign w:val="center"/>
          </w:tcPr>
          <w:p>
            <w:pPr>
              <w:pStyle w:val="TableContents"/>
              <w:spacing w:before="0" w:after="283"/>
              <w:rPr/>
            </w:pPr>
            <w:r>
              <w:rPr/>
              <w:t> </w:t>
            </w:r>
          </w:p>
        </w:tc>
        <w:tc>
          <w:tcPr>
            <w:tcW w:w="2337" w:type="dxa"/>
            <w:gridSpan w:val="2"/>
            <w:tcBorders>
              <w:bottom w:val="single" w:sz="2" w:space="0" w:color="000000"/>
            </w:tcBorders>
            <w:shd w:fill="auto" w:val="clear"/>
            <w:tcMar>
              <w:bottom w:w="28" w:type="dxa"/>
            </w:tcMar>
            <w:vAlign w:val="center"/>
          </w:tcPr>
          <w:p>
            <w:pPr>
              <w:pStyle w:val="TableContents"/>
              <w:spacing w:before="0" w:after="283"/>
              <w:jc w:val="center"/>
              <w:rPr>
                <w:b/>
              </w:rPr>
            </w:pPr>
            <w:r>
              <w:rPr>
                <w:b/>
              </w:rPr>
              <w:t>Acceleration</w:t>
              <w:br/>
              <w:t>of Restricted</w:t>
              <w:br/>
              <w:t>Stock ($)</w:t>
            </w:r>
          </w:p>
        </w:tc>
        <w:tc>
          <w:tcPr>
            <w:tcW w:w="60" w:type="dxa"/>
            <w:tcBorders/>
            <w:shd w:fill="auto" w:val="clear"/>
            <w:vAlign w:val="center"/>
          </w:tcPr>
          <w:p>
            <w:pPr>
              <w:pStyle w:val="TableContents"/>
              <w:spacing w:before="0" w:after="283"/>
              <w:rPr/>
            </w:pPr>
            <w:r>
              <w:rPr/>
              <w:t> </w:t>
            </w:r>
          </w:p>
        </w:tc>
        <w:tc>
          <w:tcPr>
            <w:tcW w:w="60" w:type="dxa"/>
            <w:vMerge w:val="continue"/>
            <w:tcBorders/>
            <w:shd w:fill="auto" w:val="clear"/>
            <w:vAlign w:val="center"/>
          </w:tcPr>
          <w:p>
            <w:pPr>
              <w:pStyle w:val="Normal"/>
              <w:rPr/>
            </w:pPr>
            <w:r>
              <w:rPr/>
            </w:r>
          </w:p>
        </w:tc>
        <w:tc>
          <w:tcPr>
            <w:tcW w:w="1160" w:type="dxa"/>
            <w:gridSpan w:val="2"/>
            <w:vMerge w:val="continue"/>
            <w:tcBorders>
              <w:bottom w:val="single" w:sz="2" w:space="0" w:color="000000"/>
            </w:tcBorders>
            <w:shd w:fill="auto" w:val="clear"/>
            <w:tcMar>
              <w:bottom w:w="28" w:type="dxa"/>
            </w:tcMar>
            <w:vAlign w:val="center"/>
          </w:tcPr>
          <w:p>
            <w:pPr>
              <w:pStyle w:val="Normal"/>
              <w:rPr/>
            </w:pPr>
            <w:r>
              <w:rPr/>
            </w:r>
          </w:p>
        </w:tc>
        <w:tc>
          <w:tcPr>
            <w:tcW w:w="60" w:type="dxa"/>
            <w:vMerge w:val="continue"/>
            <w:tcBorders/>
            <w:shd w:fill="auto" w:val="clear"/>
            <w:vAlign w:val="center"/>
          </w:tcPr>
          <w:p>
            <w:pPr>
              <w:pStyle w:val="Normal"/>
              <w:rPr/>
            </w:pPr>
            <w:r>
              <w:rPr/>
            </w:r>
          </w:p>
        </w:tc>
        <w:tc>
          <w:tcPr>
            <w:tcW w:w="60" w:type="dxa"/>
            <w:vMerge w:val="continue"/>
            <w:tcBorders/>
            <w:shd w:fill="auto" w:val="clear"/>
            <w:vAlign w:val="center"/>
          </w:tcPr>
          <w:p>
            <w:pPr>
              <w:pStyle w:val="Normal"/>
              <w:rPr/>
            </w:pPr>
            <w:r>
              <w:rPr/>
            </w:r>
          </w:p>
        </w:tc>
        <w:tc>
          <w:tcPr>
            <w:tcW w:w="830" w:type="dxa"/>
            <w:gridSpan w:val="2"/>
            <w:vMerge w:val="continue"/>
            <w:tcBorders>
              <w:bottom w:val="single" w:sz="2" w:space="0" w:color="000000"/>
            </w:tcBorders>
            <w:shd w:fill="auto" w:val="clear"/>
            <w:tcMar>
              <w:bottom w:w="28" w:type="dxa"/>
            </w:tcMar>
            <w:vAlign w:val="center"/>
          </w:tcPr>
          <w:p>
            <w:pPr>
              <w:pStyle w:val="Normal"/>
              <w:rPr/>
            </w:pPr>
            <w:r>
              <w:rPr/>
            </w:r>
          </w:p>
        </w:tc>
        <w:tc>
          <w:tcPr>
            <w:tcW w:w="60" w:type="dxa"/>
            <w:vMerge w:val="continue"/>
            <w:tcBorders/>
            <w:shd w:fill="auto" w:val="clear"/>
            <w:vAlign w:val="center"/>
          </w:tcPr>
          <w:p>
            <w:pPr>
              <w:pStyle w:val="Normal"/>
              <w:rPr/>
            </w:pPr>
            <w:r>
              <w:rPr/>
            </w:r>
          </w:p>
        </w:tc>
        <w:tc>
          <w:tcPr>
            <w:tcW w:w="60" w:type="dxa"/>
            <w:vMerge w:val="continue"/>
            <w:tcBorders/>
            <w:shd w:fill="auto" w:val="clear"/>
            <w:vAlign w:val="center"/>
          </w:tcPr>
          <w:p>
            <w:pPr>
              <w:pStyle w:val="Normal"/>
              <w:rPr/>
            </w:pPr>
            <w:r>
              <w:rPr/>
            </w:r>
          </w:p>
        </w:tc>
        <w:tc>
          <w:tcPr>
            <w:tcW w:w="1445" w:type="dxa"/>
            <w:gridSpan w:val="2"/>
            <w:vMerge w:val="continue"/>
            <w:tcBorders>
              <w:bottom w:val="single" w:sz="2" w:space="0" w:color="000000"/>
            </w:tcBorders>
            <w:shd w:fill="auto" w:val="clear"/>
            <w:tcMar>
              <w:bottom w:w="28" w:type="dxa"/>
            </w:tcMar>
            <w:vAlign w:val="center"/>
          </w:tcPr>
          <w:p>
            <w:pPr>
              <w:pStyle w:val="Normal"/>
              <w:rPr/>
            </w:pPr>
            <w:r>
              <w:rPr/>
            </w:r>
          </w:p>
        </w:tc>
        <w:tc>
          <w:tcPr>
            <w:tcW w:w="60" w:type="dxa"/>
            <w:vMerge w:val="continue"/>
            <w:tcBorders/>
            <w:shd w:fill="auto" w:val="clear"/>
            <w:vAlign w:val="center"/>
          </w:tcPr>
          <w:p>
            <w:pPr>
              <w:pStyle w:val="Normal"/>
              <w:rPr/>
            </w:pPr>
            <w:r>
              <w:rPr/>
            </w:r>
          </w:p>
        </w:tc>
        <w:tc>
          <w:tcPr>
            <w:tcW w:w="60" w:type="dxa"/>
            <w:vMerge w:val="continue"/>
            <w:tcBorders/>
            <w:shd w:fill="auto" w:val="clear"/>
            <w:vAlign w:val="center"/>
          </w:tcPr>
          <w:p>
            <w:pPr>
              <w:pStyle w:val="Normal"/>
              <w:rPr/>
            </w:pPr>
            <w:r>
              <w:rPr/>
            </w:r>
          </w:p>
        </w:tc>
        <w:tc>
          <w:tcPr>
            <w:tcW w:w="665" w:type="dxa"/>
            <w:gridSpan w:val="2"/>
            <w:vMerge w:val="continue"/>
            <w:tcBorders>
              <w:bottom w:val="single" w:sz="2" w:space="0" w:color="000000"/>
            </w:tcBorders>
            <w:shd w:fill="auto" w:val="clear"/>
            <w:tcMar>
              <w:bottom w:w="28" w:type="dxa"/>
            </w:tcMar>
            <w:vAlign w:val="center"/>
          </w:tcPr>
          <w:p>
            <w:pPr>
              <w:pStyle w:val="Normal"/>
              <w:rPr/>
            </w:pPr>
            <w:r>
              <w:rPr/>
            </w:r>
          </w:p>
        </w:tc>
        <w:tc>
          <w:tcPr>
            <w:tcW w:w="60" w:type="dxa"/>
            <w:vMerge w:val="continue"/>
            <w:tcBorders/>
            <w:shd w:fill="auto" w:val="clear"/>
            <w:vAlign w:val="center"/>
          </w:tcPr>
          <w:p>
            <w:pPr>
              <w:pStyle w:val="Normal"/>
              <w:rPr/>
            </w:pPr>
            <w:r>
              <w:rPr/>
            </w:r>
          </w:p>
        </w:tc>
        <w:tc>
          <w:tcPr>
            <w:tcW w:w="60" w:type="dxa"/>
            <w:vMerge w:val="continue"/>
            <w:tcBorders/>
            <w:shd w:fill="auto" w:val="clear"/>
            <w:vAlign w:val="center"/>
          </w:tcPr>
          <w:p>
            <w:pPr>
              <w:pStyle w:val="Normal"/>
              <w:rPr/>
            </w:pPr>
            <w:r>
              <w:rPr/>
            </w:r>
          </w:p>
        </w:tc>
        <w:tc>
          <w:tcPr>
            <w:tcW w:w="890" w:type="dxa"/>
            <w:gridSpan w:val="2"/>
            <w:vMerge w:val="continue"/>
            <w:tcBorders>
              <w:bottom w:val="single" w:sz="2" w:space="0" w:color="000000"/>
            </w:tcBorders>
            <w:shd w:fill="auto" w:val="clear"/>
            <w:tcMar>
              <w:bottom w:w="28" w:type="dxa"/>
            </w:tcMar>
            <w:vAlign w:val="center"/>
          </w:tcPr>
          <w:p>
            <w:pPr>
              <w:pStyle w:val="Normal"/>
              <w:rPr/>
            </w:pPr>
            <w:r>
              <w:rPr/>
            </w:r>
          </w:p>
        </w:tc>
        <w:tc>
          <w:tcPr>
            <w:tcW w:w="75" w:type="dxa"/>
            <w:vMerge w:val="continue"/>
            <w:tcBorders/>
            <w:shd w:fill="auto" w:val="clear"/>
            <w:vAlign w:val="center"/>
          </w:tcPr>
          <w:p>
            <w:pPr>
              <w:pStyle w:val="Normal"/>
              <w:rPr/>
            </w:pPr>
            <w:r>
              <w:rPr/>
            </w:r>
          </w:p>
        </w:tc>
      </w:tr>
      <w:tr>
        <w:trPr/>
        <w:tc>
          <w:tcPr>
            <w:tcW w:w="845" w:type="dxa"/>
            <w:tcBorders/>
            <w:shd w:fill="CEE8F6" w:val="clear"/>
            <w:vAlign w:val="center"/>
          </w:tcPr>
          <w:p>
            <w:pPr>
              <w:pStyle w:val="TableContents"/>
              <w:spacing w:lineRule="atLeast" w:line="240" w:before="0" w:after="0"/>
              <w:rPr>
                <w:rFonts w:ascii="ARIAL" w:hAnsi="ARIAL"/>
                <w:b/>
                <w:sz w:val="16"/>
              </w:rPr>
            </w:pPr>
            <w:r>
              <w:rPr>
                <w:rFonts w:ascii="ARIAL" w:hAnsi="ARIAL"/>
                <w:b/>
                <w:sz w:val="16"/>
              </w:rPr>
              <w:t>Tim L. Hingtgen</w:t>
            </w:r>
          </w:p>
        </w:tc>
        <w:tc>
          <w:tcPr>
            <w:tcW w:w="60" w:type="dxa"/>
            <w:tcBorders/>
            <w:shd w:fill="CEE8F6" w:val="clear"/>
            <w:vAlign w:val="center"/>
          </w:tcPr>
          <w:p>
            <w:pPr>
              <w:pStyle w:val="TableContents"/>
              <w:spacing w:before="0" w:after="283"/>
              <w:rPr/>
            </w:pPr>
            <w:r>
              <w:rPr/>
              <w:t> </w:t>
            </w:r>
          </w:p>
        </w:tc>
        <w:tc>
          <w:tcPr>
            <w:tcW w:w="71" w:type="dxa"/>
            <w:tcBorders/>
            <w:shd w:fill="CEE8F6" w:val="clear"/>
            <w:vAlign w:val="center"/>
          </w:tcPr>
          <w:p>
            <w:pPr>
              <w:pStyle w:val="TableContents"/>
              <w:spacing w:before="0" w:after="283"/>
              <w:rPr>
                <w:sz w:val="4"/>
                <w:szCs w:val="4"/>
              </w:rPr>
            </w:pPr>
            <w:r>
              <w:rPr>
                <w:sz w:val="4"/>
                <w:szCs w:val="4"/>
              </w:rPr>
            </w:r>
          </w:p>
        </w:tc>
        <w:tc>
          <w:tcPr>
            <w:tcW w:w="984"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pPr>
            <w:r>
              <w:rPr/>
              <w:t> </w:t>
            </w:r>
          </w:p>
        </w:tc>
        <w:tc>
          <w:tcPr>
            <w:tcW w:w="555" w:type="dxa"/>
            <w:tcBorders/>
            <w:shd w:fill="CEE8F6" w:val="clear"/>
            <w:vAlign w:val="center"/>
          </w:tcPr>
          <w:p>
            <w:pPr>
              <w:pStyle w:val="TableContents"/>
              <w:spacing w:before="0" w:after="283"/>
              <w:rPr>
                <w:sz w:val="4"/>
                <w:szCs w:val="4"/>
              </w:rPr>
            </w:pPr>
            <w:r>
              <w:rPr>
                <w:sz w:val="4"/>
                <w:szCs w:val="4"/>
              </w:rPr>
            </w:r>
          </w:p>
        </w:tc>
        <w:tc>
          <w:tcPr>
            <w:tcW w:w="740" w:type="dxa"/>
            <w:tcBorders/>
            <w:shd w:fill="CEE8F6" w:val="clear"/>
            <w:vAlign w:val="center"/>
          </w:tcPr>
          <w:p>
            <w:pPr>
              <w:pStyle w:val="TableContents"/>
              <w:spacing w:before="0" w:after="283"/>
              <w:rPr>
                <w:sz w:val="4"/>
                <w:szCs w:val="4"/>
              </w:rPr>
            </w:pPr>
            <w:r>
              <w:rPr>
                <w:sz w:val="4"/>
                <w:szCs w:val="4"/>
              </w:rPr>
            </w:r>
          </w:p>
        </w:tc>
        <w:tc>
          <w:tcPr>
            <w:tcW w:w="175" w:type="dxa"/>
            <w:tcBorders/>
            <w:shd w:fill="CEE8F6" w:val="clear"/>
            <w:vAlign w:val="center"/>
          </w:tcPr>
          <w:p>
            <w:pPr>
              <w:pStyle w:val="TableContents"/>
              <w:spacing w:before="0" w:after="283"/>
              <w:rPr>
                <w:sz w:val="4"/>
                <w:szCs w:val="4"/>
              </w:rPr>
            </w:pPr>
            <w:r>
              <w:rPr>
                <w:sz w:val="4"/>
                <w:szCs w:val="4"/>
              </w:rPr>
            </w:r>
          </w:p>
        </w:tc>
        <w:tc>
          <w:tcPr>
            <w:tcW w:w="175" w:type="dxa"/>
            <w:tcBorders/>
            <w:shd w:fill="CEE8F6" w:val="clear"/>
            <w:vAlign w:val="center"/>
          </w:tcPr>
          <w:p>
            <w:pPr>
              <w:pStyle w:val="TableContents"/>
              <w:spacing w:before="0" w:after="283"/>
              <w:rPr/>
            </w:pPr>
            <w:r>
              <w:rPr/>
              <w:t> </w:t>
            </w:r>
          </w:p>
        </w:tc>
        <w:tc>
          <w:tcPr>
            <w:tcW w:w="175" w:type="dxa"/>
            <w:tcBorders/>
            <w:shd w:fill="CEE8F6" w:val="clear"/>
            <w:vAlign w:val="center"/>
          </w:tcPr>
          <w:p>
            <w:pPr>
              <w:pStyle w:val="TableContents"/>
              <w:spacing w:before="0" w:after="283"/>
              <w:rPr>
                <w:sz w:val="4"/>
                <w:szCs w:val="4"/>
              </w:rPr>
            </w:pPr>
            <w:r>
              <w:rPr>
                <w:sz w:val="4"/>
                <w:szCs w:val="4"/>
              </w:rPr>
            </w:r>
          </w:p>
        </w:tc>
        <w:tc>
          <w:tcPr>
            <w:tcW w:w="2162"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pPr>
            <w:r>
              <w:rPr/>
              <w:t> </w:t>
            </w:r>
          </w:p>
        </w:tc>
        <w:tc>
          <w:tcPr>
            <w:tcW w:w="78" w:type="dxa"/>
            <w:tcBorders/>
            <w:shd w:fill="CEE8F6" w:val="clear"/>
            <w:vAlign w:val="center"/>
          </w:tcPr>
          <w:p>
            <w:pPr>
              <w:pStyle w:val="TableContents"/>
              <w:spacing w:before="0" w:after="283"/>
              <w:rPr>
                <w:sz w:val="4"/>
                <w:szCs w:val="4"/>
              </w:rPr>
            </w:pPr>
            <w:r>
              <w:rPr>
                <w:sz w:val="4"/>
                <w:szCs w:val="4"/>
              </w:rPr>
            </w:r>
          </w:p>
        </w:tc>
        <w:tc>
          <w:tcPr>
            <w:tcW w:w="1082"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pPr>
            <w:r>
              <w:rPr/>
              <w:t> </w:t>
            </w:r>
          </w:p>
        </w:tc>
        <w:tc>
          <w:tcPr>
            <w:tcW w:w="86" w:type="dxa"/>
            <w:tcBorders/>
            <w:shd w:fill="CEE8F6" w:val="clear"/>
            <w:vAlign w:val="center"/>
          </w:tcPr>
          <w:p>
            <w:pPr>
              <w:pStyle w:val="TableContents"/>
              <w:spacing w:before="0" w:after="283"/>
              <w:rPr>
                <w:sz w:val="4"/>
                <w:szCs w:val="4"/>
              </w:rPr>
            </w:pPr>
            <w:r>
              <w:rPr>
                <w:sz w:val="4"/>
                <w:szCs w:val="4"/>
              </w:rPr>
            </w:r>
          </w:p>
        </w:tc>
        <w:tc>
          <w:tcPr>
            <w:tcW w:w="744"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pPr>
            <w:r>
              <w:rPr/>
              <w:t> </w:t>
            </w:r>
          </w:p>
        </w:tc>
        <w:tc>
          <w:tcPr>
            <w:tcW w:w="150" w:type="dxa"/>
            <w:tcBorders/>
            <w:shd w:fill="CEE8F6" w:val="clear"/>
            <w:vAlign w:val="center"/>
          </w:tcPr>
          <w:p>
            <w:pPr>
              <w:pStyle w:val="TableContents"/>
              <w:spacing w:before="0" w:after="283"/>
              <w:rPr>
                <w:sz w:val="4"/>
                <w:szCs w:val="4"/>
              </w:rPr>
            </w:pPr>
            <w:r>
              <w:rPr>
                <w:sz w:val="4"/>
                <w:szCs w:val="4"/>
              </w:rPr>
            </w:r>
          </w:p>
        </w:tc>
        <w:tc>
          <w:tcPr>
            <w:tcW w:w="1295"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pPr>
            <w:r>
              <w:rPr/>
              <w:t> </w:t>
            </w:r>
          </w:p>
        </w:tc>
        <w:tc>
          <w:tcPr>
            <w:tcW w:w="285" w:type="dxa"/>
            <w:tcBorders/>
            <w:shd w:fill="CEE8F6" w:val="clear"/>
            <w:vAlign w:val="center"/>
          </w:tcPr>
          <w:p>
            <w:pPr>
              <w:pStyle w:val="TableContents"/>
              <w:spacing w:before="0" w:after="283"/>
              <w:rPr>
                <w:sz w:val="4"/>
                <w:szCs w:val="4"/>
              </w:rPr>
            </w:pPr>
            <w:r>
              <w:rPr>
                <w:sz w:val="4"/>
                <w:szCs w:val="4"/>
              </w:rPr>
            </w:r>
          </w:p>
        </w:tc>
        <w:tc>
          <w:tcPr>
            <w:tcW w:w="38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before="0" w:after="283"/>
              <w:rPr>
                <w:sz w:val="4"/>
                <w:szCs w:val="4"/>
              </w:rPr>
            </w:pPr>
            <w:r>
              <w:rPr>
                <w:sz w:val="4"/>
                <w:szCs w:val="4"/>
              </w:rPr>
            </w:r>
          </w:p>
        </w:tc>
        <w:tc>
          <w:tcPr>
            <w:tcW w:w="830" w:type="dxa"/>
            <w:tcBorders/>
            <w:shd w:fill="CEE8F6" w:val="clear"/>
            <w:vAlign w:val="center"/>
          </w:tcPr>
          <w:p>
            <w:pPr>
              <w:pStyle w:val="TableContents"/>
              <w:spacing w:before="0" w:after="283"/>
              <w:rPr>
                <w:sz w:val="4"/>
                <w:szCs w:val="4"/>
              </w:rPr>
            </w:pPr>
            <w:r>
              <w:rPr>
                <w:sz w:val="4"/>
                <w:szCs w:val="4"/>
              </w:rPr>
            </w:r>
          </w:p>
        </w:tc>
        <w:tc>
          <w:tcPr>
            <w:tcW w:w="75" w:type="dxa"/>
            <w:tcBorders/>
            <w:shd w:fill="CEE8F6" w:val="clear"/>
            <w:vAlign w:val="center"/>
          </w:tcPr>
          <w:p>
            <w:pPr>
              <w:pStyle w:val="TableContents"/>
              <w:spacing w:before="0" w:after="283"/>
              <w:rPr>
                <w:sz w:val="4"/>
                <w:szCs w:val="4"/>
              </w:rPr>
            </w:pPr>
            <w:r>
              <w:rPr>
                <w:sz w:val="4"/>
                <w:szCs w:val="4"/>
              </w:rPr>
            </w:r>
          </w:p>
        </w:tc>
      </w:tr>
      <w:tr>
        <w:trPr/>
        <w:tc>
          <w:tcPr>
            <w:tcW w:w="845" w:type="dxa"/>
            <w:tcBorders/>
            <w:shd w:fill="CEE8F6" w:val="clear"/>
            <w:vAlign w:val="center"/>
          </w:tcPr>
          <w:p>
            <w:pPr>
              <w:pStyle w:val="TableContents"/>
              <w:spacing w:lineRule="atLeast" w:line="240" w:before="0" w:after="0"/>
              <w:rPr>
                <w:rFonts w:ascii="ARIAL" w:hAnsi="ARIAL"/>
                <w:sz w:val="16"/>
              </w:rPr>
            </w:pPr>
            <w:r>
              <w:rPr>
                <w:rFonts w:ascii="ARIAL" w:hAnsi="ARIAL"/>
                <w:sz w:val="16"/>
              </w:rPr>
              <w:t>Voluntary termination</w:t>
            </w:r>
          </w:p>
        </w:tc>
        <w:tc>
          <w:tcPr>
            <w:tcW w:w="60" w:type="dxa"/>
            <w:tcBorders/>
            <w:shd w:fill="CEE8F6" w:val="clear"/>
            <w:vAlign w:val="center"/>
          </w:tcPr>
          <w:p>
            <w:pPr>
              <w:pStyle w:val="TableContents"/>
              <w:spacing w:before="0" w:after="283"/>
              <w:rPr/>
            </w:pPr>
            <w:r>
              <w:rPr/>
              <w:t> </w:t>
            </w:r>
          </w:p>
        </w:tc>
        <w:tc>
          <w:tcPr>
            <w:tcW w:w="71" w:type="dxa"/>
            <w:tcBorders/>
            <w:shd w:fill="CEE8F6" w:val="clear"/>
            <w:vAlign w:val="center"/>
          </w:tcPr>
          <w:p>
            <w:pPr>
              <w:pStyle w:val="TableContents"/>
              <w:spacing w:lineRule="atLeast" w:line="240" w:before="0" w:after="0"/>
              <w:rPr/>
            </w:pPr>
            <w:r>
              <w:rPr/>
              <w:t> </w:t>
            </w:r>
          </w:p>
        </w:tc>
        <w:tc>
          <w:tcPr>
            <w:tcW w:w="984" w:type="dxa"/>
            <w:tcBorders/>
            <w:shd w:fill="CEE8F6" w:val="clear"/>
            <w:vAlign w:val="center"/>
          </w:tcPr>
          <w:p>
            <w:pPr>
              <w:pStyle w:val="TableContents"/>
              <w:spacing w:lineRule="atLeast" w:line="240" w:before="0" w:after="0"/>
              <w:jc w:val="right"/>
              <w:rPr>
                <w:rFonts w:ascii="ARIAL" w:hAnsi="ARIAL"/>
                <w:sz w:val="16"/>
              </w:rPr>
            </w:pPr>
            <w:r>
              <w:rPr>
                <w:rFonts w:ascii="ARIAL" w:hAnsi="ARIAL"/>
                <w:sz w:val="16"/>
              </w:rPr>
              <w:t>-</w:t>
            </w:r>
          </w:p>
        </w:tc>
        <w:tc>
          <w:tcPr>
            <w:tcW w:w="60" w:type="dxa"/>
            <w:tcBorders/>
            <w:shd w:fill="CEE8F6" w:val="clear"/>
            <w:vAlign w:val="center"/>
          </w:tcPr>
          <w:p>
            <w:pPr>
              <w:pStyle w:val="TableContents"/>
              <w:spacing w:lineRule="atLeast" w:line="240" w:before="0" w:after="0"/>
              <w:rPr/>
            </w:pPr>
            <w:r>
              <w:rPr/>
              <w:t> </w:t>
            </w:r>
          </w:p>
        </w:tc>
        <w:tc>
          <w:tcPr>
            <w:tcW w:w="60" w:type="dxa"/>
            <w:tcBorders/>
            <w:shd w:fill="CEE8F6" w:val="clear"/>
            <w:vAlign w:val="center"/>
          </w:tcPr>
          <w:p>
            <w:pPr>
              <w:pStyle w:val="TableContents"/>
              <w:spacing w:before="0" w:after="283"/>
              <w:rPr/>
            </w:pPr>
            <w:r>
              <w:rPr/>
              <w:t> </w:t>
            </w:r>
          </w:p>
        </w:tc>
        <w:tc>
          <w:tcPr>
            <w:tcW w:w="555" w:type="dxa"/>
            <w:tcBorders/>
            <w:shd w:fill="CEE8F6" w:val="clear"/>
            <w:vAlign w:val="center"/>
          </w:tcPr>
          <w:p>
            <w:pPr>
              <w:pStyle w:val="TableContents"/>
              <w:spacing w:lineRule="atLeast" w:line="240" w:before="0" w:after="0"/>
              <w:rPr/>
            </w:pPr>
            <w:r>
              <w:rPr/>
              <w:t> </w:t>
            </w:r>
          </w:p>
        </w:tc>
        <w:tc>
          <w:tcPr>
            <w:tcW w:w="740" w:type="dxa"/>
            <w:tcBorders/>
            <w:shd w:fill="CEE8F6" w:val="clear"/>
            <w:vAlign w:val="center"/>
          </w:tcPr>
          <w:p>
            <w:pPr>
              <w:pStyle w:val="TableContents"/>
              <w:spacing w:lineRule="atLeast" w:line="240" w:before="0" w:after="0"/>
              <w:jc w:val="right"/>
              <w:rPr>
                <w:rFonts w:ascii="ARIAL" w:hAnsi="ARIAL"/>
                <w:sz w:val="16"/>
              </w:rPr>
            </w:pPr>
            <w:r>
              <w:rPr>
                <w:rFonts w:ascii="ARIAL" w:hAnsi="ARIAL"/>
                <w:sz w:val="16"/>
              </w:rPr>
              <w:t>-</w:t>
            </w:r>
          </w:p>
        </w:tc>
        <w:tc>
          <w:tcPr>
            <w:tcW w:w="175" w:type="dxa"/>
            <w:tcBorders/>
            <w:shd w:fill="CEE8F6" w:val="clear"/>
            <w:vAlign w:val="center"/>
          </w:tcPr>
          <w:p>
            <w:pPr>
              <w:pStyle w:val="TableContents"/>
              <w:spacing w:lineRule="atLeast" w:line="240" w:before="0" w:after="0"/>
              <w:rPr/>
            </w:pPr>
            <w:r>
              <w:rPr/>
              <w:t> </w:t>
            </w:r>
          </w:p>
        </w:tc>
        <w:tc>
          <w:tcPr>
            <w:tcW w:w="175" w:type="dxa"/>
            <w:tcBorders/>
            <w:shd w:fill="CEE8F6" w:val="clear"/>
            <w:vAlign w:val="center"/>
          </w:tcPr>
          <w:p>
            <w:pPr>
              <w:pStyle w:val="TableContents"/>
              <w:spacing w:before="0" w:after="283"/>
              <w:rPr/>
            </w:pPr>
            <w:r>
              <w:rPr/>
              <w:t> </w:t>
            </w:r>
          </w:p>
        </w:tc>
        <w:tc>
          <w:tcPr>
            <w:tcW w:w="175" w:type="dxa"/>
            <w:tcBorders/>
            <w:shd w:fill="CEE8F6" w:val="clear"/>
            <w:vAlign w:val="center"/>
          </w:tcPr>
          <w:p>
            <w:pPr>
              <w:pStyle w:val="TableContents"/>
              <w:spacing w:lineRule="atLeast" w:line="240" w:before="0" w:after="0"/>
              <w:rPr/>
            </w:pPr>
            <w:r>
              <w:rPr/>
              <w:t> </w:t>
            </w:r>
          </w:p>
        </w:tc>
        <w:tc>
          <w:tcPr>
            <w:tcW w:w="2162" w:type="dxa"/>
            <w:tcBorders/>
            <w:shd w:fill="CEE8F6" w:val="clear"/>
            <w:vAlign w:val="center"/>
          </w:tcPr>
          <w:p>
            <w:pPr>
              <w:pStyle w:val="TableContents"/>
              <w:spacing w:lineRule="atLeast" w:line="240" w:before="0" w:after="0"/>
              <w:jc w:val="right"/>
              <w:rPr>
                <w:rFonts w:ascii="ARIAL" w:hAnsi="ARIAL"/>
                <w:sz w:val="16"/>
              </w:rPr>
            </w:pPr>
            <w:r>
              <w:rPr>
                <w:rFonts w:ascii="ARIAL" w:hAnsi="ARIAL"/>
                <w:sz w:val="16"/>
              </w:rPr>
              <w:t>-</w:t>
            </w:r>
          </w:p>
        </w:tc>
        <w:tc>
          <w:tcPr>
            <w:tcW w:w="60" w:type="dxa"/>
            <w:tcBorders/>
            <w:shd w:fill="CEE8F6" w:val="clear"/>
            <w:vAlign w:val="center"/>
          </w:tcPr>
          <w:p>
            <w:pPr>
              <w:pStyle w:val="TableContents"/>
              <w:spacing w:lineRule="atLeast" w:line="240" w:before="0" w:after="0"/>
              <w:rPr/>
            </w:pPr>
            <w:r>
              <w:rPr/>
              <w:t> </w:t>
            </w:r>
          </w:p>
        </w:tc>
        <w:tc>
          <w:tcPr>
            <w:tcW w:w="60" w:type="dxa"/>
            <w:tcBorders/>
            <w:shd w:fill="CEE8F6" w:val="clear"/>
            <w:vAlign w:val="center"/>
          </w:tcPr>
          <w:p>
            <w:pPr>
              <w:pStyle w:val="TableContents"/>
              <w:spacing w:before="0" w:after="283"/>
              <w:rPr/>
            </w:pPr>
            <w:r>
              <w:rPr/>
              <w:t> </w:t>
            </w:r>
          </w:p>
        </w:tc>
        <w:tc>
          <w:tcPr>
            <w:tcW w:w="78" w:type="dxa"/>
            <w:tcBorders/>
            <w:shd w:fill="CEE8F6" w:val="clear"/>
            <w:vAlign w:val="center"/>
          </w:tcPr>
          <w:p>
            <w:pPr>
              <w:pStyle w:val="TableContents"/>
              <w:spacing w:lineRule="atLeast" w:line="240" w:before="0" w:after="0"/>
              <w:rPr/>
            </w:pPr>
            <w:r>
              <w:rPr/>
              <w:t> </w:t>
            </w:r>
          </w:p>
        </w:tc>
        <w:tc>
          <w:tcPr>
            <w:tcW w:w="1082" w:type="dxa"/>
            <w:tcBorders/>
            <w:shd w:fill="CEE8F6" w:val="clear"/>
            <w:vAlign w:val="center"/>
          </w:tcPr>
          <w:p>
            <w:pPr>
              <w:pStyle w:val="TableContents"/>
              <w:spacing w:lineRule="atLeast" w:line="240" w:before="0" w:after="0"/>
              <w:jc w:val="right"/>
              <w:rPr>
                <w:rFonts w:ascii="ARIAL" w:hAnsi="ARIAL"/>
                <w:sz w:val="16"/>
              </w:rPr>
            </w:pPr>
            <w:r>
              <w:rPr>
                <w:rFonts w:ascii="ARIAL" w:hAnsi="ARIAL"/>
                <w:sz w:val="16"/>
              </w:rPr>
              <w:t>9,224,521</w:t>
            </w:r>
          </w:p>
        </w:tc>
        <w:tc>
          <w:tcPr>
            <w:tcW w:w="60" w:type="dxa"/>
            <w:tcBorders/>
            <w:shd w:fill="CEE8F6" w:val="clear"/>
            <w:vAlign w:val="center"/>
          </w:tcPr>
          <w:p>
            <w:pPr>
              <w:pStyle w:val="TableContents"/>
              <w:spacing w:lineRule="atLeast" w:line="240" w:before="0" w:after="0"/>
              <w:rPr/>
            </w:pPr>
            <w:r>
              <w:rPr/>
              <w:t> </w:t>
            </w:r>
          </w:p>
        </w:tc>
        <w:tc>
          <w:tcPr>
            <w:tcW w:w="60" w:type="dxa"/>
            <w:tcBorders/>
            <w:shd w:fill="CEE8F6" w:val="clear"/>
            <w:vAlign w:val="center"/>
          </w:tcPr>
          <w:p>
            <w:pPr>
              <w:pStyle w:val="TableContents"/>
              <w:spacing w:before="0" w:after="283"/>
              <w:rPr/>
            </w:pPr>
            <w:r>
              <w:rPr/>
              <w:t> </w:t>
            </w:r>
          </w:p>
        </w:tc>
        <w:tc>
          <w:tcPr>
            <w:tcW w:w="86" w:type="dxa"/>
            <w:tcBorders/>
            <w:shd w:fill="CEE8F6" w:val="clear"/>
            <w:vAlign w:val="center"/>
          </w:tcPr>
          <w:p>
            <w:pPr>
              <w:pStyle w:val="TableContents"/>
              <w:spacing w:lineRule="atLeast" w:line="240" w:before="0" w:after="0"/>
              <w:rPr/>
            </w:pPr>
            <w:r>
              <w:rPr/>
              <w:t> </w:t>
            </w:r>
          </w:p>
        </w:tc>
        <w:tc>
          <w:tcPr>
            <w:tcW w:w="744" w:type="dxa"/>
            <w:tcBorders/>
            <w:shd w:fill="CEE8F6" w:val="clear"/>
            <w:vAlign w:val="center"/>
          </w:tcPr>
          <w:p>
            <w:pPr>
              <w:pStyle w:val="TableContents"/>
              <w:spacing w:lineRule="atLeast" w:line="240" w:before="0" w:after="0"/>
              <w:jc w:val="right"/>
              <w:rPr>
                <w:rFonts w:ascii="ARIAL" w:hAnsi="ARIAL"/>
                <w:sz w:val="16"/>
              </w:rPr>
            </w:pPr>
            <w:r>
              <w:rPr>
                <w:rFonts w:ascii="ARIAL" w:hAnsi="ARIAL"/>
                <w:sz w:val="16"/>
              </w:rPr>
              <w:t>-</w:t>
            </w:r>
          </w:p>
        </w:tc>
        <w:tc>
          <w:tcPr>
            <w:tcW w:w="60" w:type="dxa"/>
            <w:tcBorders/>
            <w:shd w:fill="CEE8F6" w:val="clear"/>
            <w:vAlign w:val="center"/>
          </w:tcPr>
          <w:p>
            <w:pPr>
              <w:pStyle w:val="TableContents"/>
              <w:spacing w:lineRule="atLeast" w:line="240" w:before="0" w:after="0"/>
              <w:rPr/>
            </w:pPr>
            <w:r>
              <w:rPr/>
              <w:t> </w:t>
            </w:r>
          </w:p>
        </w:tc>
        <w:tc>
          <w:tcPr>
            <w:tcW w:w="60" w:type="dxa"/>
            <w:tcBorders/>
            <w:shd w:fill="CEE8F6" w:val="clear"/>
            <w:vAlign w:val="center"/>
          </w:tcPr>
          <w:p>
            <w:pPr>
              <w:pStyle w:val="TableContents"/>
              <w:spacing w:before="0" w:after="283"/>
              <w:rPr/>
            </w:pPr>
            <w:r>
              <w:rPr/>
              <w:t> </w:t>
            </w:r>
          </w:p>
        </w:tc>
        <w:tc>
          <w:tcPr>
            <w:tcW w:w="150" w:type="dxa"/>
            <w:tcBorders/>
            <w:shd w:fill="CEE8F6" w:val="clear"/>
            <w:vAlign w:val="center"/>
          </w:tcPr>
          <w:p>
            <w:pPr>
              <w:pStyle w:val="TableContents"/>
              <w:spacing w:lineRule="atLeast" w:line="240" w:before="0" w:after="0"/>
              <w:rPr/>
            </w:pPr>
            <w:r>
              <w:rPr/>
              <w:t> </w:t>
            </w:r>
          </w:p>
        </w:tc>
        <w:tc>
          <w:tcPr>
            <w:tcW w:w="1295" w:type="dxa"/>
            <w:tcBorders/>
            <w:shd w:fill="CEE8F6" w:val="clear"/>
            <w:vAlign w:val="center"/>
          </w:tcPr>
          <w:p>
            <w:pPr>
              <w:pStyle w:val="TableContents"/>
              <w:spacing w:lineRule="atLeast" w:line="240" w:before="0" w:after="0"/>
              <w:jc w:val="right"/>
              <w:rPr>
                <w:rFonts w:ascii="ARIAL" w:hAnsi="ARIAL"/>
                <w:sz w:val="16"/>
              </w:rPr>
            </w:pPr>
            <w:r>
              <w:rPr>
                <w:rFonts w:ascii="ARIAL" w:hAnsi="ARIAL"/>
                <w:sz w:val="16"/>
              </w:rPr>
              <w:t>-</w:t>
            </w:r>
          </w:p>
        </w:tc>
        <w:tc>
          <w:tcPr>
            <w:tcW w:w="60" w:type="dxa"/>
            <w:tcBorders/>
            <w:shd w:fill="CEE8F6" w:val="clear"/>
            <w:vAlign w:val="center"/>
          </w:tcPr>
          <w:p>
            <w:pPr>
              <w:pStyle w:val="TableContents"/>
              <w:spacing w:lineRule="atLeast" w:line="240" w:before="0" w:after="0"/>
              <w:rPr/>
            </w:pPr>
            <w:r>
              <w:rPr/>
              <w:t> </w:t>
            </w:r>
          </w:p>
        </w:tc>
        <w:tc>
          <w:tcPr>
            <w:tcW w:w="60" w:type="dxa"/>
            <w:tcBorders/>
            <w:shd w:fill="CEE8F6" w:val="clear"/>
            <w:vAlign w:val="center"/>
          </w:tcPr>
          <w:p>
            <w:pPr>
              <w:pStyle w:val="TableContents"/>
              <w:spacing w:before="0" w:after="283"/>
              <w:rPr/>
            </w:pPr>
            <w:r>
              <w:rPr/>
              <w:t> </w:t>
            </w:r>
          </w:p>
        </w:tc>
        <w:tc>
          <w:tcPr>
            <w:tcW w:w="285" w:type="dxa"/>
            <w:tcBorders/>
            <w:shd w:fill="CEE8F6" w:val="clear"/>
            <w:vAlign w:val="center"/>
          </w:tcPr>
          <w:p>
            <w:pPr>
              <w:pStyle w:val="TableContents"/>
              <w:spacing w:lineRule="atLeast" w:line="240" w:before="0" w:after="0"/>
              <w:rPr/>
            </w:pPr>
            <w:r>
              <w:rPr/>
              <w:t> </w:t>
            </w:r>
          </w:p>
        </w:tc>
        <w:tc>
          <w:tcPr>
            <w:tcW w:w="380" w:type="dxa"/>
            <w:tcBorders/>
            <w:shd w:fill="CEE8F6" w:val="clear"/>
            <w:vAlign w:val="center"/>
          </w:tcPr>
          <w:p>
            <w:pPr>
              <w:pStyle w:val="TableContents"/>
              <w:spacing w:lineRule="atLeast" w:line="240" w:before="0" w:after="0"/>
              <w:jc w:val="right"/>
              <w:rPr>
                <w:rFonts w:ascii="ARIAL" w:hAnsi="ARIAL"/>
                <w:sz w:val="16"/>
              </w:rPr>
            </w:pPr>
            <w:r>
              <w:rPr>
                <w:rFonts w:ascii="ARIAL" w:hAnsi="ARIAL"/>
                <w:sz w:val="16"/>
              </w:rPr>
              <w:t>-</w:t>
            </w:r>
          </w:p>
        </w:tc>
        <w:tc>
          <w:tcPr>
            <w:tcW w:w="60" w:type="dxa"/>
            <w:tcBorders/>
            <w:shd w:fill="CEE8F6" w:val="clear"/>
            <w:vAlign w:val="center"/>
          </w:tcPr>
          <w:p>
            <w:pPr>
              <w:pStyle w:val="TableContents"/>
              <w:spacing w:lineRule="atLeast" w:line="240" w:before="0" w:after="0"/>
              <w:rPr/>
            </w:pPr>
            <w:r>
              <w:rPr/>
              <w:t> </w:t>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lineRule="atLeast" w:line="240" w:before="0" w:after="0"/>
              <w:rPr/>
            </w:pPr>
            <w:r>
              <w:rPr/>
              <w:t> </w:t>
            </w:r>
          </w:p>
        </w:tc>
        <w:tc>
          <w:tcPr>
            <w:tcW w:w="830" w:type="dxa"/>
            <w:tcBorders/>
            <w:shd w:fill="CEE8F6" w:val="clear"/>
            <w:vAlign w:val="center"/>
          </w:tcPr>
          <w:p>
            <w:pPr>
              <w:pStyle w:val="TableContents"/>
              <w:spacing w:lineRule="atLeast" w:line="240" w:before="0" w:after="0"/>
              <w:jc w:val="right"/>
              <w:rPr>
                <w:rFonts w:ascii="ARIAL" w:hAnsi="ARIAL"/>
                <w:sz w:val="16"/>
              </w:rPr>
            </w:pPr>
            <w:r>
              <w:rPr>
                <w:rFonts w:ascii="ARIAL" w:hAnsi="ARIAL"/>
                <w:sz w:val="16"/>
              </w:rPr>
              <w:t>9,224,521</w:t>
            </w:r>
          </w:p>
        </w:tc>
        <w:tc>
          <w:tcPr>
            <w:tcW w:w="75" w:type="dxa"/>
            <w:tcBorders/>
            <w:shd w:fill="CEE8F6" w:val="clear"/>
            <w:vAlign w:val="center"/>
          </w:tcPr>
          <w:p>
            <w:pPr>
              <w:pStyle w:val="TableContents"/>
              <w:spacing w:lineRule="atLeast" w:line="240" w:before="0" w:after="0"/>
              <w:rPr/>
            </w:pPr>
            <w:r>
              <w:rPr/>
              <w:t> </w:t>
            </w:r>
          </w:p>
        </w:tc>
      </w:tr>
      <w:tr>
        <w:trPr/>
        <w:tc>
          <w:tcPr>
            <w:tcW w:w="845" w:type="dxa"/>
            <w:tcBorders/>
            <w:shd w:fill="CEE8F6" w:val="clear"/>
            <w:vAlign w:val="center"/>
          </w:tcPr>
          <w:p>
            <w:pPr>
              <w:pStyle w:val="TableContents"/>
              <w:spacing w:lineRule="atLeast" w:line="240" w:before="0" w:after="0"/>
              <w:rPr>
                <w:rFonts w:ascii="ARIAL" w:hAnsi="ARIAL"/>
                <w:sz w:val="16"/>
              </w:rPr>
            </w:pPr>
            <w:r>
              <w:rPr>
                <w:rFonts w:ascii="ARIAL" w:hAnsi="ARIAL"/>
                <w:sz w:val="16"/>
              </w:rPr>
              <w:t>Involuntary termination</w:t>
            </w:r>
          </w:p>
        </w:tc>
        <w:tc>
          <w:tcPr>
            <w:tcW w:w="60" w:type="dxa"/>
            <w:tcBorders/>
            <w:shd w:fill="CEE8F6" w:val="clear"/>
            <w:vAlign w:val="center"/>
          </w:tcPr>
          <w:p>
            <w:pPr>
              <w:pStyle w:val="TableContents"/>
              <w:spacing w:before="0" w:after="283"/>
              <w:rPr/>
            </w:pPr>
            <w:r>
              <w:rPr/>
              <w:t> </w:t>
            </w:r>
          </w:p>
        </w:tc>
        <w:tc>
          <w:tcPr>
            <w:tcW w:w="71" w:type="dxa"/>
            <w:tcBorders/>
            <w:shd w:fill="CEE8F6" w:val="clear"/>
            <w:vAlign w:val="center"/>
          </w:tcPr>
          <w:p>
            <w:pPr>
              <w:pStyle w:val="TableContents"/>
              <w:spacing w:lineRule="atLeast" w:line="240" w:before="0" w:after="0"/>
              <w:rPr/>
            </w:pPr>
            <w:r>
              <w:rPr/>
              <w:t> </w:t>
            </w:r>
          </w:p>
        </w:tc>
        <w:tc>
          <w:tcPr>
            <w:tcW w:w="984" w:type="dxa"/>
            <w:tcBorders/>
            <w:shd w:fill="CEE8F6" w:val="clear"/>
            <w:vAlign w:val="center"/>
          </w:tcPr>
          <w:p>
            <w:pPr>
              <w:pStyle w:val="TableContents"/>
              <w:spacing w:lineRule="atLeast" w:line="240" w:before="0" w:after="0"/>
              <w:jc w:val="right"/>
              <w:rPr>
                <w:rFonts w:ascii="ARIAL" w:hAnsi="ARIAL"/>
                <w:sz w:val="16"/>
              </w:rPr>
            </w:pPr>
            <w:r>
              <w:rPr>
                <w:rFonts w:ascii="ARIAL" w:hAnsi="ARIAL"/>
                <w:sz w:val="16"/>
              </w:rPr>
              <w:t>3,234,375</w:t>
            </w:r>
          </w:p>
        </w:tc>
        <w:tc>
          <w:tcPr>
            <w:tcW w:w="60" w:type="dxa"/>
            <w:tcBorders/>
            <w:shd w:fill="CEE8F6" w:val="clear"/>
            <w:vAlign w:val="center"/>
          </w:tcPr>
          <w:p>
            <w:pPr>
              <w:pStyle w:val="TableContents"/>
              <w:spacing w:lineRule="atLeast" w:line="240" w:before="0" w:after="0"/>
              <w:rPr/>
            </w:pPr>
            <w:r>
              <w:rPr/>
              <w:t> </w:t>
            </w:r>
          </w:p>
        </w:tc>
        <w:tc>
          <w:tcPr>
            <w:tcW w:w="60" w:type="dxa"/>
            <w:tcBorders/>
            <w:shd w:fill="CEE8F6" w:val="clear"/>
            <w:vAlign w:val="center"/>
          </w:tcPr>
          <w:p>
            <w:pPr>
              <w:pStyle w:val="TableContents"/>
              <w:spacing w:before="0" w:after="283"/>
              <w:rPr/>
            </w:pPr>
            <w:r>
              <w:rPr/>
              <w:t> </w:t>
            </w:r>
          </w:p>
        </w:tc>
        <w:tc>
          <w:tcPr>
            <w:tcW w:w="555" w:type="dxa"/>
            <w:tcBorders/>
            <w:shd w:fill="CEE8F6" w:val="clear"/>
            <w:vAlign w:val="center"/>
          </w:tcPr>
          <w:p>
            <w:pPr>
              <w:pStyle w:val="TableContents"/>
              <w:spacing w:lineRule="atLeast" w:line="240" w:before="0" w:after="0"/>
              <w:rPr/>
            </w:pPr>
            <w:r>
              <w:rPr/>
              <w:t> </w:t>
            </w:r>
          </w:p>
        </w:tc>
        <w:tc>
          <w:tcPr>
            <w:tcW w:w="740" w:type="dxa"/>
            <w:tcBorders/>
            <w:shd w:fill="CEE8F6" w:val="clear"/>
            <w:vAlign w:val="center"/>
          </w:tcPr>
          <w:p>
            <w:pPr>
              <w:pStyle w:val="TableContents"/>
              <w:spacing w:lineRule="atLeast" w:line="240" w:before="0" w:after="0"/>
              <w:jc w:val="right"/>
              <w:rPr>
                <w:rFonts w:ascii="ARIAL" w:hAnsi="ARIAL"/>
                <w:sz w:val="16"/>
              </w:rPr>
            </w:pPr>
            <w:r>
              <w:rPr>
                <w:rFonts w:ascii="ARIAL" w:hAnsi="ARIAL"/>
                <w:sz w:val="16"/>
              </w:rPr>
              <w:t>-</w:t>
            </w:r>
          </w:p>
        </w:tc>
        <w:tc>
          <w:tcPr>
            <w:tcW w:w="175" w:type="dxa"/>
            <w:tcBorders/>
            <w:shd w:fill="CEE8F6" w:val="clear"/>
            <w:vAlign w:val="center"/>
          </w:tcPr>
          <w:p>
            <w:pPr>
              <w:pStyle w:val="TableContents"/>
              <w:spacing w:lineRule="atLeast" w:line="240" w:before="0" w:after="0"/>
              <w:rPr/>
            </w:pPr>
            <w:r>
              <w:rPr/>
              <w:t> </w:t>
            </w:r>
          </w:p>
        </w:tc>
        <w:tc>
          <w:tcPr>
            <w:tcW w:w="175" w:type="dxa"/>
            <w:tcBorders/>
            <w:shd w:fill="CEE8F6" w:val="clear"/>
            <w:vAlign w:val="center"/>
          </w:tcPr>
          <w:p>
            <w:pPr>
              <w:pStyle w:val="TableContents"/>
              <w:spacing w:before="0" w:after="283"/>
              <w:rPr/>
            </w:pPr>
            <w:r>
              <w:rPr/>
              <w:t> </w:t>
            </w:r>
          </w:p>
        </w:tc>
        <w:tc>
          <w:tcPr>
            <w:tcW w:w="175" w:type="dxa"/>
            <w:tcBorders/>
            <w:shd w:fill="CEE8F6" w:val="clear"/>
            <w:vAlign w:val="center"/>
          </w:tcPr>
          <w:p>
            <w:pPr>
              <w:pStyle w:val="TableContents"/>
              <w:spacing w:lineRule="atLeast" w:line="240" w:before="0" w:after="0"/>
              <w:rPr/>
            </w:pPr>
            <w:r>
              <w:rPr/>
              <w:t> </w:t>
            </w:r>
          </w:p>
        </w:tc>
        <w:tc>
          <w:tcPr>
            <w:tcW w:w="2162" w:type="dxa"/>
            <w:tcBorders/>
            <w:shd w:fill="CEE8F6" w:val="clear"/>
            <w:vAlign w:val="center"/>
          </w:tcPr>
          <w:p>
            <w:pPr>
              <w:pStyle w:val="TableContents"/>
              <w:spacing w:lineRule="atLeast" w:line="240" w:before="0" w:after="0"/>
              <w:jc w:val="right"/>
              <w:rPr>
                <w:rFonts w:ascii="ARIAL" w:hAnsi="ARIAL"/>
                <w:sz w:val="16"/>
              </w:rPr>
            </w:pPr>
            <w:r>
              <w:rPr>
                <w:rFonts w:ascii="ARIAL" w:hAnsi="ARIAL"/>
                <w:sz w:val="16"/>
              </w:rPr>
              <w:t>3,204,001</w:t>
            </w:r>
          </w:p>
        </w:tc>
        <w:tc>
          <w:tcPr>
            <w:tcW w:w="60" w:type="dxa"/>
            <w:tcBorders/>
            <w:shd w:fill="CEE8F6" w:val="clear"/>
            <w:vAlign w:val="center"/>
          </w:tcPr>
          <w:p>
            <w:pPr>
              <w:pStyle w:val="TableContents"/>
              <w:spacing w:lineRule="atLeast" w:line="240" w:before="0" w:after="0"/>
              <w:rPr/>
            </w:pPr>
            <w:r>
              <w:rPr/>
              <w:t> </w:t>
            </w:r>
          </w:p>
        </w:tc>
        <w:tc>
          <w:tcPr>
            <w:tcW w:w="60" w:type="dxa"/>
            <w:tcBorders/>
            <w:shd w:fill="CEE8F6" w:val="clear"/>
            <w:vAlign w:val="center"/>
          </w:tcPr>
          <w:p>
            <w:pPr>
              <w:pStyle w:val="TableContents"/>
              <w:spacing w:before="0" w:after="283"/>
              <w:rPr/>
            </w:pPr>
            <w:r>
              <w:rPr/>
              <w:t> </w:t>
            </w:r>
          </w:p>
        </w:tc>
        <w:tc>
          <w:tcPr>
            <w:tcW w:w="78" w:type="dxa"/>
            <w:tcBorders/>
            <w:shd w:fill="CEE8F6" w:val="clear"/>
            <w:vAlign w:val="center"/>
          </w:tcPr>
          <w:p>
            <w:pPr>
              <w:pStyle w:val="TableContents"/>
              <w:spacing w:lineRule="atLeast" w:line="240" w:before="0" w:after="0"/>
              <w:rPr/>
            </w:pPr>
            <w:r>
              <w:rPr/>
              <w:t> </w:t>
            </w:r>
          </w:p>
        </w:tc>
        <w:tc>
          <w:tcPr>
            <w:tcW w:w="1082" w:type="dxa"/>
            <w:tcBorders/>
            <w:shd w:fill="CEE8F6" w:val="clear"/>
            <w:vAlign w:val="center"/>
          </w:tcPr>
          <w:p>
            <w:pPr>
              <w:pStyle w:val="TableContents"/>
              <w:spacing w:lineRule="atLeast" w:line="240" w:before="0" w:after="0"/>
              <w:jc w:val="right"/>
              <w:rPr>
                <w:rFonts w:ascii="ARIAL" w:hAnsi="ARIAL"/>
                <w:sz w:val="16"/>
              </w:rPr>
            </w:pPr>
            <w:r>
              <w:rPr>
                <w:rFonts w:ascii="ARIAL" w:hAnsi="ARIAL"/>
                <w:sz w:val="16"/>
              </w:rPr>
              <w:t>9,224,521</w:t>
            </w:r>
          </w:p>
        </w:tc>
        <w:tc>
          <w:tcPr>
            <w:tcW w:w="60" w:type="dxa"/>
            <w:tcBorders/>
            <w:shd w:fill="CEE8F6" w:val="clear"/>
            <w:vAlign w:val="center"/>
          </w:tcPr>
          <w:p>
            <w:pPr>
              <w:pStyle w:val="TableContents"/>
              <w:spacing w:lineRule="atLeast" w:line="240" w:before="0" w:after="0"/>
              <w:rPr/>
            </w:pPr>
            <w:r>
              <w:rPr/>
              <w:t> </w:t>
            </w:r>
          </w:p>
        </w:tc>
        <w:tc>
          <w:tcPr>
            <w:tcW w:w="60" w:type="dxa"/>
            <w:tcBorders/>
            <w:shd w:fill="CEE8F6" w:val="clear"/>
            <w:vAlign w:val="center"/>
          </w:tcPr>
          <w:p>
            <w:pPr>
              <w:pStyle w:val="TableContents"/>
              <w:spacing w:before="0" w:after="283"/>
              <w:rPr/>
            </w:pPr>
            <w:r>
              <w:rPr/>
              <w:t> </w:t>
            </w:r>
          </w:p>
        </w:tc>
        <w:tc>
          <w:tcPr>
            <w:tcW w:w="86" w:type="dxa"/>
            <w:tcBorders/>
            <w:shd w:fill="CEE8F6" w:val="clear"/>
            <w:vAlign w:val="center"/>
          </w:tcPr>
          <w:p>
            <w:pPr>
              <w:pStyle w:val="TableContents"/>
              <w:spacing w:lineRule="atLeast" w:line="240" w:before="0" w:after="0"/>
              <w:rPr/>
            </w:pPr>
            <w:r>
              <w:rPr/>
              <w:t> </w:t>
            </w:r>
          </w:p>
        </w:tc>
        <w:tc>
          <w:tcPr>
            <w:tcW w:w="744" w:type="dxa"/>
            <w:tcBorders/>
            <w:shd w:fill="CEE8F6" w:val="clear"/>
            <w:vAlign w:val="center"/>
          </w:tcPr>
          <w:p>
            <w:pPr>
              <w:pStyle w:val="TableContents"/>
              <w:spacing w:lineRule="atLeast" w:line="240" w:before="0" w:after="0"/>
              <w:jc w:val="right"/>
              <w:rPr>
                <w:rFonts w:ascii="ARIAL" w:hAnsi="ARIAL"/>
                <w:sz w:val="16"/>
              </w:rPr>
            </w:pPr>
            <w:r>
              <w:rPr>
                <w:rFonts w:ascii="ARIAL" w:hAnsi="ARIAL"/>
                <w:sz w:val="16"/>
              </w:rPr>
              <w:t>44,768</w:t>
            </w:r>
          </w:p>
        </w:tc>
        <w:tc>
          <w:tcPr>
            <w:tcW w:w="60" w:type="dxa"/>
            <w:tcBorders/>
            <w:shd w:fill="CEE8F6" w:val="clear"/>
            <w:vAlign w:val="center"/>
          </w:tcPr>
          <w:p>
            <w:pPr>
              <w:pStyle w:val="TableContents"/>
              <w:spacing w:lineRule="atLeast" w:line="240" w:before="0" w:after="0"/>
              <w:rPr/>
            </w:pPr>
            <w:r>
              <w:rPr/>
              <w:t> </w:t>
            </w:r>
          </w:p>
        </w:tc>
        <w:tc>
          <w:tcPr>
            <w:tcW w:w="60" w:type="dxa"/>
            <w:tcBorders/>
            <w:shd w:fill="CEE8F6" w:val="clear"/>
            <w:vAlign w:val="center"/>
          </w:tcPr>
          <w:p>
            <w:pPr>
              <w:pStyle w:val="TableContents"/>
              <w:spacing w:before="0" w:after="283"/>
              <w:rPr/>
            </w:pPr>
            <w:r>
              <w:rPr/>
              <w:t> </w:t>
            </w:r>
          </w:p>
        </w:tc>
        <w:tc>
          <w:tcPr>
            <w:tcW w:w="150" w:type="dxa"/>
            <w:tcBorders/>
            <w:shd w:fill="CEE8F6" w:val="clear"/>
            <w:vAlign w:val="center"/>
          </w:tcPr>
          <w:p>
            <w:pPr>
              <w:pStyle w:val="TableContents"/>
              <w:spacing w:lineRule="atLeast" w:line="240" w:before="0" w:after="0"/>
              <w:rPr/>
            </w:pPr>
            <w:r>
              <w:rPr/>
              <w:t> </w:t>
            </w:r>
          </w:p>
        </w:tc>
        <w:tc>
          <w:tcPr>
            <w:tcW w:w="1295" w:type="dxa"/>
            <w:tcBorders/>
            <w:shd w:fill="CEE8F6" w:val="clear"/>
            <w:vAlign w:val="center"/>
          </w:tcPr>
          <w:p>
            <w:pPr>
              <w:pStyle w:val="TableContents"/>
              <w:spacing w:lineRule="atLeast" w:line="240" w:before="0" w:after="0"/>
              <w:jc w:val="right"/>
              <w:rPr>
                <w:rFonts w:ascii="ARIAL" w:hAnsi="ARIAL"/>
                <w:sz w:val="16"/>
              </w:rPr>
            </w:pPr>
            <w:r>
              <w:rPr>
                <w:rFonts w:ascii="ARIAL" w:hAnsi="ARIAL"/>
                <w:sz w:val="16"/>
              </w:rPr>
              <w:t>-</w:t>
            </w:r>
          </w:p>
        </w:tc>
        <w:tc>
          <w:tcPr>
            <w:tcW w:w="60" w:type="dxa"/>
            <w:tcBorders/>
            <w:shd w:fill="CEE8F6" w:val="clear"/>
            <w:vAlign w:val="center"/>
          </w:tcPr>
          <w:p>
            <w:pPr>
              <w:pStyle w:val="TableContents"/>
              <w:spacing w:lineRule="atLeast" w:line="240" w:before="0" w:after="0"/>
              <w:rPr/>
            </w:pPr>
            <w:r>
              <w:rPr/>
              <w:t> </w:t>
            </w:r>
          </w:p>
        </w:tc>
        <w:tc>
          <w:tcPr>
            <w:tcW w:w="60" w:type="dxa"/>
            <w:tcBorders/>
            <w:shd w:fill="CEE8F6" w:val="clear"/>
            <w:vAlign w:val="center"/>
          </w:tcPr>
          <w:p>
            <w:pPr>
              <w:pStyle w:val="TableContents"/>
              <w:spacing w:before="0" w:after="283"/>
              <w:rPr/>
            </w:pPr>
            <w:r>
              <w:rPr/>
              <w:t> </w:t>
            </w:r>
          </w:p>
        </w:tc>
        <w:tc>
          <w:tcPr>
            <w:tcW w:w="285" w:type="dxa"/>
            <w:tcBorders/>
            <w:shd w:fill="CEE8F6" w:val="clear"/>
            <w:vAlign w:val="center"/>
          </w:tcPr>
          <w:p>
            <w:pPr>
              <w:pStyle w:val="TableContents"/>
              <w:spacing w:lineRule="atLeast" w:line="240" w:before="0" w:after="0"/>
              <w:rPr/>
            </w:pPr>
            <w:r>
              <w:rPr/>
              <w:t> </w:t>
            </w:r>
          </w:p>
        </w:tc>
        <w:tc>
          <w:tcPr>
            <w:tcW w:w="380" w:type="dxa"/>
            <w:tcBorders/>
            <w:shd w:fill="CEE8F6" w:val="clear"/>
            <w:vAlign w:val="center"/>
          </w:tcPr>
          <w:p>
            <w:pPr>
              <w:pStyle w:val="TableContents"/>
              <w:spacing w:lineRule="atLeast" w:line="240" w:before="0" w:after="0"/>
              <w:jc w:val="right"/>
              <w:rPr>
                <w:rFonts w:ascii="ARIAL" w:hAnsi="ARIAL"/>
                <w:sz w:val="16"/>
              </w:rPr>
            </w:pPr>
            <w:r>
              <w:rPr>
                <w:rFonts w:ascii="ARIAL" w:hAnsi="ARIAL"/>
                <w:sz w:val="16"/>
              </w:rPr>
              <w:t>-</w:t>
            </w:r>
          </w:p>
        </w:tc>
        <w:tc>
          <w:tcPr>
            <w:tcW w:w="60" w:type="dxa"/>
            <w:tcBorders/>
            <w:shd w:fill="CEE8F6" w:val="clear"/>
            <w:vAlign w:val="center"/>
          </w:tcPr>
          <w:p>
            <w:pPr>
              <w:pStyle w:val="TableContents"/>
              <w:spacing w:lineRule="atLeast" w:line="240" w:before="0" w:after="0"/>
              <w:rPr/>
            </w:pPr>
            <w:r>
              <w:rPr/>
              <w:t> </w:t>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lineRule="atLeast" w:line="240" w:before="0" w:after="0"/>
              <w:rPr/>
            </w:pPr>
            <w:r>
              <w:rPr/>
              <w:t> </w:t>
            </w:r>
          </w:p>
        </w:tc>
        <w:tc>
          <w:tcPr>
            <w:tcW w:w="830" w:type="dxa"/>
            <w:tcBorders/>
            <w:shd w:fill="CEE8F6" w:val="clear"/>
            <w:vAlign w:val="center"/>
          </w:tcPr>
          <w:p>
            <w:pPr>
              <w:pStyle w:val="TableContents"/>
              <w:spacing w:lineRule="atLeast" w:line="240" w:before="0" w:after="0"/>
              <w:jc w:val="right"/>
              <w:rPr>
                <w:rFonts w:ascii="ARIAL" w:hAnsi="ARIAL"/>
                <w:sz w:val="16"/>
              </w:rPr>
            </w:pPr>
            <w:r>
              <w:rPr>
                <w:rFonts w:ascii="ARIAL" w:hAnsi="ARIAL"/>
                <w:sz w:val="16"/>
              </w:rPr>
              <w:t>15,707,665</w:t>
            </w:r>
          </w:p>
        </w:tc>
        <w:tc>
          <w:tcPr>
            <w:tcW w:w="75" w:type="dxa"/>
            <w:tcBorders/>
            <w:shd w:fill="CEE8F6" w:val="clear"/>
            <w:vAlign w:val="center"/>
          </w:tcPr>
          <w:p>
            <w:pPr>
              <w:pStyle w:val="TableContents"/>
              <w:spacing w:lineRule="atLeast" w:line="240" w:before="0" w:after="0"/>
              <w:rPr/>
            </w:pPr>
            <w:r>
              <w:rPr/>
              <w:t> </w:t>
            </w:r>
          </w:p>
        </w:tc>
      </w:tr>
      <w:tr>
        <w:trPr/>
        <w:tc>
          <w:tcPr>
            <w:tcW w:w="845" w:type="dxa"/>
            <w:tcBorders/>
            <w:shd w:fill="CEE8F6" w:val="clear"/>
            <w:vAlign w:val="center"/>
          </w:tcPr>
          <w:p>
            <w:pPr>
              <w:pStyle w:val="TableContents"/>
              <w:spacing w:lineRule="atLeast" w:line="240" w:before="0" w:after="0"/>
              <w:rPr>
                <w:rFonts w:ascii="ARIAL" w:hAnsi="ARIAL"/>
                <w:sz w:val="16"/>
              </w:rPr>
            </w:pPr>
            <w:r>
              <w:rPr>
                <w:rFonts w:ascii="ARIAL" w:hAnsi="ARIAL"/>
                <w:sz w:val="16"/>
              </w:rPr>
              <w:t>Change in control of the company (1)</w:t>
            </w:r>
          </w:p>
        </w:tc>
        <w:tc>
          <w:tcPr>
            <w:tcW w:w="60" w:type="dxa"/>
            <w:tcBorders/>
            <w:shd w:fill="CEE8F6" w:val="clear"/>
            <w:vAlign w:val="center"/>
          </w:tcPr>
          <w:p>
            <w:pPr>
              <w:pStyle w:val="TableContents"/>
              <w:spacing w:before="0" w:after="283"/>
              <w:rPr/>
            </w:pPr>
            <w:r>
              <w:rPr/>
              <w:t> </w:t>
            </w:r>
          </w:p>
        </w:tc>
        <w:tc>
          <w:tcPr>
            <w:tcW w:w="71" w:type="dxa"/>
            <w:tcBorders/>
            <w:shd w:fill="CEE8F6" w:val="clear"/>
            <w:vAlign w:val="center"/>
          </w:tcPr>
          <w:p>
            <w:pPr>
              <w:pStyle w:val="TableContents"/>
              <w:spacing w:lineRule="atLeast" w:line="240" w:before="0" w:after="0"/>
              <w:rPr/>
            </w:pPr>
            <w:r>
              <w:rPr/>
              <w:t> </w:t>
            </w:r>
          </w:p>
        </w:tc>
        <w:tc>
          <w:tcPr>
            <w:tcW w:w="984" w:type="dxa"/>
            <w:tcBorders/>
            <w:shd w:fill="CEE8F6" w:val="clear"/>
            <w:vAlign w:val="center"/>
          </w:tcPr>
          <w:p>
            <w:pPr>
              <w:pStyle w:val="TableContents"/>
              <w:spacing w:lineRule="atLeast" w:line="240" w:before="0" w:after="0"/>
              <w:jc w:val="right"/>
              <w:rPr>
                <w:rFonts w:ascii="ARIAL" w:hAnsi="ARIAL"/>
                <w:sz w:val="16"/>
              </w:rPr>
            </w:pPr>
            <w:r>
              <w:rPr>
                <w:rFonts w:ascii="ARIAL" w:hAnsi="ARIAL"/>
                <w:sz w:val="16"/>
              </w:rPr>
              <w:t>14,262,000</w:t>
            </w:r>
          </w:p>
        </w:tc>
        <w:tc>
          <w:tcPr>
            <w:tcW w:w="60" w:type="dxa"/>
            <w:tcBorders/>
            <w:shd w:fill="CEE8F6" w:val="clear"/>
            <w:vAlign w:val="center"/>
          </w:tcPr>
          <w:p>
            <w:pPr>
              <w:pStyle w:val="TableContents"/>
              <w:spacing w:lineRule="atLeast" w:line="240" w:before="0" w:after="0"/>
              <w:rPr/>
            </w:pPr>
            <w:r>
              <w:rPr/>
              <w:t> </w:t>
            </w:r>
          </w:p>
        </w:tc>
        <w:tc>
          <w:tcPr>
            <w:tcW w:w="60" w:type="dxa"/>
            <w:tcBorders/>
            <w:shd w:fill="CEE8F6" w:val="clear"/>
            <w:vAlign w:val="center"/>
          </w:tcPr>
          <w:p>
            <w:pPr>
              <w:pStyle w:val="TableContents"/>
              <w:spacing w:before="0" w:after="283"/>
              <w:rPr/>
            </w:pPr>
            <w:r>
              <w:rPr/>
              <w:t> </w:t>
            </w:r>
          </w:p>
        </w:tc>
        <w:tc>
          <w:tcPr>
            <w:tcW w:w="555" w:type="dxa"/>
            <w:tcBorders/>
            <w:shd w:fill="CEE8F6" w:val="clear"/>
            <w:vAlign w:val="center"/>
          </w:tcPr>
          <w:p>
            <w:pPr>
              <w:pStyle w:val="TableContents"/>
              <w:spacing w:lineRule="atLeast" w:line="240" w:before="0" w:after="0"/>
              <w:rPr/>
            </w:pPr>
            <w:r>
              <w:rPr/>
              <w:t> </w:t>
            </w:r>
          </w:p>
        </w:tc>
        <w:tc>
          <w:tcPr>
            <w:tcW w:w="740" w:type="dxa"/>
            <w:tcBorders/>
            <w:shd w:fill="CEE8F6" w:val="clear"/>
            <w:vAlign w:val="center"/>
          </w:tcPr>
          <w:p>
            <w:pPr>
              <w:pStyle w:val="TableContents"/>
              <w:spacing w:lineRule="atLeast" w:line="240" w:before="0" w:after="0"/>
              <w:jc w:val="right"/>
              <w:rPr>
                <w:rFonts w:ascii="ARIAL" w:hAnsi="ARIAL"/>
                <w:sz w:val="16"/>
              </w:rPr>
            </w:pPr>
            <w:r>
              <w:rPr>
                <w:rFonts w:ascii="ARIAL" w:hAnsi="ARIAL"/>
                <w:sz w:val="16"/>
              </w:rPr>
              <w:t>-</w:t>
            </w:r>
          </w:p>
        </w:tc>
        <w:tc>
          <w:tcPr>
            <w:tcW w:w="175" w:type="dxa"/>
            <w:tcBorders/>
            <w:shd w:fill="CEE8F6" w:val="clear"/>
            <w:vAlign w:val="center"/>
          </w:tcPr>
          <w:p>
            <w:pPr>
              <w:pStyle w:val="TableContents"/>
              <w:spacing w:lineRule="atLeast" w:line="240" w:before="0" w:after="0"/>
              <w:rPr/>
            </w:pPr>
            <w:r>
              <w:rPr/>
              <w:t> </w:t>
            </w:r>
          </w:p>
        </w:tc>
        <w:tc>
          <w:tcPr>
            <w:tcW w:w="175" w:type="dxa"/>
            <w:tcBorders/>
            <w:shd w:fill="CEE8F6" w:val="clear"/>
            <w:vAlign w:val="center"/>
          </w:tcPr>
          <w:p>
            <w:pPr>
              <w:pStyle w:val="TableContents"/>
              <w:spacing w:before="0" w:after="283"/>
              <w:rPr/>
            </w:pPr>
            <w:r>
              <w:rPr/>
              <w:t> </w:t>
            </w:r>
          </w:p>
        </w:tc>
        <w:tc>
          <w:tcPr>
            <w:tcW w:w="175" w:type="dxa"/>
            <w:tcBorders/>
            <w:shd w:fill="CEE8F6" w:val="clear"/>
            <w:vAlign w:val="center"/>
          </w:tcPr>
          <w:p>
            <w:pPr>
              <w:pStyle w:val="TableContents"/>
              <w:spacing w:lineRule="atLeast" w:line="240" w:before="0" w:after="0"/>
              <w:rPr/>
            </w:pPr>
            <w:r>
              <w:rPr/>
              <w:t> </w:t>
            </w:r>
          </w:p>
        </w:tc>
        <w:tc>
          <w:tcPr>
            <w:tcW w:w="2162" w:type="dxa"/>
            <w:tcBorders/>
            <w:shd w:fill="CEE8F6" w:val="clear"/>
            <w:vAlign w:val="center"/>
          </w:tcPr>
          <w:p>
            <w:pPr>
              <w:pStyle w:val="TableContents"/>
              <w:spacing w:lineRule="atLeast" w:line="240" w:before="0" w:after="0"/>
              <w:jc w:val="right"/>
              <w:rPr>
                <w:rFonts w:ascii="ARIAL" w:hAnsi="ARIAL"/>
                <w:sz w:val="16"/>
              </w:rPr>
            </w:pPr>
            <w:r>
              <w:rPr>
                <w:rFonts w:ascii="ARIAL" w:hAnsi="ARIAL"/>
                <w:sz w:val="16"/>
              </w:rPr>
              <w:t>3,204,001</w:t>
            </w:r>
          </w:p>
        </w:tc>
        <w:tc>
          <w:tcPr>
            <w:tcW w:w="60" w:type="dxa"/>
            <w:tcBorders/>
            <w:shd w:fill="CEE8F6" w:val="clear"/>
            <w:vAlign w:val="center"/>
          </w:tcPr>
          <w:p>
            <w:pPr>
              <w:pStyle w:val="TableContents"/>
              <w:spacing w:lineRule="atLeast" w:line="240" w:before="0" w:after="0"/>
              <w:rPr/>
            </w:pPr>
            <w:r>
              <w:rPr/>
              <w:t> </w:t>
            </w:r>
          </w:p>
        </w:tc>
        <w:tc>
          <w:tcPr>
            <w:tcW w:w="60" w:type="dxa"/>
            <w:tcBorders/>
            <w:shd w:fill="CEE8F6" w:val="clear"/>
            <w:vAlign w:val="center"/>
          </w:tcPr>
          <w:p>
            <w:pPr>
              <w:pStyle w:val="TableContents"/>
              <w:spacing w:before="0" w:after="283"/>
              <w:rPr/>
            </w:pPr>
            <w:r>
              <w:rPr/>
              <w:t> </w:t>
            </w:r>
          </w:p>
        </w:tc>
        <w:tc>
          <w:tcPr>
            <w:tcW w:w="78" w:type="dxa"/>
            <w:tcBorders/>
            <w:shd w:fill="CEE8F6" w:val="clear"/>
            <w:vAlign w:val="center"/>
          </w:tcPr>
          <w:p>
            <w:pPr>
              <w:pStyle w:val="TableContents"/>
              <w:spacing w:lineRule="atLeast" w:line="240" w:before="0" w:after="0"/>
              <w:rPr/>
            </w:pPr>
            <w:r>
              <w:rPr/>
              <w:t> </w:t>
            </w:r>
          </w:p>
        </w:tc>
        <w:tc>
          <w:tcPr>
            <w:tcW w:w="1082" w:type="dxa"/>
            <w:tcBorders/>
            <w:shd w:fill="CEE8F6" w:val="clear"/>
            <w:vAlign w:val="center"/>
          </w:tcPr>
          <w:p>
            <w:pPr>
              <w:pStyle w:val="TableContents"/>
              <w:spacing w:lineRule="atLeast" w:line="240" w:before="0" w:after="0"/>
              <w:jc w:val="right"/>
              <w:rPr>
                <w:rFonts w:ascii="ARIAL" w:hAnsi="ARIAL"/>
                <w:sz w:val="16"/>
              </w:rPr>
            </w:pPr>
            <w:r>
              <w:rPr>
                <w:rFonts w:ascii="ARIAL" w:hAnsi="ARIAL"/>
                <w:sz w:val="16"/>
              </w:rPr>
              <w:t>15,625,892</w:t>
            </w:r>
          </w:p>
        </w:tc>
        <w:tc>
          <w:tcPr>
            <w:tcW w:w="60" w:type="dxa"/>
            <w:tcBorders/>
            <w:shd w:fill="CEE8F6" w:val="clear"/>
            <w:vAlign w:val="center"/>
          </w:tcPr>
          <w:p>
            <w:pPr>
              <w:pStyle w:val="TableContents"/>
              <w:spacing w:lineRule="atLeast" w:line="240" w:before="0" w:after="0"/>
              <w:rPr/>
            </w:pPr>
            <w:r>
              <w:rPr/>
              <w:t> </w:t>
            </w:r>
          </w:p>
        </w:tc>
        <w:tc>
          <w:tcPr>
            <w:tcW w:w="60" w:type="dxa"/>
            <w:tcBorders/>
            <w:shd w:fill="CEE8F6" w:val="clear"/>
            <w:vAlign w:val="center"/>
          </w:tcPr>
          <w:p>
            <w:pPr>
              <w:pStyle w:val="TableContents"/>
              <w:spacing w:before="0" w:after="283"/>
              <w:rPr/>
            </w:pPr>
            <w:r>
              <w:rPr/>
              <w:t> </w:t>
            </w:r>
          </w:p>
        </w:tc>
        <w:tc>
          <w:tcPr>
            <w:tcW w:w="86" w:type="dxa"/>
            <w:tcBorders/>
            <w:shd w:fill="CEE8F6" w:val="clear"/>
            <w:vAlign w:val="center"/>
          </w:tcPr>
          <w:p>
            <w:pPr>
              <w:pStyle w:val="TableContents"/>
              <w:spacing w:lineRule="atLeast" w:line="240" w:before="0" w:after="0"/>
              <w:rPr/>
            </w:pPr>
            <w:r>
              <w:rPr/>
              <w:t> </w:t>
            </w:r>
          </w:p>
        </w:tc>
        <w:tc>
          <w:tcPr>
            <w:tcW w:w="744" w:type="dxa"/>
            <w:tcBorders/>
            <w:shd w:fill="CEE8F6" w:val="clear"/>
            <w:vAlign w:val="center"/>
          </w:tcPr>
          <w:p>
            <w:pPr>
              <w:pStyle w:val="TableContents"/>
              <w:spacing w:lineRule="atLeast" w:line="240" w:before="0" w:after="0"/>
              <w:jc w:val="right"/>
              <w:rPr>
                <w:rFonts w:ascii="ARIAL" w:hAnsi="ARIAL"/>
                <w:sz w:val="16"/>
              </w:rPr>
            </w:pPr>
            <w:r>
              <w:rPr>
                <w:rFonts w:ascii="ARIAL" w:hAnsi="ARIAL"/>
                <w:sz w:val="16"/>
              </w:rPr>
              <w:t>67,152</w:t>
            </w:r>
          </w:p>
        </w:tc>
        <w:tc>
          <w:tcPr>
            <w:tcW w:w="60" w:type="dxa"/>
            <w:tcBorders/>
            <w:shd w:fill="CEE8F6" w:val="clear"/>
            <w:vAlign w:val="center"/>
          </w:tcPr>
          <w:p>
            <w:pPr>
              <w:pStyle w:val="TableContents"/>
              <w:spacing w:lineRule="atLeast" w:line="240" w:before="0" w:after="0"/>
              <w:rPr/>
            </w:pPr>
            <w:r>
              <w:rPr/>
              <w:t> </w:t>
            </w:r>
          </w:p>
        </w:tc>
        <w:tc>
          <w:tcPr>
            <w:tcW w:w="60" w:type="dxa"/>
            <w:tcBorders/>
            <w:shd w:fill="CEE8F6" w:val="clear"/>
            <w:vAlign w:val="center"/>
          </w:tcPr>
          <w:p>
            <w:pPr>
              <w:pStyle w:val="TableContents"/>
              <w:spacing w:before="0" w:after="283"/>
              <w:rPr/>
            </w:pPr>
            <w:r>
              <w:rPr/>
              <w:t> </w:t>
            </w:r>
          </w:p>
        </w:tc>
        <w:tc>
          <w:tcPr>
            <w:tcW w:w="150" w:type="dxa"/>
            <w:tcBorders/>
            <w:shd w:fill="CEE8F6" w:val="clear"/>
            <w:vAlign w:val="center"/>
          </w:tcPr>
          <w:p>
            <w:pPr>
              <w:pStyle w:val="TableContents"/>
              <w:spacing w:lineRule="atLeast" w:line="240" w:before="0" w:after="0"/>
              <w:rPr/>
            </w:pPr>
            <w:r>
              <w:rPr/>
              <w:t> </w:t>
            </w:r>
          </w:p>
        </w:tc>
        <w:tc>
          <w:tcPr>
            <w:tcW w:w="1295" w:type="dxa"/>
            <w:tcBorders/>
            <w:shd w:fill="CEE8F6" w:val="clear"/>
            <w:vAlign w:val="center"/>
          </w:tcPr>
          <w:p>
            <w:pPr>
              <w:pStyle w:val="TableContents"/>
              <w:spacing w:lineRule="atLeast" w:line="240" w:before="0" w:after="0"/>
              <w:jc w:val="right"/>
              <w:rPr>
                <w:rFonts w:ascii="ARIAL" w:hAnsi="ARIAL"/>
                <w:sz w:val="16"/>
              </w:rPr>
            </w:pPr>
            <w:r>
              <w:rPr>
                <w:rFonts w:ascii="ARIAL" w:hAnsi="ARIAL"/>
                <w:sz w:val="16"/>
              </w:rPr>
              <w:t>25,000</w:t>
            </w:r>
          </w:p>
        </w:tc>
        <w:tc>
          <w:tcPr>
            <w:tcW w:w="60" w:type="dxa"/>
            <w:tcBorders/>
            <w:shd w:fill="CEE8F6" w:val="clear"/>
            <w:vAlign w:val="center"/>
          </w:tcPr>
          <w:p>
            <w:pPr>
              <w:pStyle w:val="TableContents"/>
              <w:spacing w:lineRule="atLeast" w:line="240" w:before="0" w:after="0"/>
              <w:rPr/>
            </w:pPr>
            <w:r>
              <w:rPr/>
              <w:t> </w:t>
            </w:r>
          </w:p>
        </w:tc>
        <w:tc>
          <w:tcPr>
            <w:tcW w:w="60" w:type="dxa"/>
            <w:tcBorders/>
            <w:shd w:fill="CEE8F6" w:val="clear"/>
            <w:vAlign w:val="center"/>
          </w:tcPr>
          <w:p>
            <w:pPr>
              <w:pStyle w:val="TableContents"/>
              <w:spacing w:before="0" w:after="283"/>
              <w:rPr/>
            </w:pPr>
            <w:r>
              <w:rPr/>
              <w:t> </w:t>
            </w:r>
          </w:p>
        </w:tc>
        <w:tc>
          <w:tcPr>
            <w:tcW w:w="285" w:type="dxa"/>
            <w:tcBorders/>
            <w:shd w:fill="CEE8F6" w:val="clear"/>
            <w:vAlign w:val="center"/>
          </w:tcPr>
          <w:p>
            <w:pPr>
              <w:pStyle w:val="TableContents"/>
              <w:spacing w:lineRule="atLeast" w:line="240" w:before="0" w:after="0"/>
              <w:rPr/>
            </w:pPr>
            <w:r>
              <w:rPr/>
              <w:t> </w:t>
            </w:r>
          </w:p>
        </w:tc>
        <w:tc>
          <w:tcPr>
            <w:tcW w:w="380" w:type="dxa"/>
            <w:tcBorders/>
            <w:shd w:fill="CEE8F6" w:val="clear"/>
            <w:vAlign w:val="center"/>
          </w:tcPr>
          <w:p>
            <w:pPr>
              <w:pStyle w:val="TableContents"/>
              <w:spacing w:lineRule="atLeast" w:line="240" w:before="0" w:after="0"/>
              <w:jc w:val="right"/>
              <w:rPr>
                <w:rFonts w:ascii="ARIAL" w:hAnsi="ARIAL"/>
                <w:sz w:val="16"/>
              </w:rPr>
            </w:pPr>
            <w:r>
              <w:rPr>
                <w:rFonts w:ascii="ARIAL" w:hAnsi="ARIAL"/>
                <w:sz w:val="16"/>
              </w:rPr>
              <w:t>-</w:t>
            </w:r>
          </w:p>
        </w:tc>
        <w:tc>
          <w:tcPr>
            <w:tcW w:w="60" w:type="dxa"/>
            <w:tcBorders/>
            <w:shd w:fill="CEE8F6" w:val="clear"/>
            <w:vAlign w:val="center"/>
          </w:tcPr>
          <w:p>
            <w:pPr>
              <w:pStyle w:val="TableContents"/>
              <w:spacing w:lineRule="atLeast" w:line="240" w:before="0" w:after="0"/>
              <w:rPr/>
            </w:pPr>
            <w:r>
              <w:rPr/>
              <w:t> </w:t>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lineRule="atLeast" w:line="240" w:before="0" w:after="0"/>
              <w:rPr/>
            </w:pPr>
            <w:r>
              <w:rPr/>
              <w:t> </w:t>
            </w:r>
          </w:p>
        </w:tc>
        <w:tc>
          <w:tcPr>
            <w:tcW w:w="830" w:type="dxa"/>
            <w:tcBorders/>
            <w:shd w:fill="CEE8F6" w:val="clear"/>
            <w:vAlign w:val="center"/>
          </w:tcPr>
          <w:p>
            <w:pPr>
              <w:pStyle w:val="TableContents"/>
              <w:spacing w:lineRule="atLeast" w:line="240" w:before="0" w:after="0"/>
              <w:jc w:val="right"/>
              <w:rPr>
                <w:rFonts w:ascii="ARIAL" w:hAnsi="ARIAL"/>
                <w:sz w:val="16"/>
              </w:rPr>
            </w:pPr>
            <w:r>
              <w:rPr>
                <w:rFonts w:ascii="ARIAL" w:hAnsi="ARIAL"/>
                <w:sz w:val="16"/>
              </w:rPr>
              <w:t>33,184,045</w:t>
            </w:r>
          </w:p>
        </w:tc>
        <w:tc>
          <w:tcPr>
            <w:tcW w:w="75" w:type="dxa"/>
            <w:tcBorders/>
            <w:shd w:fill="CEE8F6" w:val="clear"/>
            <w:vAlign w:val="center"/>
          </w:tcPr>
          <w:p>
            <w:pPr>
              <w:pStyle w:val="TableContents"/>
              <w:spacing w:lineRule="atLeast" w:line="240" w:before="0" w:after="0"/>
              <w:rPr/>
            </w:pPr>
            <w:r>
              <w:rPr/>
              <w:t> </w:t>
            </w:r>
          </w:p>
        </w:tc>
      </w:tr>
      <w:tr>
        <w:trPr/>
        <w:tc>
          <w:tcPr>
            <w:tcW w:w="84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71" w:type="dxa"/>
            <w:tcBorders/>
            <w:shd w:fill="auto" w:val="clear"/>
            <w:vAlign w:val="center"/>
          </w:tcPr>
          <w:p>
            <w:pPr>
              <w:pStyle w:val="TableContents"/>
              <w:spacing w:before="0" w:after="283"/>
              <w:rPr>
                <w:sz w:val="4"/>
                <w:szCs w:val="4"/>
              </w:rPr>
            </w:pPr>
            <w:r>
              <w:rPr>
                <w:sz w:val="4"/>
                <w:szCs w:val="4"/>
              </w:rPr>
            </w:r>
          </w:p>
        </w:tc>
        <w:tc>
          <w:tcPr>
            <w:tcW w:w="98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555"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pPr>
            <w:r>
              <w:rPr/>
              <w:t> </w:t>
            </w:r>
          </w:p>
        </w:tc>
        <w:tc>
          <w:tcPr>
            <w:tcW w:w="175" w:type="dxa"/>
            <w:tcBorders/>
            <w:shd w:fill="auto" w:val="clear"/>
            <w:vAlign w:val="center"/>
          </w:tcPr>
          <w:p>
            <w:pPr>
              <w:pStyle w:val="TableContents"/>
              <w:spacing w:before="0" w:after="283"/>
              <w:rPr>
                <w:sz w:val="4"/>
                <w:szCs w:val="4"/>
              </w:rPr>
            </w:pPr>
            <w:r>
              <w:rPr>
                <w:sz w:val="4"/>
                <w:szCs w:val="4"/>
              </w:rPr>
            </w:r>
          </w:p>
        </w:tc>
        <w:tc>
          <w:tcPr>
            <w:tcW w:w="216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sz w:val="4"/>
                <w:szCs w:val="4"/>
              </w:rPr>
            </w:pPr>
            <w:r>
              <w:rPr>
                <w:sz w:val="4"/>
                <w:szCs w:val="4"/>
              </w:rPr>
            </w:r>
          </w:p>
        </w:tc>
        <w:tc>
          <w:tcPr>
            <w:tcW w:w="108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86" w:type="dxa"/>
            <w:tcBorders/>
            <w:shd w:fill="auto" w:val="clear"/>
            <w:vAlign w:val="center"/>
          </w:tcPr>
          <w:p>
            <w:pPr>
              <w:pStyle w:val="TableContents"/>
              <w:spacing w:before="0" w:after="283"/>
              <w:rPr>
                <w:sz w:val="4"/>
                <w:szCs w:val="4"/>
              </w:rPr>
            </w:pPr>
            <w:r>
              <w:rPr>
                <w:sz w:val="4"/>
                <w:szCs w:val="4"/>
              </w:rPr>
            </w:r>
          </w:p>
        </w:tc>
        <w:tc>
          <w:tcPr>
            <w:tcW w:w="74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283"/>
              <w:rPr>
                <w:sz w:val="4"/>
                <w:szCs w:val="4"/>
              </w:rPr>
            </w:pPr>
            <w:r>
              <w:rPr>
                <w:sz w:val="4"/>
                <w:szCs w:val="4"/>
              </w:rPr>
            </w:r>
          </w:p>
        </w:tc>
        <w:tc>
          <w:tcPr>
            <w:tcW w:w="12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85"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845" w:type="dxa"/>
            <w:tcBorders/>
            <w:shd w:fill="auto" w:val="clear"/>
            <w:vAlign w:val="center"/>
          </w:tcPr>
          <w:p>
            <w:pPr>
              <w:pStyle w:val="TableContents"/>
              <w:spacing w:lineRule="atLeast" w:line="240" w:before="0" w:after="0"/>
              <w:rPr>
                <w:rFonts w:ascii="ARIAL" w:hAnsi="ARIAL"/>
                <w:b/>
                <w:sz w:val="16"/>
              </w:rPr>
            </w:pPr>
            <w:r>
              <w:rPr>
                <w:rFonts w:ascii="ARIAL" w:hAnsi="ARIAL"/>
                <w:b/>
                <w:sz w:val="16"/>
              </w:rPr>
              <w:t>Wayne T. Smith</w:t>
            </w:r>
          </w:p>
        </w:tc>
        <w:tc>
          <w:tcPr>
            <w:tcW w:w="60" w:type="dxa"/>
            <w:tcBorders/>
            <w:shd w:fill="auto" w:val="clear"/>
            <w:vAlign w:val="center"/>
          </w:tcPr>
          <w:p>
            <w:pPr>
              <w:pStyle w:val="TableContents"/>
              <w:spacing w:before="0" w:after="283"/>
              <w:rPr/>
            </w:pPr>
            <w:r>
              <w:rPr/>
              <w:t> </w:t>
            </w:r>
          </w:p>
        </w:tc>
        <w:tc>
          <w:tcPr>
            <w:tcW w:w="71" w:type="dxa"/>
            <w:tcBorders/>
            <w:shd w:fill="auto" w:val="clear"/>
            <w:vAlign w:val="center"/>
          </w:tcPr>
          <w:p>
            <w:pPr>
              <w:pStyle w:val="TableContents"/>
              <w:spacing w:before="0" w:after="283"/>
              <w:rPr>
                <w:sz w:val="4"/>
                <w:szCs w:val="4"/>
              </w:rPr>
            </w:pPr>
            <w:r>
              <w:rPr>
                <w:sz w:val="4"/>
                <w:szCs w:val="4"/>
              </w:rPr>
            </w:r>
          </w:p>
        </w:tc>
        <w:tc>
          <w:tcPr>
            <w:tcW w:w="98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555"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pPr>
            <w:r>
              <w:rPr/>
              <w:t> </w:t>
            </w:r>
          </w:p>
        </w:tc>
        <w:tc>
          <w:tcPr>
            <w:tcW w:w="175" w:type="dxa"/>
            <w:tcBorders/>
            <w:shd w:fill="auto" w:val="clear"/>
            <w:vAlign w:val="center"/>
          </w:tcPr>
          <w:p>
            <w:pPr>
              <w:pStyle w:val="TableContents"/>
              <w:spacing w:before="0" w:after="283"/>
              <w:rPr>
                <w:sz w:val="4"/>
                <w:szCs w:val="4"/>
              </w:rPr>
            </w:pPr>
            <w:r>
              <w:rPr>
                <w:sz w:val="4"/>
                <w:szCs w:val="4"/>
              </w:rPr>
            </w:r>
          </w:p>
        </w:tc>
        <w:tc>
          <w:tcPr>
            <w:tcW w:w="216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sz w:val="4"/>
                <w:szCs w:val="4"/>
              </w:rPr>
            </w:pPr>
            <w:r>
              <w:rPr>
                <w:sz w:val="4"/>
                <w:szCs w:val="4"/>
              </w:rPr>
            </w:r>
          </w:p>
        </w:tc>
        <w:tc>
          <w:tcPr>
            <w:tcW w:w="108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86" w:type="dxa"/>
            <w:tcBorders/>
            <w:shd w:fill="auto" w:val="clear"/>
            <w:vAlign w:val="center"/>
          </w:tcPr>
          <w:p>
            <w:pPr>
              <w:pStyle w:val="TableContents"/>
              <w:spacing w:before="0" w:after="283"/>
              <w:rPr>
                <w:sz w:val="4"/>
                <w:szCs w:val="4"/>
              </w:rPr>
            </w:pPr>
            <w:r>
              <w:rPr>
                <w:sz w:val="4"/>
                <w:szCs w:val="4"/>
              </w:rPr>
            </w:r>
          </w:p>
        </w:tc>
        <w:tc>
          <w:tcPr>
            <w:tcW w:w="74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283"/>
              <w:rPr>
                <w:sz w:val="4"/>
                <w:szCs w:val="4"/>
              </w:rPr>
            </w:pPr>
            <w:r>
              <w:rPr>
                <w:sz w:val="4"/>
                <w:szCs w:val="4"/>
              </w:rPr>
            </w:r>
          </w:p>
        </w:tc>
        <w:tc>
          <w:tcPr>
            <w:tcW w:w="12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85"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845" w:type="dxa"/>
            <w:tcBorders/>
            <w:shd w:fill="auto" w:val="clear"/>
            <w:vAlign w:val="center"/>
          </w:tcPr>
          <w:p>
            <w:pPr>
              <w:pStyle w:val="TableContents"/>
              <w:spacing w:lineRule="atLeast" w:line="240" w:before="0" w:after="0"/>
              <w:rPr>
                <w:rFonts w:ascii="ARIAL" w:hAnsi="ARIAL"/>
                <w:sz w:val="16"/>
              </w:rPr>
            </w:pPr>
            <w:r>
              <w:rPr>
                <w:rFonts w:ascii="ARIAL" w:hAnsi="ARIAL"/>
                <w:sz w:val="16"/>
              </w:rPr>
              <w:t>Voluntary termination</w:t>
            </w:r>
          </w:p>
        </w:tc>
        <w:tc>
          <w:tcPr>
            <w:tcW w:w="60" w:type="dxa"/>
            <w:tcBorders/>
            <w:shd w:fill="auto" w:val="clear"/>
            <w:vAlign w:val="center"/>
          </w:tcPr>
          <w:p>
            <w:pPr>
              <w:pStyle w:val="TableContents"/>
              <w:spacing w:before="0" w:after="283"/>
              <w:rPr/>
            </w:pPr>
            <w:r>
              <w:rPr/>
              <w:t> </w:t>
            </w:r>
          </w:p>
        </w:tc>
        <w:tc>
          <w:tcPr>
            <w:tcW w:w="71" w:type="dxa"/>
            <w:tcBorders/>
            <w:shd w:fill="auto" w:val="clear"/>
            <w:vAlign w:val="center"/>
          </w:tcPr>
          <w:p>
            <w:pPr>
              <w:pStyle w:val="TableContents"/>
              <w:spacing w:lineRule="atLeast" w:line="240" w:before="0" w:after="0"/>
              <w:rPr/>
            </w:pPr>
            <w:r>
              <w:rPr/>
              <w:t> </w:t>
            </w:r>
          </w:p>
        </w:tc>
        <w:tc>
          <w:tcPr>
            <w:tcW w:w="984"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555" w:type="dxa"/>
            <w:tcBorders/>
            <w:shd w:fill="auto" w:val="clear"/>
            <w:vAlign w:val="center"/>
          </w:tcPr>
          <w:p>
            <w:pPr>
              <w:pStyle w:val="TableContents"/>
              <w:spacing w:lineRule="atLeast" w:line="240" w:before="0" w:after="0"/>
              <w:rPr/>
            </w:pPr>
            <w:r>
              <w:rPr/>
              <w:t> </w:t>
            </w:r>
          </w:p>
        </w:tc>
        <w:tc>
          <w:tcPr>
            <w:tcW w:w="740"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w:t>
            </w:r>
          </w:p>
        </w:tc>
        <w:tc>
          <w:tcPr>
            <w:tcW w:w="175" w:type="dxa"/>
            <w:tcBorders/>
            <w:shd w:fill="auto" w:val="clear"/>
            <w:vAlign w:val="center"/>
          </w:tcPr>
          <w:p>
            <w:pPr>
              <w:pStyle w:val="TableContents"/>
              <w:spacing w:lineRule="atLeast" w:line="240" w:before="0" w:after="0"/>
              <w:rPr/>
            </w:pPr>
            <w:r>
              <w:rPr/>
              <w:t> </w:t>
            </w:r>
          </w:p>
        </w:tc>
        <w:tc>
          <w:tcPr>
            <w:tcW w:w="175" w:type="dxa"/>
            <w:tcBorders/>
            <w:shd w:fill="auto" w:val="clear"/>
            <w:vAlign w:val="center"/>
          </w:tcPr>
          <w:p>
            <w:pPr>
              <w:pStyle w:val="TableContents"/>
              <w:spacing w:before="0" w:after="283"/>
              <w:rPr/>
            </w:pPr>
            <w:r>
              <w:rPr/>
              <w:t> </w:t>
            </w:r>
          </w:p>
        </w:tc>
        <w:tc>
          <w:tcPr>
            <w:tcW w:w="175" w:type="dxa"/>
            <w:tcBorders/>
            <w:shd w:fill="auto" w:val="clear"/>
            <w:vAlign w:val="center"/>
          </w:tcPr>
          <w:p>
            <w:pPr>
              <w:pStyle w:val="TableContents"/>
              <w:spacing w:lineRule="atLeast" w:line="240" w:before="0" w:after="0"/>
              <w:rPr/>
            </w:pPr>
            <w:r>
              <w:rPr/>
              <w:t> </w:t>
            </w:r>
          </w:p>
        </w:tc>
        <w:tc>
          <w:tcPr>
            <w:tcW w:w="2162"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lineRule="atLeast" w:line="240" w:before="0" w:after="0"/>
              <w:rPr/>
            </w:pPr>
            <w:r>
              <w:rPr/>
              <w:t> </w:t>
            </w:r>
          </w:p>
        </w:tc>
        <w:tc>
          <w:tcPr>
            <w:tcW w:w="1082"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53,629,183</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86" w:type="dxa"/>
            <w:tcBorders/>
            <w:shd w:fill="auto" w:val="clear"/>
            <w:vAlign w:val="center"/>
          </w:tcPr>
          <w:p>
            <w:pPr>
              <w:pStyle w:val="TableContents"/>
              <w:spacing w:lineRule="atLeast" w:line="240" w:before="0" w:after="0"/>
              <w:rPr/>
            </w:pPr>
            <w:r>
              <w:rPr/>
              <w:t> </w:t>
            </w:r>
          </w:p>
        </w:tc>
        <w:tc>
          <w:tcPr>
            <w:tcW w:w="744"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lineRule="atLeast" w:line="240" w:before="0" w:after="0"/>
              <w:rPr/>
            </w:pPr>
            <w:r>
              <w:rPr/>
              <w:t> </w:t>
            </w:r>
          </w:p>
        </w:tc>
        <w:tc>
          <w:tcPr>
            <w:tcW w:w="1295"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285" w:type="dxa"/>
            <w:tcBorders/>
            <w:shd w:fill="auto" w:val="clear"/>
            <w:vAlign w:val="center"/>
          </w:tcPr>
          <w:p>
            <w:pPr>
              <w:pStyle w:val="TableContents"/>
              <w:spacing w:lineRule="atLeast" w:line="240" w:before="0" w:after="0"/>
              <w:rPr/>
            </w:pPr>
            <w:r>
              <w:rPr/>
              <w:t> </w:t>
            </w:r>
          </w:p>
        </w:tc>
        <w:tc>
          <w:tcPr>
            <w:tcW w:w="380"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lineRule="atLeast" w:line="240" w:before="0" w:after="0"/>
              <w:rPr/>
            </w:pPr>
            <w:r>
              <w:rPr/>
              <w:t> </w:t>
            </w:r>
          </w:p>
        </w:tc>
        <w:tc>
          <w:tcPr>
            <w:tcW w:w="830"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53,629,183</w:t>
            </w:r>
          </w:p>
        </w:tc>
        <w:tc>
          <w:tcPr>
            <w:tcW w:w="75" w:type="dxa"/>
            <w:tcBorders/>
            <w:shd w:fill="auto" w:val="clear"/>
            <w:vAlign w:val="center"/>
          </w:tcPr>
          <w:p>
            <w:pPr>
              <w:pStyle w:val="TableContents"/>
              <w:spacing w:lineRule="atLeast" w:line="240" w:before="0" w:after="0"/>
              <w:rPr/>
            </w:pPr>
            <w:r>
              <w:rPr/>
              <w:t> </w:t>
            </w:r>
          </w:p>
        </w:tc>
      </w:tr>
      <w:tr>
        <w:trPr/>
        <w:tc>
          <w:tcPr>
            <w:tcW w:w="845" w:type="dxa"/>
            <w:tcBorders/>
            <w:shd w:fill="auto" w:val="clear"/>
            <w:vAlign w:val="center"/>
          </w:tcPr>
          <w:p>
            <w:pPr>
              <w:pStyle w:val="TableContents"/>
              <w:spacing w:lineRule="atLeast" w:line="240" w:before="0" w:after="0"/>
              <w:rPr>
                <w:rFonts w:ascii="ARIAL" w:hAnsi="ARIAL"/>
                <w:sz w:val="16"/>
              </w:rPr>
            </w:pPr>
            <w:r>
              <w:rPr>
                <w:rFonts w:ascii="ARIAL" w:hAnsi="ARIAL"/>
                <w:sz w:val="16"/>
              </w:rPr>
              <w:t>Involuntary termination</w:t>
            </w:r>
          </w:p>
        </w:tc>
        <w:tc>
          <w:tcPr>
            <w:tcW w:w="60" w:type="dxa"/>
            <w:tcBorders/>
            <w:shd w:fill="auto" w:val="clear"/>
            <w:vAlign w:val="center"/>
          </w:tcPr>
          <w:p>
            <w:pPr>
              <w:pStyle w:val="TableContents"/>
              <w:spacing w:before="0" w:after="283"/>
              <w:rPr/>
            </w:pPr>
            <w:r>
              <w:rPr/>
              <w:t> </w:t>
            </w:r>
          </w:p>
        </w:tc>
        <w:tc>
          <w:tcPr>
            <w:tcW w:w="71" w:type="dxa"/>
            <w:tcBorders/>
            <w:shd w:fill="auto" w:val="clear"/>
            <w:vAlign w:val="center"/>
          </w:tcPr>
          <w:p>
            <w:pPr>
              <w:pStyle w:val="TableContents"/>
              <w:spacing w:lineRule="atLeast" w:line="240" w:before="0" w:after="0"/>
              <w:rPr/>
            </w:pPr>
            <w:r>
              <w:rPr/>
              <w:t> </w:t>
            </w:r>
          </w:p>
        </w:tc>
        <w:tc>
          <w:tcPr>
            <w:tcW w:w="984"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2,587,500</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555" w:type="dxa"/>
            <w:tcBorders/>
            <w:shd w:fill="auto" w:val="clear"/>
            <w:vAlign w:val="center"/>
          </w:tcPr>
          <w:p>
            <w:pPr>
              <w:pStyle w:val="TableContents"/>
              <w:spacing w:lineRule="atLeast" w:line="240" w:before="0" w:after="0"/>
              <w:rPr/>
            </w:pPr>
            <w:r>
              <w:rPr/>
              <w:t> </w:t>
            </w:r>
          </w:p>
        </w:tc>
        <w:tc>
          <w:tcPr>
            <w:tcW w:w="740"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w:t>
            </w:r>
          </w:p>
        </w:tc>
        <w:tc>
          <w:tcPr>
            <w:tcW w:w="175" w:type="dxa"/>
            <w:tcBorders/>
            <w:shd w:fill="auto" w:val="clear"/>
            <w:vAlign w:val="center"/>
          </w:tcPr>
          <w:p>
            <w:pPr>
              <w:pStyle w:val="TableContents"/>
              <w:spacing w:lineRule="atLeast" w:line="240" w:before="0" w:after="0"/>
              <w:rPr/>
            </w:pPr>
            <w:r>
              <w:rPr/>
              <w:t> </w:t>
            </w:r>
          </w:p>
        </w:tc>
        <w:tc>
          <w:tcPr>
            <w:tcW w:w="175" w:type="dxa"/>
            <w:tcBorders/>
            <w:shd w:fill="auto" w:val="clear"/>
            <w:vAlign w:val="center"/>
          </w:tcPr>
          <w:p>
            <w:pPr>
              <w:pStyle w:val="TableContents"/>
              <w:spacing w:before="0" w:after="283"/>
              <w:rPr/>
            </w:pPr>
            <w:r>
              <w:rPr/>
              <w:t> </w:t>
            </w:r>
          </w:p>
        </w:tc>
        <w:tc>
          <w:tcPr>
            <w:tcW w:w="175" w:type="dxa"/>
            <w:tcBorders/>
            <w:shd w:fill="auto" w:val="clear"/>
            <w:vAlign w:val="center"/>
          </w:tcPr>
          <w:p>
            <w:pPr>
              <w:pStyle w:val="TableContents"/>
              <w:spacing w:lineRule="atLeast" w:line="240" w:before="0" w:after="0"/>
              <w:rPr/>
            </w:pPr>
            <w:r>
              <w:rPr/>
              <w:t> </w:t>
            </w:r>
          </w:p>
        </w:tc>
        <w:tc>
          <w:tcPr>
            <w:tcW w:w="2162"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3,337,200</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lineRule="atLeast" w:line="240" w:before="0" w:after="0"/>
              <w:rPr/>
            </w:pPr>
            <w:r>
              <w:rPr/>
              <w:t> </w:t>
            </w:r>
          </w:p>
        </w:tc>
        <w:tc>
          <w:tcPr>
            <w:tcW w:w="1082"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53,629,183</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86" w:type="dxa"/>
            <w:tcBorders/>
            <w:shd w:fill="auto" w:val="clear"/>
            <w:vAlign w:val="center"/>
          </w:tcPr>
          <w:p>
            <w:pPr>
              <w:pStyle w:val="TableContents"/>
              <w:spacing w:lineRule="atLeast" w:line="240" w:before="0" w:after="0"/>
              <w:rPr/>
            </w:pPr>
            <w:r>
              <w:rPr/>
              <w:t> </w:t>
            </w:r>
          </w:p>
        </w:tc>
        <w:tc>
          <w:tcPr>
            <w:tcW w:w="744"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25,176</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lineRule="atLeast" w:line="240" w:before="0" w:after="0"/>
              <w:rPr/>
            </w:pPr>
            <w:r>
              <w:rPr/>
              <w:t> </w:t>
            </w:r>
          </w:p>
        </w:tc>
        <w:tc>
          <w:tcPr>
            <w:tcW w:w="1295"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285" w:type="dxa"/>
            <w:tcBorders/>
            <w:shd w:fill="auto" w:val="clear"/>
            <w:vAlign w:val="center"/>
          </w:tcPr>
          <w:p>
            <w:pPr>
              <w:pStyle w:val="TableContents"/>
              <w:spacing w:lineRule="atLeast" w:line="240" w:before="0" w:after="0"/>
              <w:rPr/>
            </w:pPr>
            <w:r>
              <w:rPr/>
              <w:t> </w:t>
            </w:r>
          </w:p>
        </w:tc>
        <w:tc>
          <w:tcPr>
            <w:tcW w:w="380"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lineRule="atLeast" w:line="240" w:before="0" w:after="0"/>
              <w:rPr/>
            </w:pPr>
            <w:r>
              <w:rPr/>
              <w:t> </w:t>
            </w:r>
          </w:p>
        </w:tc>
        <w:tc>
          <w:tcPr>
            <w:tcW w:w="830"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59,579,059</w:t>
            </w:r>
          </w:p>
        </w:tc>
        <w:tc>
          <w:tcPr>
            <w:tcW w:w="75" w:type="dxa"/>
            <w:tcBorders/>
            <w:shd w:fill="auto" w:val="clear"/>
            <w:vAlign w:val="center"/>
          </w:tcPr>
          <w:p>
            <w:pPr>
              <w:pStyle w:val="TableContents"/>
              <w:spacing w:lineRule="atLeast" w:line="240" w:before="0" w:after="0"/>
              <w:rPr/>
            </w:pPr>
            <w:r>
              <w:rPr/>
              <w:t> </w:t>
            </w:r>
          </w:p>
        </w:tc>
      </w:tr>
      <w:tr>
        <w:trPr/>
        <w:tc>
          <w:tcPr>
            <w:tcW w:w="845" w:type="dxa"/>
            <w:tcBorders/>
            <w:shd w:fill="auto" w:val="clear"/>
            <w:vAlign w:val="center"/>
          </w:tcPr>
          <w:p>
            <w:pPr>
              <w:pStyle w:val="TableContents"/>
              <w:spacing w:lineRule="atLeast" w:line="240" w:before="0" w:after="0"/>
              <w:rPr>
                <w:rFonts w:ascii="ARIAL" w:hAnsi="ARIAL"/>
                <w:sz w:val="16"/>
              </w:rPr>
            </w:pPr>
            <w:r>
              <w:rPr>
                <w:rFonts w:ascii="ARIAL" w:hAnsi="ARIAL"/>
                <w:sz w:val="16"/>
              </w:rPr>
              <w:t>Change in control of the company (1)</w:t>
            </w:r>
          </w:p>
        </w:tc>
        <w:tc>
          <w:tcPr>
            <w:tcW w:w="60" w:type="dxa"/>
            <w:tcBorders/>
            <w:shd w:fill="auto" w:val="clear"/>
            <w:vAlign w:val="center"/>
          </w:tcPr>
          <w:p>
            <w:pPr>
              <w:pStyle w:val="TableContents"/>
              <w:spacing w:before="0" w:after="283"/>
              <w:rPr/>
            </w:pPr>
            <w:r>
              <w:rPr/>
              <w:t> </w:t>
            </w:r>
          </w:p>
        </w:tc>
        <w:tc>
          <w:tcPr>
            <w:tcW w:w="71" w:type="dxa"/>
            <w:tcBorders/>
            <w:shd w:fill="auto" w:val="clear"/>
            <w:vAlign w:val="center"/>
          </w:tcPr>
          <w:p>
            <w:pPr>
              <w:pStyle w:val="TableContents"/>
              <w:spacing w:lineRule="atLeast" w:line="240" w:before="0" w:after="0"/>
              <w:rPr/>
            </w:pPr>
            <w:r>
              <w:rPr/>
              <w:t> </w:t>
            </w:r>
          </w:p>
        </w:tc>
        <w:tc>
          <w:tcPr>
            <w:tcW w:w="984"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16,836,000</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555" w:type="dxa"/>
            <w:tcBorders/>
            <w:shd w:fill="auto" w:val="clear"/>
            <w:vAlign w:val="center"/>
          </w:tcPr>
          <w:p>
            <w:pPr>
              <w:pStyle w:val="TableContents"/>
              <w:spacing w:lineRule="atLeast" w:line="240" w:before="0" w:after="0"/>
              <w:rPr/>
            </w:pPr>
            <w:r>
              <w:rPr/>
              <w:t> </w:t>
            </w:r>
          </w:p>
        </w:tc>
        <w:tc>
          <w:tcPr>
            <w:tcW w:w="740"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w:t>
            </w:r>
          </w:p>
        </w:tc>
        <w:tc>
          <w:tcPr>
            <w:tcW w:w="175" w:type="dxa"/>
            <w:tcBorders/>
            <w:shd w:fill="auto" w:val="clear"/>
            <w:vAlign w:val="center"/>
          </w:tcPr>
          <w:p>
            <w:pPr>
              <w:pStyle w:val="TableContents"/>
              <w:spacing w:lineRule="atLeast" w:line="240" w:before="0" w:after="0"/>
              <w:rPr/>
            </w:pPr>
            <w:r>
              <w:rPr/>
              <w:t> </w:t>
            </w:r>
          </w:p>
        </w:tc>
        <w:tc>
          <w:tcPr>
            <w:tcW w:w="175" w:type="dxa"/>
            <w:tcBorders/>
            <w:shd w:fill="auto" w:val="clear"/>
            <w:vAlign w:val="center"/>
          </w:tcPr>
          <w:p>
            <w:pPr>
              <w:pStyle w:val="TableContents"/>
              <w:spacing w:before="0" w:after="283"/>
              <w:rPr/>
            </w:pPr>
            <w:r>
              <w:rPr/>
              <w:t> </w:t>
            </w:r>
          </w:p>
        </w:tc>
        <w:tc>
          <w:tcPr>
            <w:tcW w:w="175" w:type="dxa"/>
            <w:tcBorders/>
            <w:shd w:fill="auto" w:val="clear"/>
            <w:vAlign w:val="center"/>
          </w:tcPr>
          <w:p>
            <w:pPr>
              <w:pStyle w:val="TableContents"/>
              <w:spacing w:lineRule="atLeast" w:line="240" w:before="0" w:after="0"/>
              <w:rPr/>
            </w:pPr>
            <w:r>
              <w:rPr/>
              <w:t> </w:t>
            </w:r>
          </w:p>
        </w:tc>
        <w:tc>
          <w:tcPr>
            <w:tcW w:w="2162"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3,337,200</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lineRule="atLeast" w:line="240" w:before="0" w:after="0"/>
              <w:rPr/>
            </w:pPr>
            <w:r>
              <w:rPr/>
              <w:t> </w:t>
            </w:r>
          </w:p>
        </w:tc>
        <w:tc>
          <w:tcPr>
            <w:tcW w:w="1082"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53,629,183</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86" w:type="dxa"/>
            <w:tcBorders/>
            <w:shd w:fill="auto" w:val="clear"/>
            <w:vAlign w:val="center"/>
          </w:tcPr>
          <w:p>
            <w:pPr>
              <w:pStyle w:val="TableContents"/>
              <w:spacing w:lineRule="atLeast" w:line="240" w:before="0" w:after="0"/>
              <w:rPr/>
            </w:pPr>
            <w:r>
              <w:rPr/>
              <w:t> </w:t>
            </w:r>
          </w:p>
        </w:tc>
        <w:tc>
          <w:tcPr>
            <w:tcW w:w="744"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37,763</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lineRule="atLeast" w:line="240" w:before="0" w:after="0"/>
              <w:rPr/>
            </w:pPr>
            <w:r>
              <w:rPr/>
              <w:t> </w:t>
            </w:r>
          </w:p>
        </w:tc>
        <w:tc>
          <w:tcPr>
            <w:tcW w:w="1295"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25,000</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285" w:type="dxa"/>
            <w:tcBorders/>
            <w:shd w:fill="auto" w:val="clear"/>
            <w:vAlign w:val="center"/>
          </w:tcPr>
          <w:p>
            <w:pPr>
              <w:pStyle w:val="TableContents"/>
              <w:spacing w:lineRule="atLeast" w:line="240" w:before="0" w:after="0"/>
              <w:rPr/>
            </w:pPr>
            <w:r>
              <w:rPr/>
              <w:t> </w:t>
            </w:r>
          </w:p>
        </w:tc>
        <w:tc>
          <w:tcPr>
            <w:tcW w:w="380"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lineRule="atLeast" w:line="240" w:before="0" w:after="0"/>
              <w:rPr/>
            </w:pPr>
            <w:r>
              <w:rPr/>
              <w:t> </w:t>
            </w:r>
          </w:p>
        </w:tc>
        <w:tc>
          <w:tcPr>
            <w:tcW w:w="830"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73,865,146</w:t>
            </w:r>
          </w:p>
        </w:tc>
        <w:tc>
          <w:tcPr>
            <w:tcW w:w="75" w:type="dxa"/>
            <w:tcBorders/>
            <w:shd w:fill="auto" w:val="clear"/>
            <w:vAlign w:val="center"/>
          </w:tcPr>
          <w:p>
            <w:pPr>
              <w:pStyle w:val="TableContents"/>
              <w:spacing w:lineRule="atLeast" w:line="240" w:before="0" w:after="0"/>
              <w:rPr/>
            </w:pPr>
            <w:r>
              <w:rPr/>
              <w:t> </w:t>
            </w:r>
          </w:p>
        </w:tc>
      </w:tr>
      <w:tr>
        <w:trPr/>
        <w:tc>
          <w:tcPr>
            <w:tcW w:w="84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71" w:type="dxa"/>
            <w:tcBorders/>
            <w:shd w:fill="auto" w:val="clear"/>
            <w:vAlign w:val="center"/>
          </w:tcPr>
          <w:p>
            <w:pPr>
              <w:pStyle w:val="TableContents"/>
              <w:spacing w:before="0" w:after="283"/>
              <w:rPr>
                <w:sz w:val="4"/>
                <w:szCs w:val="4"/>
              </w:rPr>
            </w:pPr>
            <w:r>
              <w:rPr>
                <w:sz w:val="4"/>
                <w:szCs w:val="4"/>
              </w:rPr>
            </w:r>
          </w:p>
        </w:tc>
        <w:tc>
          <w:tcPr>
            <w:tcW w:w="98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555"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pPr>
            <w:r>
              <w:rPr/>
              <w:t> </w:t>
            </w:r>
          </w:p>
        </w:tc>
        <w:tc>
          <w:tcPr>
            <w:tcW w:w="175" w:type="dxa"/>
            <w:tcBorders/>
            <w:shd w:fill="auto" w:val="clear"/>
            <w:vAlign w:val="center"/>
          </w:tcPr>
          <w:p>
            <w:pPr>
              <w:pStyle w:val="TableContents"/>
              <w:spacing w:before="0" w:after="283"/>
              <w:rPr>
                <w:sz w:val="4"/>
                <w:szCs w:val="4"/>
              </w:rPr>
            </w:pPr>
            <w:r>
              <w:rPr>
                <w:sz w:val="4"/>
                <w:szCs w:val="4"/>
              </w:rPr>
            </w:r>
          </w:p>
        </w:tc>
        <w:tc>
          <w:tcPr>
            <w:tcW w:w="216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sz w:val="4"/>
                <w:szCs w:val="4"/>
              </w:rPr>
            </w:pPr>
            <w:r>
              <w:rPr>
                <w:sz w:val="4"/>
                <w:szCs w:val="4"/>
              </w:rPr>
            </w:r>
          </w:p>
        </w:tc>
        <w:tc>
          <w:tcPr>
            <w:tcW w:w="108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86" w:type="dxa"/>
            <w:tcBorders/>
            <w:shd w:fill="auto" w:val="clear"/>
            <w:vAlign w:val="center"/>
          </w:tcPr>
          <w:p>
            <w:pPr>
              <w:pStyle w:val="TableContents"/>
              <w:spacing w:before="0" w:after="283"/>
              <w:rPr>
                <w:sz w:val="4"/>
                <w:szCs w:val="4"/>
              </w:rPr>
            </w:pPr>
            <w:r>
              <w:rPr>
                <w:sz w:val="4"/>
                <w:szCs w:val="4"/>
              </w:rPr>
            </w:r>
          </w:p>
        </w:tc>
        <w:tc>
          <w:tcPr>
            <w:tcW w:w="74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283"/>
              <w:rPr>
                <w:sz w:val="4"/>
                <w:szCs w:val="4"/>
              </w:rPr>
            </w:pPr>
            <w:r>
              <w:rPr>
                <w:sz w:val="4"/>
                <w:szCs w:val="4"/>
              </w:rPr>
            </w:r>
          </w:p>
        </w:tc>
        <w:tc>
          <w:tcPr>
            <w:tcW w:w="12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85"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845" w:type="dxa"/>
            <w:tcBorders/>
            <w:shd w:fill="CEE8F6" w:val="clear"/>
            <w:vAlign w:val="center"/>
          </w:tcPr>
          <w:p>
            <w:pPr>
              <w:pStyle w:val="TableContents"/>
              <w:spacing w:lineRule="atLeast" w:line="240" w:before="0" w:after="0"/>
              <w:rPr>
                <w:rFonts w:ascii="ARIAL" w:hAnsi="ARIAL"/>
                <w:b/>
                <w:sz w:val="16"/>
              </w:rPr>
            </w:pPr>
            <w:r>
              <w:rPr>
                <w:rFonts w:ascii="ARIAL" w:hAnsi="ARIAL"/>
                <w:b/>
                <w:sz w:val="16"/>
              </w:rPr>
              <w:t>Kevin J. Hammons</w:t>
            </w:r>
          </w:p>
        </w:tc>
        <w:tc>
          <w:tcPr>
            <w:tcW w:w="60" w:type="dxa"/>
            <w:tcBorders/>
            <w:shd w:fill="CEE8F6" w:val="clear"/>
            <w:vAlign w:val="center"/>
          </w:tcPr>
          <w:p>
            <w:pPr>
              <w:pStyle w:val="TableContents"/>
              <w:spacing w:before="0" w:after="283"/>
              <w:rPr/>
            </w:pPr>
            <w:r>
              <w:rPr/>
              <w:t> </w:t>
            </w:r>
          </w:p>
        </w:tc>
        <w:tc>
          <w:tcPr>
            <w:tcW w:w="71" w:type="dxa"/>
            <w:tcBorders/>
            <w:shd w:fill="CEE8F6" w:val="clear"/>
            <w:vAlign w:val="center"/>
          </w:tcPr>
          <w:p>
            <w:pPr>
              <w:pStyle w:val="TableContents"/>
              <w:spacing w:before="0" w:after="283"/>
              <w:rPr>
                <w:sz w:val="4"/>
                <w:szCs w:val="4"/>
              </w:rPr>
            </w:pPr>
            <w:r>
              <w:rPr>
                <w:sz w:val="4"/>
                <w:szCs w:val="4"/>
              </w:rPr>
            </w:r>
          </w:p>
        </w:tc>
        <w:tc>
          <w:tcPr>
            <w:tcW w:w="984"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pPr>
            <w:r>
              <w:rPr/>
              <w:t> </w:t>
            </w:r>
          </w:p>
        </w:tc>
        <w:tc>
          <w:tcPr>
            <w:tcW w:w="555" w:type="dxa"/>
            <w:tcBorders/>
            <w:shd w:fill="CEE8F6" w:val="clear"/>
            <w:vAlign w:val="center"/>
          </w:tcPr>
          <w:p>
            <w:pPr>
              <w:pStyle w:val="TableContents"/>
              <w:spacing w:before="0" w:after="283"/>
              <w:rPr>
                <w:sz w:val="4"/>
                <w:szCs w:val="4"/>
              </w:rPr>
            </w:pPr>
            <w:r>
              <w:rPr>
                <w:sz w:val="4"/>
                <w:szCs w:val="4"/>
              </w:rPr>
            </w:r>
          </w:p>
        </w:tc>
        <w:tc>
          <w:tcPr>
            <w:tcW w:w="740" w:type="dxa"/>
            <w:tcBorders/>
            <w:shd w:fill="CEE8F6" w:val="clear"/>
            <w:vAlign w:val="center"/>
          </w:tcPr>
          <w:p>
            <w:pPr>
              <w:pStyle w:val="TableContents"/>
              <w:spacing w:before="0" w:after="283"/>
              <w:rPr>
                <w:sz w:val="4"/>
                <w:szCs w:val="4"/>
              </w:rPr>
            </w:pPr>
            <w:r>
              <w:rPr>
                <w:sz w:val="4"/>
                <w:szCs w:val="4"/>
              </w:rPr>
            </w:r>
          </w:p>
        </w:tc>
        <w:tc>
          <w:tcPr>
            <w:tcW w:w="175" w:type="dxa"/>
            <w:tcBorders/>
            <w:shd w:fill="CEE8F6" w:val="clear"/>
            <w:vAlign w:val="center"/>
          </w:tcPr>
          <w:p>
            <w:pPr>
              <w:pStyle w:val="TableContents"/>
              <w:spacing w:before="0" w:after="283"/>
              <w:rPr>
                <w:sz w:val="4"/>
                <w:szCs w:val="4"/>
              </w:rPr>
            </w:pPr>
            <w:r>
              <w:rPr>
                <w:sz w:val="4"/>
                <w:szCs w:val="4"/>
              </w:rPr>
            </w:r>
          </w:p>
        </w:tc>
        <w:tc>
          <w:tcPr>
            <w:tcW w:w="175" w:type="dxa"/>
            <w:tcBorders/>
            <w:shd w:fill="CEE8F6" w:val="clear"/>
            <w:vAlign w:val="center"/>
          </w:tcPr>
          <w:p>
            <w:pPr>
              <w:pStyle w:val="TableContents"/>
              <w:spacing w:before="0" w:after="283"/>
              <w:rPr/>
            </w:pPr>
            <w:r>
              <w:rPr/>
              <w:t> </w:t>
            </w:r>
          </w:p>
        </w:tc>
        <w:tc>
          <w:tcPr>
            <w:tcW w:w="175" w:type="dxa"/>
            <w:tcBorders/>
            <w:shd w:fill="CEE8F6" w:val="clear"/>
            <w:vAlign w:val="center"/>
          </w:tcPr>
          <w:p>
            <w:pPr>
              <w:pStyle w:val="TableContents"/>
              <w:spacing w:before="0" w:after="283"/>
              <w:rPr>
                <w:sz w:val="4"/>
                <w:szCs w:val="4"/>
              </w:rPr>
            </w:pPr>
            <w:r>
              <w:rPr>
                <w:sz w:val="4"/>
                <w:szCs w:val="4"/>
              </w:rPr>
            </w:r>
          </w:p>
        </w:tc>
        <w:tc>
          <w:tcPr>
            <w:tcW w:w="2162"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pPr>
            <w:r>
              <w:rPr/>
              <w:t> </w:t>
            </w:r>
          </w:p>
        </w:tc>
        <w:tc>
          <w:tcPr>
            <w:tcW w:w="78" w:type="dxa"/>
            <w:tcBorders/>
            <w:shd w:fill="CEE8F6" w:val="clear"/>
            <w:vAlign w:val="center"/>
          </w:tcPr>
          <w:p>
            <w:pPr>
              <w:pStyle w:val="TableContents"/>
              <w:spacing w:before="0" w:after="283"/>
              <w:rPr>
                <w:sz w:val="4"/>
                <w:szCs w:val="4"/>
              </w:rPr>
            </w:pPr>
            <w:r>
              <w:rPr>
                <w:sz w:val="4"/>
                <w:szCs w:val="4"/>
              </w:rPr>
            </w:r>
          </w:p>
        </w:tc>
        <w:tc>
          <w:tcPr>
            <w:tcW w:w="1082"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pPr>
            <w:r>
              <w:rPr/>
              <w:t> </w:t>
            </w:r>
          </w:p>
        </w:tc>
        <w:tc>
          <w:tcPr>
            <w:tcW w:w="86" w:type="dxa"/>
            <w:tcBorders/>
            <w:shd w:fill="CEE8F6" w:val="clear"/>
            <w:vAlign w:val="center"/>
          </w:tcPr>
          <w:p>
            <w:pPr>
              <w:pStyle w:val="TableContents"/>
              <w:spacing w:before="0" w:after="283"/>
              <w:rPr>
                <w:sz w:val="4"/>
                <w:szCs w:val="4"/>
              </w:rPr>
            </w:pPr>
            <w:r>
              <w:rPr>
                <w:sz w:val="4"/>
                <w:szCs w:val="4"/>
              </w:rPr>
            </w:r>
          </w:p>
        </w:tc>
        <w:tc>
          <w:tcPr>
            <w:tcW w:w="744"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pPr>
            <w:r>
              <w:rPr/>
              <w:t> </w:t>
            </w:r>
          </w:p>
        </w:tc>
        <w:tc>
          <w:tcPr>
            <w:tcW w:w="150" w:type="dxa"/>
            <w:tcBorders/>
            <w:shd w:fill="CEE8F6" w:val="clear"/>
            <w:vAlign w:val="center"/>
          </w:tcPr>
          <w:p>
            <w:pPr>
              <w:pStyle w:val="TableContents"/>
              <w:spacing w:before="0" w:after="283"/>
              <w:rPr>
                <w:sz w:val="4"/>
                <w:szCs w:val="4"/>
              </w:rPr>
            </w:pPr>
            <w:r>
              <w:rPr>
                <w:sz w:val="4"/>
                <w:szCs w:val="4"/>
              </w:rPr>
            </w:r>
          </w:p>
        </w:tc>
        <w:tc>
          <w:tcPr>
            <w:tcW w:w="1295"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pPr>
            <w:r>
              <w:rPr/>
              <w:t> </w:t>
            </w:r>
          </w:p>
        </w:tc>
        <w:tc>
          <w:tcPr>
            <w:tcW w:w="285" w:type="dxa"/>
            <w:tcBorders/>
            <w:shd w:fill="CEE8F6" w:val="clear"/>
            <w:vAlign w:val="center"/>
          </w:tcPr>
          <w:p>
            <w:pPr>
              <w:pStyle w:val="TableContents"/>
              <w:spacing w:before="0" w:after="283"/>
              <w:rPr>
                <w:sz w:val="4"/>
                <w:szCs w:val="4"/>
              </w:rPr>
            </w:pPr>
            <w:r>
              <w:rPr>
                <w:sz w:val="4"/>
                <w:szCs w:val="4"/>
              </w:rPr>
            </w:r>
          </w:p>
        </w:tc>
        <w:tc>
          <w:tcPr>
            <w:tcW w:w="38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before="0" w:after="283"/>
              <w:rPr>
                <w:sz w:val="4"/>
                <w:szCs w:val="4"/>
              </w:rPr>
            </w:pPr>
            <w:r>
              <w:rPr>
                <w:sz w:val="4"/>
                <w:szCs w:val="4"/>
              </w:rPr>
            </w:r>
          </w:p>
        </w:tc>
        <w:tc>
          <w:tcPr>
            <w:tcW w:w="830" w:type="dxa"/>
            <w:tcBorders/>
            <w:shd w:fill="CEE8F6" w:val="clear"/>
            <w:vAlign w:val="center"/>
          </w:tcPr>
          <w:p>
            <w:pPr>
              <w:pStyle w:val="TableContents"/>
              <w:spacing w:before="0" w:after="283"/>
              <w:rPr>
                <w:sz w:val="4"/>
                <w:szCs w:val="4"/>
              </w:rPr>
            </w:pPr>
            <w:r>
              <w:rPr>
                <w:sz w:val="4"/>
                <w:szCs w:val="4"/>
              </w:rPr>
            </w:r>
          </w:p>
        </w:tc>
        <w:tc>
          <w:tcPr>
            <w:tcW w:w="75" w:type="dxa"/>
            <w:tcBorders/>
            <w:shd w:fill="CEE8F6" w:val="clear"/>
            <w:vAlign w:val="center"/>
          </w:tcPr>
          <w:p>
            <w:pPr>
              <w:pStyle w:val="TableContents"/>
              <w:spacing w:before="0" w:after="283"/>
              <w:rPr>
                <w:sz w:val="4"/>
                <w:szCs w:val="4"/>
              </w:rPr>
            </w:pPr>
            <w:r>
              <w:rPr>
                <w:sz w:val="4"/>
                <w:szCs w:val="4"/>
              </w:rPr>
            </w:r>
          </w:p>
        </w:tc>
      </w:tr>
      <w:tr>
        <w:trPr/>
        <w:tc>
          <w:tcPr>
            <w:tcW w:w="845" w:type="dxa"/>
            <w:tcBorders/>
            <w:shd w:fill="CEE8F6" w:val="clear"/>
            <w:vAlign w:val="center"/>
          </w:tcPr>
          <w:p>
            <w:pPr>
              <w:pStyle w:val="TableContents"/>
              <w:spacing w:lineRule="atLeast" w:line="240" w:before="0" w:after="0"/>
              <w:rPr>
                <w:rFonts w:ascii="ARIAL" w:hAnsi="ARIAL"/>
                <w:sz w:val="16"/>
              </w:rPr>
            </w:pPr>
            <w:r>
              <w:rPr>
                <w:rFonts w:ascii="ARIAL" w:hAnsi="ARIAL"/>
                <w:sz w:val="16"/>
              </w:rPr>
              <w:t>Voluntary termination</w:t>
            </w:r>
          </w:p>
        </w:tc>
        <w:tc>
          <w:tcPr>
            <w:tcW w:w="60" w:type="dxa"/>
            <w:tcBorders/>
            <w:shd w:fill="CEE8F6" w:val="clear"/>
            <w:vAlign w:val="center"/>
          </w:tcPr>
          <w:p>
            <w:pPr>
              <w:pStyle w:val="TableContents"/>
              <w:spacing w:before="0" w:after="283"/>
              <w:rPr/>
            </w:pPr>
            <w:r>
              <w:rPr/>
              <w:t> </w:t>
            </w:r>
          </w:p>
        </w:tc>
        <w:tc>
          <w:tcPr>
            <w:tcW w:w="71" w:type="dxa"/>
            <w:tcBorders/>
            <w:shd w:fill="CEE8F6" w:val="clear"/>
            <w:vAlign w:val="center"/>
          </w:tcPr>
          <w:p>
            <w:pPr>
              <w:pStyle w:val="TableContents"/>
              <w:spacing w:lineRule="atLeast" w:line="240" w:before="0" w:after="0"/>
              <w:rPr/>
            </w:pPr>
            <w:r>
              <w:rPr/>
              <w:t> </w:t>
            </w:r>
          </w:p>
        </w:tc>
        <w:tc>
          <w:tcPr>
            <w:tcW w:w="984" w:type="dxa"/>
            <w:tcBorders/>
            <w:shd w:fill="CEE8F6" w:val="clear"/>
            <w:vAlign w:val="center"/>
          </w:tcPr>
          <w:p>
            <w:pPr>
              <w:pStyle w:val="TableContents"/>
              <w:spacing w:lineRule="atLeast" w:line="240" w:before="0" w:after="0"/>
              <w:jc w:val="right"/>
              <w:rPr>
                <w:rFonts w:ascii="ARIAL" w:hAnsi="ARIAL"/>
                <w:sz w:val="16"/>
              </w:rPr>
            </w:pPr>
            <w:r>
              <w:rPr>
                <w:rFonts w:ascii="ARIAL" w:hAnsi="ARIAL"/>
                <w:sz w:val="16"/>
              </w:rPr>
              <w:t>-</w:t>
            </w:r>
          </w:p>
        </w:tc>
        <w:tc>
          <w:tcPr>
            <w:tcW w:w="60" w:type="dxa"/>
            <w:tcBorders/>
            <w:shd w:fill="CEE8F6" w:val="clear"/>
            <w:vAlign w:val="center"/>
          </w:tcPr>
          <w:p>
            <w:pPr>
              <w:pStyle w:val="TableContents"/>
              <w:spacing w:lineRule="atLeast" w:line="240" w:before="0" w:after="0"/>
              <w:rPr/>
            </w:pPr>
            <w:r>
              <w:rPr/>
              <w:t> </w:t>
            </w:r>
          </w:p>
        </w:tc>
        <w:tc>
          <w:tcPr>
            <w:tcW w:w="60" w:type="dxa"/>
            <w:tcBorders/>
            <w:shd w:fill="CEE8F6" w:val="clear"/>
            <w:vAlign w:val="center"/>
          </w:tcPr>
          <w:p>
            <w:pPr>
              <w:pStyle w:val="TableContents"/>
              <w:spacing w:before="0" w:after="283"/>
              <w:rPr/>
            </w:pPr>
            <w:r>
              <w:rPr/>
              <w:t> </w:t>
            </w:r>
          </w:p>
        </w:tc>
        <w:tc>
          <w:tcPr>
            <w:tcW w:w="555" w:type="dxa"/>
            <w:tcBorders/>
            <w:shd w:fill="CEE8F6" w:val="clear"/>
            <w:vAlign w:val="center"/>
          </w:tcPr>
          <w:p>
            <w:pPr>
              <w:pStyle w:val="TableContents"/>
              <w:spacing w:lineRule="atLeast" w:line="240" w:before="0" w:after="0"/>
              <w:rPr/>
            </w:pPr>
            <w:r>
              <w:rPr/>
              <w:t> </w:t>
            </w:r>
          </w:p>
        </w:tc>
        <w:tc>
          <w:tcPr>
            <w:tcW w:w="740" w:type="dxa"/>
            <w:tcBorders/>
            <w:shd w:fill="CEE8F6" w:val="clear"/>
            <w:vAlign w:val="center"/>
          </w:tcPr>
          <w:p>
            <w:pPr>
              <w:pStyle w:val="TableContents"/>
              <w:spacing w:lineRule="atLeast" w:line="240" w:before="0" w:after="0"/>
              <w:jc w:val="right"/>
              <w:rPr>
                <w:rFonts w:ascii="ARIAL" w:hAnsi="ARIAL"/>
                <w:sz w:val="16"/>
              </w:rPr>
            </w:pPr>
            <w:r>
              <w:rPr>
                <w:rFonts w:ascii="ARIAL" w:hAnsi="ARIAL"/>
                <w:sz w:val="16"/>
              </w:rPr>
              <w:t>-</w:t>
            </w:r>
          </w:p>
        </w:tc>
        <w:tc>
          <w:tcPr>
            <w:tcW w:w="175" w:type="dxa"/>
            <w:tcBorders/>
            <w:shd w:fill="CEE8F6" w:val="clear"/>
            <w:vAlign w:val="center"/>
          </w:tcPr>
          <w:p>
            <w:pPr>
              <w:pStyle w:val="TableContents"/>
              <w:spacing w:lineRule="atLeast" w:line="240" w:before="0" w:after="0"/>
              <w:rPr/>
            </w:pPr>
            <w:r>
              <w:rPr/>
              <w:t> </w:t>
            </w:r>
          </w:p>
        </w:tc>
        <w:tc>
          <w:tcPr>
            <w:tcW w:w="175" w:type="dxa"/>
            <w:tcBorders/>
            <w:shd w:fill="CEE8F6" w:val="clear"/>
            <w:vAlign w:val="center"/>
          </w:tcPr>
          <w:p>
            <w:pPr>
              <w:pStyle w:val="TableContents"/>
              <w:spacing w:before="0" w:after="283"/>
              <w:rPr/>
            </w:pPr>
            <w:r>
              <w:rPr/>
              <w:t> </w:t>
            </w:r>
          </w:p>
        </w:tc>
        <w:tc>
          <w:tcPr>
            <w:tcW w:w="175" w:type="dxa"/>
            <w:tcBorders/>
            <w:shd w:fill="CEE8F6" w:val="clear"/>
            <w:vAlign w:val="center"/>
          </w:tcPr>
          <w:p>
            <w:pPr>
              <w:pStyle w:val="TableContents"/>
              <w:spacing w:lineRule="atLeast" w:line="240" w:before="0" w:after="0"/>
              <w:rPr/>
            </w:pPr>
            <w:r>
              <w:rPr/>
              <w:t> </w:t>
            </w:r>
          </w:p>
        </w:tc>
        <w:tc>
          <w:tcPr>
            <w:tcW w:w="2162" w:type="dxa"/>
            <w:tcBorders/>
            <w:shd w:fill="CEE8F6" w:val="clear"/>
            <w:vAlign w:val="center"/>
          </w:tcPr>
          <w:p>
            <w:pPr>
              <w:pStyle w:val="TableContents"/>
              <w:spacing w:lineRule="atLeast" w:line="240" w:before="0" w:after="0"/>
              <w:jc w:val="right"/>
              <w:rPr>
                <w:rFonts w:ascii="ARIAL" w:hAnsi="ARIAL"/>
                <w:sz w:val="16"/>
              </w:rPr>
            </w:pPr>
            <w:r>
              <w:rPr>
                <w:rFonts w:ascii="ARIAL" w:hAnsi="ARIAL"/>
                <w:sz w:val="16"/>
              </w:rPr>
              <w:t>-</w:t>
            </w:r>
          </w:p>
        </w:tc>
        <w:tc>
          <w:tcPr>
            <w:tcW w:w="60" w:type="dxa"/>
            <w:tcBorders/>
            <w:shd w:fill="CEE8F6" w:val="clear"/>
            <w:vAlign w:val="center"/>
          </w:tcPr>
          <w:p>
            <w:pPr>
              <w:pStyle w:val="TableContents"/>
              <w:spacing w:lineRule="atLeast" w:line="240" w:before="0" w:after="0"/>
              <w:rPr/>
            </w:pPr>
            <w:r>
              <w:rPr/>
              <w:t> </w:t>
            </w:r>
          </w:p>
        </w:tc>
        <w:tc>
          <w:tcPr>
            <w:tcW w:w="60" w:type="dxa"/>
            <w:tcBorders/>
            <w:shd w:fill="CEE8F6" w:val="clear"/>
            <w:vAlign w:val="center"/>
          </w:tcPr>
          <w:p>
            <w:pPr>
              <w:pStyle w:val="TableContents"/>
              <w:spacing w:before="0" w:after="283"/>
              <w:rPr/>
            </w:pPr>
            <w:r>
              <w:rPr/>
              <w:t> </w:t>
            </w:r>
          </w:p>
        </w:tc>
        <w:tc>
          <w:tcPr>
            <w:tcW w:w="78" w:type="dxa"/>
            <w:tcBorders/>
            <w:shd w:fill="CEE8F6" w:val="clear"/>
            <w:vAlign w:val="center"/>
          </w:tcPr>
          <w:p>
            <w:pPr>
              <w:pStyle w:val="TableContents"/>
              <w:spacing w:lineRule="atLeast" w:line="240" w:before="0" w:after="0"/>
              <w:rPr/>
            </w:pPr>
            <w:r>
              <w:rPr/>
              <w:t> </w:t>
            </w:r>
          </w:p>
        </w:tc>
        <w:tc>
          <w:tcPr>
            <w:tcW w:w="1082" w:type="dxa"/>
            <w:tcBorders/>
            <w:shd w:fill="CEE8F6" w:val="clear"/>
            <w:vAlign w:val="center"/>
          </w:tcPr>
          <w:p>
            <w:pPr>
              <w:pStyle w:val="TableContents"/>
              <w:spacing w:lineRule="atLeast" w:line="240" w:before="0" w:after="0"/>
              <w:jc w:val="right"/>
              <w:rPr>
                <w:rFonts w:ascii="ARIAL" w:hAnsi="ARIAL"/>
                <w:sz w:val="16"/>
              </w:rPr>
            </w:pPr>
            <w:r>
              <w:rPr>
                <w:rFonts w:ascii="ARIAL" w:hAnsi="ARIAL"/>
                <w:sz w:val="16"/>
              </w:rPr>
              <w:t>4,857,854</w:t>
            </w:r>
          </w:p>
        </w:tc>
        <w:tc>
          <w:tcPr>
            <w:tcW w:w="60" w:type="dxa"/>
            <w:tcBorders/>
            <w:shd w:fill="CEE8F6" w:val="clear"/>
            <w:vAlign w:val="center"/>
          </w:tcPr>
          <w:p>
            <w:pPr>
              <w:pStyle w:val="TableContents"/>
              <w:spacing w:lineRule="atLeast" w:line="240" w:before="0" w:after="0"/>
              <w:rPr/>
            </w:pPr>
            <w:r>
              <w:rPr/>
              <w:t> </w:t>
            </w:r>
          </w:p>
        </w:tc>
        <w:tc>
          <w:tcPr>
            <w:tcW w:w="60" w:type="dxa"/>
            <w:tcBorders/>
            <w:shd w:fill="CEE8F6" w:val="clear"/>
            <w:vAlign w:val="center"/>
          </w:tcPr>
          <w:p>
            <w:pPr>
              <w:pStyle w:val="TableContents"/>
              <w:spacing w:before="0" w:after="283"/>
              <w:rPr/>
            </w:pPr>
            <w:r>
              <w:rPr/>
              <w:t> </w:t>
            </w:r>
          </w:p>
        </w:tc>
        <w:tc>
          <w:tcPr>
            <w:tcW w:w="86" w:type="dxa"/>
            <w:tcBorders/>
            <w:shd w:fill="CEE8F6" w:val="clear"/>
            <w:vAlign w:val="center"/>
          </w:tcPr>
          <w:p>
            <w:pPr>
              <w:pStyle w:val="TableContents"/>
              <w:spacing w:lineRule="atLeast" w:line="240" w:before="0" w:after="0"/>
              <w:rPr/>
            </w:pPr>
            <w:r>
              <w:rPr/>
              <w:t> </w:t>
            </w:r>
          </w:p>
        </w:tc>
        <w:tc>
          <w:tcPr>
            <w:tcW w:w="744" w:type="dxa"/>
            <w:tcBorders/>
            <w:shd w:fill="CEE8F6" w:val="clear"/>
            <w:vAlign w:val="center"/>
          </w:tcPr>
          <w:p>
            <w:pPr>
              <w:pStyle w:val="TableContents"/>
              <w:spacing w:lineRule="atLeast" w:line="240" w:before="0" w:after="0"/>
              <w:jc w:val="right"/>
              <w:rPr>
                <w:rFonts w:ascii="ARIAL" w:hAnsi="ARIAL"/>
                <w:sz w:val="16"/>
              </w:rPr>
            </w:pPr>
            <w:r>
              <w:rPr>
                <w:rFonts w:ascii="ARIAL" w:hAnsi="ARIAL"/>
                <w:sz w:val="16"/>
              </w:rPr>
              <w:t>-</w:t>
            </w:r>
          </w:p>
        </w:tc>
        <w:tc>
          <w:tcPr>
            <w:tcW w:w="60" w:type="dxa"/>
            <w:tcBorders/>
            <w:shd w:fill="CEE8F6" w:val="clear"/>
            <w:vAlign w:val="center"/>
          </w:tcPr>
          <w:p>
            <w:pPr>
              <w:pStyle w:val="TableContents"/>
              <w:spacing w:lineRule="atLeast" w:line="240" w:before="0" w:after="0"/>
              <w:rPr/>
            </w:pPr>
            <w:r>
              <w:rPr/>
              <w:t> </w:t>
            </w:r>
          </w:p>
        </w:tc>
        <w:tc>
          <w:tcPr>
            <w:tcW w:w="60" w:type="dxa"/>
            <w:tcBorders/>
            <w:shd w:fill="CEE8F6" w:val="clear"/>
            <w:vAlign w:val="center"/>
          </w:tcPr>
          <w:p>
            <w:pPr>
              <w:pStyle w:val="TableContents"/>
              <w:spacing w:before="0" w:after="283"/>
              <w:rPr/>
            </w:pPr>
            <w:r>
              <w:rPr/>
              <w:t> </w:t>
            </w:r>
          </w:p>
        </w:tc>
        <w:tc>
          <w:tcPr>
            <w:tcW w:w="150" w:type="dxa"/>
            <w:tcBorders/>
            <w:shd w:fill="CEE8F6" w:val="clear"/>
            <w:vAlign w:val="center"/>
          </w:tcPr>
          <w:p>
            <w:pPr>
              <w:pStyle w:val="TableContents"/>
              <w:spacing w:lineRule="atLeast" w:line="240" w:before="0" w:after="0"/>
              <w:rPr/>
            </w:pPr>
            <w:r>
              <w:rPr/>
              <w:t> </w:t>
            </w:r>
          </w:p>
        </w:tc>
        <w:tc>
          <w:tcPr>
            <w:tcW w:w="1295" w:type="dxa"/>
            <w:tcBorders/>
            <w:shd w:fill="CEE8F6" w:val="clear"/>
            <w:vAlign w:val="center"/>
          </w:tcPr>
          <w:p>
            <w:pPr>
              <w:pStyle w:val="TableContents"/>
              <w:spacing w:lineRule="atLeast" w:line="240" w:before="0" w:after="0"/>
              <w:jc w:val="right"/>
              <w:rPr>
                <w:rFonts w:ascii="ARIAL" w:hAnsi="ARIAL"/>
                <w:sz w:val="16"/>
              </w:rPr>
            </w:pPr>
            <w:r>
              <w:rPr>
                <w:rFonts w:ascii="ARIAL" w:hAnsi="ARIAL"/>
                <w:sz w:val="16"/>
              </w:rPr>
              <w:t>-</w:t>
            </w:r>
          </w:p>
        </w:tc>
        <w:tc>
          <w:tcPr>
            <w:tcW w:w="60" w:type="dxa"/>
            <w:tcBorders/>
            <w:shd w:fill="CEE8F6" w:val="clear"/>
            <w:vAlign w:val="center"/>
          </w:tcPr>
          <w:p>
            <w:pPr>
              <w:pStyle w:val="TableContents"/>
              <w:spacing w:lineRule="atLeast" w:line="240" w:before="0" w:after="0"/>
              <w:rPr/>
            </w:pPr>
            <w:r>
              <w:rPr/>
              <w:t> </w:t>
            </w:r>
          </w:p>
        </w:tc>
        <w:tc>
          <w:tcPr>
            <w:tcW w:w="60" w:type="dxa"/>
            <w:tcBorders/>
            <w:shd w:fill="CEE8F6" w:val="clear"/>
            <w:vAlign w:val="center"/>
          </w:tcPr>
          <w:p>
            <w:pPr>
              <w:pStyle w:val="TableContents"/>
              <w:spacing w:before="0" w:after="283"/>
              <w:rPr/>
            </w:pPr>
            <w:r>
              <w:rPr/>
              <w:t> </w:t>
            </w:r>
          </w:p>
        </w:tc>
        <w:tc>
          <w:tcPr>
            <w:tcW w:w="285" w:type="dxa"/>
            <w:tcBorders/>
            <w:shd w:fill="CEE8F6" w:val="clear"/>
            <w:vAlign w:val="center"/>
          </w:tcPr>
          <w:p>
            <w:pPr>
              <w:pStyle w:val="TableContents"/>
              <w:spacing w:lineRule="atLeast" w:line="240" w:before="0" w:after="0"/>
              <w:rPr/>
            </w:pPr>
            <w:r>
              <w:rPr/>
              <w:t> </w:t>
            </w:r>
          </w:p>
        </w:tc>
        <w:tc>
          <w:tcPr>
            <w:tcW w:w="380" w:type="dxa"/>
            <w:tcBorders/>
            <w:shd w:fill="CEE8F6" w:val="clear"/>
            <w:vAlign w:val="center"/>
          </w:tcPr>
          <w:p>
            <w:pPr>
              <w:pStyle w:val="TableContents"/>
              <w:spacing w:lineRule="atLeast" w:line="240" w:before="0" w:after="0"/>
              <w:jc w:val="right"/>
              <w:rPr>
                <w:rFonts w:ascii="ARIAL" w:hAnsi="ARIAL"/>
                <w:sz w:val="16"/>
              </w:rPr>
            </w:pPr>
            <w:r>
              <w:rPr>
                <w:rFonts w:ascii="ARIAL" w:hAnsi="ARIAL"/>
                <w:sz w:val="16"/>
              </w:rPr>
              <w:t>-</w:t>
            </w:r>
          </w:p>
        </w:tc>
        <w:tc>
          <w:tcPr>
            <w:tcW w:w="60" w:type="dxa"/>
            <w:tcBorders/>
            <w:shd w:fill="CEE8F6" w:val="clear"/>
            <w:vAlign w:val="center"/>
          </w:tcPr>
          <w:p>
            <w:pPr>
              <w:pStyle w:val="TableContents"/>
              <w:spacing w:lineRule="atLeast" w:line="240" w:before="0" w:after="0"/>
              <w:rPr/>
            </w:pPr>
            <w:r>
              <w:rPr/>
              <w:t> </w:t>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lineRule="atLeast" w:line="240" w:before="0" w:after="0"/>
              <w:rPr/>
            </w:pPr>
            <w:r>
              <w:rPr/>
              <w:t> </w:t>
            </w:r>
          </w:p>
        </w:tc>
        <w:tc>
          <w:tcPr>
            <w:tcW w:w="830" w:type="dxa"/>
            <w:tcBorders/>
            <w:shd w:fill="CEE8F6" w:val="clear"/>
            <w:vAlign w:val="center"/>
          </w:tcPr>
          <w:p>
            <w:pPr>
              <w:pStyle w:val="TableContents"/>
              <w:spacing w:lineRule="atLeast" w:line="240" w:before="0" w:after="0"/>
              <w:jc w:val="right"/>
              <w:rPr>
                <w:rFonts w:ascii="ARIAL" w:hAnsi="ARIAL"/>
                <w:sz w:val="16"/>
              </w:rPr>
            </w:pPr>
            <w:r>
              <w:rPr>
                <w:rFonts w:ascii="ARIAL" w:hAnsi="ARIAL"/>
                <w:sz w:val="16"/>
              </w:rPr>
              <w:t>4,857,854</w:t>
            </w:r>
          </w:p>
        </w:tc>
        <w:tc>
          <w:tcPr>
            <w:tcW w:w="75" w:type="dxa"/>
            <w:tcBorders/>
            <w:shd w:fill="CEE8F6" w:val="clear"/>
            <w:vAlign w:val="center"/>
          </w:tcPr>
          <w:p>
            <w:pPr>
              <w:pStyle w:val="TableContents"/>
              <w:spacing w:lineRule="atLeast" w:line="240" w:before="0" w:after="0"/>
              <w:rPr/>
            </w:pPr>
            <w:r>
              <w:rPr/>
              <w:t> </w:t>
            </w:r>
          </w:p>
        </w:tc>
      </w:tr>
      <w:tr>
        <w:trPr/>
        <w:tc>
          <w:tcPr>
            <w:tcW w:w="845" w:type="dxa"/>
            <w:tcBorders/>
            <w:shd w:fill="CEE8F6" w:val="clear"/>
            <w:vAlign w:val="center"/>
          </w:tcPr>
          <w:p>
            <w:pPr>
              <w:pStyle w:val="TableContents"/>
              <w:spacing w:lineRule="atLeast" w:line="240" w:before="0" w:after="0"/>
              <w:rPr>
                <w:rFonts w:ascii="ARIAL" w:hAnsi="ARIAL"/>
                <w:sz w:val="16"/>
              </w:rPr>
            </w:pPr>
            <w:r>
              <w:rPr>
                <w:rFonts w:ascii="ARIAL" w:hAnsi="ARIAL"/>
                <w:sz w:val="16"/>
              </w:rPr>
              <w:t>Involuntary termination</w:t>
            </w:r>
          </w:p>
        </w:tc>
        <w:tc>
          <w:tcPr>
            <w:tcW w:w="60" w:type="dxa"/>
            <w:tcBorders/>
            <w:shd w:fill="CEE8F6" w:val="clear"/>
            <w:vAlign w:val="center"/>
          </w:tcPr>
          <w:p>
            <w:pPr>
              <w:pStyle w:val="TableContents"/>
              <w:spacing w:before="0" w:after="283"/>
              <w:rPr/>
            </w:pPr>
            <w:r>
              <w:rPr/>
              <w:t> </w:t>
            </w:r>
          </w:p>
        </w:tc>
        <w:tc>
          <w:tcPr>
            <w:tcW w:w="71" w:type="dxa"/>
            <w:tcBorders/>
            <w:shd w:fill="CEE8F6" w:val="clear"/>
            <w:vAlign w:val="center"/>
          </w:tcPr>
          <w:p>
            <w:pPr>
              <w:pStyle w:val="TableContents"/>
              <w:spacing w:lineRule="atLeast" w:line="240" w:before="0" w:after="0"/>
              <w:rPr/>
            </w:pPr>
            <w:r>
              <w:rPr/>
              <w:t> </w:t>
            </w:r>
          </w:p>
        </w:tc>
        <w:tc>
          <w:tcPr>
            <w:tcW w:w="984" w:type="dxa"/>
            <w:tcBorders/>
            <w:shd w:fill="CEE8F6" w:val="clear"/>
            <w:vAlign w:val="center"/>
          </w:tcPr>
          <w:p>
            <w:pPr>
              <w:pStyle w:val="TableContents"/>
              <w:spacing w:lineRule="atLeast" w:line="240" w:before="0" w:after="0"/>
              <w:jc w:val="right"/>
              <w:rPr>
                <w:rFonts w:ascii="ARIAL" w:hAnsi="ARIAL"/>
                <w:sz w:val="16"/>
              </w:rPr>
            </w:pPr>
            <w:r>
              <w:rPr>
                <w:rFonts w:ascii="ARIAL" w:hAnsi="ARIAL"/>
                <w:sz w:val="16"/>
              </w:rPr>
              <w:t>1,771,875</w:t>
            </w:r>
          </w:p>
        </w:tc>
        <w:tc>
          <w:tcPr>
            <w:tcW w:w="60" w:type="dxa"/>
            <w:tcBorders/>
            <w:shd w:fill="CEE8F6" w:val="clear"/>
            <w:vAlign w:val="center"/>
          </w:tcPr>
          <w:p>
            <w:pPr>
              <w:pStyle w:val="TableContents"/>
              <w:spacing w:lineRule="atLeast" w:line="240" w:before="0" w:after="0"/>
              <w:rPr/>
            </w:pPr>
            <w:r>
              <w:rPr/>
              <w:t> </w:t>
            </w:r>
          </w:p>
        </w:tc>
        <w:tc>
          <w:tcPr>
            <w:tcW w:w="60" w:type="dxa"/>
            <w:tcBorders/>
            <w:shd w:fill="CEE8F6" w:val="clear"/>
            <w:vAlign w:val="center"/>
          </w:tcPr>
          <w:p>
            <w:pPr>
              <w:pStyle w:val="TableContents"/>
              <w:spacing w:before="0" w:after="283"/>
              <w:rPr/>
            </w:pPr>
            <w:r>
              <w:rPr/>
              <w:t> </w:t>
            </w:r>
          </w:p>
        </w:tc>
        <w:tc>
          <w:tcPr>
            <w:tcW w:w="555" w:type="dxa"/>
            <w:tcBorders/>
            <w:shd w:fill="CEE8F6" w:val="clear"/>
            <w:vAlign w:val="center"/>
          </w:tcPr>
          <w:p>
            <w:pPr>
              <w:pStyle w:val="TableContents"/>
              <w:spacing w:lineRule="atLeast" w:line="240" w:before="0" w:after="0"/>
              <w:rPr/>
            </w:pPr>
            <w:r>
              <w:rPr/>
              <w:t> </w:t>
            </w:r>
          </w:p>
        </w:tc>
        <w:tc>
          <w:tcPr>
            <w:tcW w:w="740" w:type="dxa"/>
            <w:tcBorders/>
            <w:shd w:fill="CEE8F6" w:val="clear"/>
            <w:vAlign w:val="center"/>
          </w:tcPr>
          <w:p>
            <w:pPr>
              <w:pStyle w:val="TableContents"/>
              <w:spacing w:lineRule="atLeast" w:line="240" w:before="0" w:after="0"/>
              <w:jc w:val="right"/>
              <w:rPr>
                <w:rFonts w:ascii="ARIAL" w:hAnsi="ARIAL"/>
                <w:sz w:val="16"/>
              </w:rPr>
            </w:pPr>
            <w:r>
              <w:rPr>
                <w:rFonts w:ascii="ARIAL" w:hAnsi="ARIAL"/>
                <w:sz w:val="16"/>
              </w:rPr>
              <w:t>-</w:t>
            </w:r>
          </w:p>
        </w:tc>
        <w:tc>
          <w:tcPr>
            <w:tcW w:w="175" w:type="dxa"/>
            <w:tcBorders/>
            <w:shd w:fill="CEE8F6" w:val="clear"/>
            <w:vAlign w:val="center"/>
          </w:tcPr>
          <w:p>
            <w:pPr>
              <w:pStyle w:val="TableContents"/>
              <w:spacing w:lineRule="atLeast" w:line="240" w:before="0" w:after="0"/>
              <w:rPr/>
            </w:pPr>
            <w:r>
              <w:rPr/>
              <w:t> </w:t>
            </w:r>
          </w:p>
        </w:tc>
        <w:tc>
          <w:tcPr>
            <w:tcW w:w="175" w:type="dxa"/>
            <w:tcBorders/>
            <w:shd w:fill="CEE8F6" w:val="clear"/>
            <w:vAlign w:val="center"/>
          </w:tcPr>
          <w:p>
            <w:pPr>
              <w:pStyle w:val="TableContents"/>
              <w:spacing w:before="0" w:after="283"/>
              <w:rPr/>
            </w:pPr>
            <w:r>
              <w:rPr/>
              <w:t> </w:t>
            </w:r>
          </w:p>
        </w:tc>
        <w:tc>
          <w:tcPr>
            <w:tcW w:w="175" w:type="dxa"/>
            <w:tcBorders/>
            <w:shd w:fill="CEE8F6" w:val="clear"/>
            <w:vAlign w:val="center"/>
          </w:tcPr>
          <w:p>
            <w:pPr>
              <w:pStyle w:val="TableContents"/>
              <w:spacing w:lineRule="atLeast" w:line="240" w:before="0" w:after="0"/>
              <w:rPr/>
            </w:pPr>
            <w:r>
              <w:rPr/>
              <w:t> </w:t>
            </w:r>
          </w:p>
        </w:tc>
        <w:tc>
          <w:tcPr>
            <w:tcW w:w="2162" w:type="dxa"/>
            <w:tcBorders/>
            <w:shd w:fill="CEE8F6" w:val="clear"/>
            <w:vAlign w:val="center"/>
          </w:tcPr>
          <w:p>
            <w:pPr>
              <w:pStyle w:val="TableContents"/>
              <w:spacing w:lineRule="atLeast" w:line="240" w:before="0" w:after="0"/>
              <w:jc w:val="right"/>
              <w:rPr>
                <w:rFonts w:ascii="ARIAL" w:hAnsi="ARIAL"/>
                <w:sz w:val="16"/>
              </w:rPr>
            </w:pPr>
            <w:r>
              <w:rPr>
                <w:rFonts w:ascii="ARIAL" w:hAnsi="ARIAL"/>
                <w:sz w:val="16"/>
              </w:rPr>
              <w:t>2,314,803</w:t>
            </w:r>
          </w:p>
        </w:tc>
        <w:tc>
          <w:tcPr>
            <w:tcW w:w="60" w:type="dxa"/>
            <w:tcBorders/>
            <w:shd w:fill="CEE8F6" w:val="clear"/>
            <w:vAlign w:val="center"/>
          </w:tcPr>
          <w:p>
            <w:pPr>
              <w:pStyle w:val="TableContents"/>
              <w:spacing w:lineRule="atLeast" w:line="240" w:before="0" w:after="0"/>
              <w:rPr/>
            </w:pPr>
            <w:r>
              <w:rPr/>
              <w:t> </w:t>
            </w:r>
          </w:p>
        </w:tc>
        <w:tc>
          <w:tcPr>
            <w:tcW w:w="60" w:type="dxa"/>
            <w:tcBorders/>
            <w:shd w:fill="CEE8F6" w:val="clear"/>
            <w:vAlign w:val="center"/>
          </w:tcPr>
          <w:p>
            <w:pPr>
              <w:pStyle w:val="TableContents"/>
              <w:spacing w:before="0" w:after="283"/>
              <w:rPr/>
            </w:pPr>
            <w:r>
              <w:rPr/>
              <w:t> </w:t>
            </w:r>
          </w:p>
        </w:tc>
        <w:tc>
          <w:tcPr>
            <w:tcW w:w="78" w:type="dxa"/>
            <w:tcBorders/>
            <w:shd w:fill="CEE8F6" w:val="clear"/>
            <w:vAlign w:val="center"/>
          </w:tcPr>
          <w:p>
            <w:pPr>
              <w:pStyle w:val="TableContents"/>
              <w:spacing w:lineRule="atLeast" w:line="240" w:before="0" w:after="0"/>
              <w:rPr/>
            </w:pPr>
            <w:r>
              <w:rPr/>
              <w:t> </w:t>
            </w:r>
          </w:p>
        </w:tc>
        <w:tc>
          <w:tcPr>
            <w:tcW w:w="1082" w:type="dxa"/>
            <w:tcBorders/>
            <w:shd w:fill="CEE8F6" w:val="clear"/>
            <w:vAlign w:val="center"/>
          </w:tcPr>
          <w:p>
            <w:pPr>
              <w:pStyle w:val="TableContents"/>
              <w:spacing w:lineRule="atLeast" w:line="240" w:before="0" w:after="0"/>
              <w:jc w:val="right"/>
              <w:rPr>
                <w:rFonts w:ascii="ARIAL" w:hAnsi="ARIAL"/>
                <w:sz w:val="16"/>
              </w:rPr>
            </w:pPr>
            <w:r>
              <w:rPr>
                <w:rFonts w:ascii="ARIAL" w:hAnsi="ARIAL"/>
                <w:sz w:val="16"/>
              </w:rPr>
              <w:t>4,857,854</w:t>
            </w:r>
          </w:p>
        </w:tc>
        <w:tc>
          <w:tcPr>
            <w:tcW w:w="60" w:type="dxa"/>
            <w:tcBorders/>
            <w:shd w:fill="CEE8F6" w:val="clear"/>
            <w:vAlign w:val="center"/>
          </w:tcPr>
          <w:p>
            <w:pPr>
              <w:pStyle w:val="TableContents"/>
              <w:spacing w:lineRule="atLeast" w:line="240" w:before="0" w:after="0"/>
              <w:rPr/>
            </w:pPr>
            <w:r>
              <w:rPr/>
              <w:t> </w:t>
            </w:r>
          </w:p>
        </w:tc>
        <w:tc>
          <w:tcPr>
            <w:tcW w:w="60" w:type="dxa"/>
            <w:tcBorders/>
            <w:shd w:fill="CEE8F6" w:val="clear"/>
            <w:vAlign w:val="center"/>
          </w:tcPr>
          <w:p>
            <w:pPr>
              <w:pStyle w:val="TableContents"/>
              <w:spacing w:before="0" w:after="283"/>
              <w:rPr/>
            </w:pPr>
            <w:r>
              <w:rPr/>
              <w:t> </w:t>
            </w:r>
          </w:p>
        </w:tc>
        <w:tc>
          <w:tcPr>
            <w:tcW w:w="86" w:type="dxa"/>
            <w:tcBorders/>
            <w:shd w:fill="CEE8F6" w:val="clear"/>
            <w:vAlign w:val="center"/>
          </w:tcPr>
          <w:p>
            <w:pPr>
              <w:pStyle w:val="TableContents"/>
              <w:spacing w:lineRule="atLeast" w:line="240" w:before="0" w:after="0"/>
              <w:rPr/>
            </w:pPr>
            <w:r>
              <w:rPr/>
              <w:t> </w:t>
            </w:r>
          </w:p>
        </w:tc>
        <w:tc>
          <w:tcPr>
            <w:tcW w:w="744" w:type="dxa"/>
            <w:tcBorders/>
            <w:shd w:fill="CEE8F6" w:val="clear"/>
            <w:vAlign w:val="center"/>
          </w:tcPr>
          <w:p>
            <w:pPr>
              <w:pStyle w:val="TableContents"/>
              <w:spacing w:lineRule="atLeast" w:line="240" w:before="0" w:after="0"/>
              <w:jc w:val="right"/>
              <w:rPr>
                <w:rFonts w:ascii="ARIAL" w:hAnsi="ARIAL"/>
                <w:sz w:val="16"/>
              </w:rPr>
            </w:pPr>
            <w:r>
              <w:rPr>
                <w:rFonts w:ascii="ARIAL" w:hAnsi="ARIAL"/>
                <w:sz w:val="16"/>
              </w:rPr>
              <w:t>25,176</w:t>
            </w:r>
          </w:p>
        </w:tc>
        <w:tc>
          <w:tcPr>
            <w:tcW w:w="60" w:type="dxa"/>
            <w:tcBorders/>
            <w:shd w:fill="CEE8F6" w:val="clear"/>
            <w:vAlign w:val="center"/>
          </w:tcPr>
          <w:p>
            <w:pPr>
              <w:pStyle w:val="TableContents"/>
              <w:spacing w:lineRule="atLeast" w:line="240" w:before="0" w:after="0"/>
              <w:rPr/>
            </w:pPr>
            <w:r>
              <w:rPr/>
              <w:t> </w:t>
            </w:r>
          </w:p>
        </w:tc>
        <w:tc>
          <w:tcPr>
            <w:tcW w:w="60" w:type="dxa"/>
            <w:tcBorders/>
            <w:shd w:fill="CEE8F6" w:val="clear"/>
            <w:vAlign w:val="center"/>
          </w:tcPr>
          <w:p>
            <w:pPr>
              <w:pStyle w:val="TableContents"/>
              <w:spacing w:before="0" w:after="283"/>
              <w:rPr/>
            </w:pPr>
            <w:r>
              <w:rPr/>
              <w:t> </w:t>
            </w:r>
          </w:p>
        </w:tc>
        <w:tc>
          <w:tcPr>
            <w:tcW w:w="150" w:type="dxa"/>
            <w:tcBorders/>
            <w:shd w:fill="CEE8F6" w:val="clear"/>
            <w:vAlign w:val="center"/>
          </w:tcPr>
          <w:p>
            <w:pPr>
              <w:pStyle w:val="TableContents"/>
              <w:spacing w:lineRule="atLeast" w:line="240" w:before="0" w:after="0"/>
              <w:rPr/>
            </w:pPr>
            <w:r>
              <w:rPr/>
              <w:t> </w:t>
            </w:r>
          </w:p>
        </w:tc>
        <w:tc>
          <w:tcPr>
            <w:tcW w:w="1295" w:type="dxa"/>
            <w:tcBorders/>
            <w:shd w:fill="CEE8F6" w:val="clear"/>
            <w:vAlign w:val="center"/>
          </w:tcPr>
          <w:p>
            <w:pPr>
              <w:pStyle w:val="TableContents"/>
              <w:spacing w:lineRule="atLeast" w:line="240" w:before="0" w:after="0"/>
              <w:jc w:val="right"/>
              <w:rPr>
                <w:rFonts w:ascii="ARIAL" w:hAnsi="ARIAL"/>
                <w:sz w:val="16"/>
              </w:rPr>
            </w:pPr>
            <w:r>
              <w:rPr>
                <w:rFonts w:ascii="ARIAL" w:hAnsi="ARIAL"/>
                <w:sz w:val="16"/>
              </w:rPr>
              <w:t>-</w:t>
            </w:r>
          </w:p>
        </w:tc>
        <w:tc>
          <w:tcPr>
            <w:tcW w:w="60" w:type="dxa"/>
            <w:tcBorders/>
            <w:shd w:fill="CEE8F6" w:val="clear"/>
            <w:vAlign w:val="center"/>
          </w:tcPr>
          <w:p>
            <w:pPr>
              <w:pStyle w:val="TableContents"/>
              <w:spacing w:lineRule="atLeast" w:line="240" w:before="0" w:after="0"/>
              <w:rPr/>
            </w:pPr>
            <w:r>
              <w:rPr/>
              <w:t> </w:t>
            </w:r>
          </w:p>
        </w:tc>
        <w:tc>
          <w:tcPr>
            <w:tcW w:w="60" w:type="dxa"/>
            <w:tcBorders/>
            <w:shd w:fill="CEE8F6" w:val="clear"/>
            <w:vAlign w:val="center"/>
          </w:tcPr>
          <w:p>
            <w:pPr>
              <w:pStyle w:val="TableContents"/>
              <w:spacing w:before="0" w:after="283"/>
              <w:rPr/>
            </w:pPr>
            <w:r>
              <w:rPr/>
              <w:t> </w:t>
            </w:r>
          </w:p>
        </w:tc>
        <w:tc>
          <w:tcPr>
            <w:tcW w:w="285" w:type="dxa"/>
            <w:tcBorders/>
            <w:shd w:fill="CEE8F6" w:val="clear"/>
            <w:vAlign w:val="center"/>
          </w:tcPr>
          <w:p>
            <w:pPr>
              <w:pStyle w:val="TableContents"/>
              <w:spacing w:lineRule="atLeast" w:line="240" w:before="0" w:after="0"/>
              <w:rPr/>
            </w:pPr>
            <w:r>
              <w:rPr/>
              <w:t> </w:t>
            </w:r>
          </w:p>
        </w:tc>
        <w:tc>
          <w:tcPr>
            <w:tcW w:w="380" w:type="dxa"/>
            <w:tcBorders/>
            <w:shd w:fill="CEE8F6" w:val="clear"/>
            <w:vAlign w:val="center"/>
          </w:tcPr>
          <w:p>
            <w:pPr>
              <w:pStyle w:val="TableContents"/>
              <w:spacing w:lineRule="atLeast" w:line="240" w:before="0" w:after="0"/>
              <w:jc w:val="right"/>
              <w:rPr>
                <w:rFonts w:ascii="ARIAL" w:hAnsi="ARIAL"/>
                <w:sz w:val="16"/>
              </w:rPr>
            </w:pPr>
            <w:r>
              <w:rPr>
                <w:rFonts w:ascii="ARIAL" w:hAnsi="ARIAL"/>
                <w:sz w:val="16"/>
              </w:rPr>
              <w:t>-</w:t>
            </w:r>
          </w:p>
        </w:tc>
        <w:tc>
          <w:tcPr>
            <w:tcW w:w="60" w:type="dxa"/>
            <w:tcBorders/>
            <w:shd w:fill="CEE8F6" w:val="clear"/>
            <w:vAlign w:val="center"/>
          </w:tcPr>
          <w:p>
            <w:pPr>
              <w:pStyle w:val="TableContents"/>
              <w:spacing w:lineRule="atLeast" w:line="240" w:before="0" w:after="0"/>
              <w:rPr/>
            </w:pPr>
            <w:r>
              <w:rPr/>
              <w:t> </w:t>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lineRule="atLeast" w:line="240" w:before="0" w:after="0"/>
              <w:rPr/>
            </w:pPr>
            <w:r>
              <w:rPr/>
              <w:t> </w:t>
            </w:r>
          </w:p>
        </w:tc>
        <w:tc>
          <w:tcPr>
            <w:tcW w:w="830" w:type="dxa"/>
            <w:tcBorders/>
            <w:shd w:fill="CEE8F6" w:val="clear"/>
            <w:vAlign w:val="center"/>
          </w:tcPr>
          <w:p>
            <w:pPr>
              <w:pStyle w:val="TableContents"/>
              <w:spacing w:lineRule="atLeast" w:line="240" w:before="0" w:after="0"/>
              <w:jc w:val="right"/>
              <w:rPr>
                <w:rFonts w:ascii="ARIAL" w:hAnsi="ARIAL"/>
                <w:sz w:val="16"/>
              </w:rPr>
            </w:pPr>
            <w:r>
              <w:rPr>
                <w:rFonts w:ascii="ARIAL" w:hAnsi="ARIAL"/>
                <w:sz w:val="16"/>
              </w:rPr>
              <w:t>8,969,708</w:t>
            </w:r>
          </w:p>
        </w:tc>
        <w:tc>
          <w:tcPr>
            <w:tcW w:w="75" w:type="dxa"/>
            <w:tcBorders/>
            <w:shd w:fill="CEE8F6" w:val="clear"/>
            <w:vAlign w:val="center"/>
          </w:tcPr>
          <w:p>
            <w:pPr>
              <w:pStyle w:val="TableContents"/>
              <w:spacing w:lineRule="atLeast" w:line="240" w:before="0" w:after="0"/>
              <w:rPr/>
            </w:pPr>
            <w:r>
              <w:rPr/>
              <w:t> </w:t>
            </w:r>
          </w:p>
        </w:tc>
      </w:tr>
      <w:tr>
        <w:trPr/>
        <w:tc>
          <w:tcPr>
            <w:tcW w:w="845" w:type="dxa"/>
            <w:tcBorders/>
            <w:shd w:fill="CEE8F6" w:val="clear"/>
            <w:vAlign w:val="center"/>
          </w:tcPr>
          <w:p>
            <w:pPr>
              <w:pStyle w:val="TableContents"/>
              <w:spacing w:lineRule="atLeast" w:line="240" w:before="0" w:after="0"/>
              <w:rPr>
                <w:rFonts w:ascii="ARIAL" w:hAnsi="ARIAL"/>
                <w:sz w:val="16"/>
              </w:rPr>
            </w:pPr>
            <w:r>
              <w:rPr>
                <w:rFonts w:ascii="ARIAL" w:hAnsi="ARIAL"/>
                <w:sz w:val="16"/>
              </w:rPr>
              <w:t>Change in control of the company (1)</w:t>
            </w:r>
          </w:p>
        </w:tc>
        <w:tc>
          <w:tcPr>
            <w:tcW w:w="60" w:type="dxa"/>
            <w:tcBorders/>
            <w:shd w:fill="CEE8F6" w:val="clear"/>
            <w:vAlign w:val="center"/>
          </w:tcPr>
          <w:p>
            <w:pPr>
              <w:pStyle w:val="TableContents"/>
              <w:spacing w:before="0" w:after="283"/>
              <w:rPr/>
            </w:pPr>
            <w:r>
              <w:rPr/>
              <w:t> </w:t>
            </w:r>
          </w:p>
        </w:tc>
        <w:tc>
          <w:tcPr>
            <w:tcW w:w="71" w:type="dxa"/>
            <w:tcBorders/>
            <w:shd w:fill="CEE8F6" w:val="clear"/>
            <w:vAlign w:val="center"/>
          </w:tcPr>
          <w:p>
            <w:pPr>
              <w:pStyle w:val="TableContents"/>
              <w:spacing w:lineRule="atLeast" w:line="240" w:before="0" w:after="0"/>
              <w:rPr/>
            </w:pPr>
            <w:r>
              <w:rPr/>
              <w:t> </w:t>
            </w:r>
          </w:p>
        </w:tc>
        <w:tc>
          <w:tcPr>
            <w:tcW w:w="984" w:type="dxa"/>
            <w:tcBorders/>
            <w:shd w:fill="CEE8F6" w:val="clear"/>
            <w:vAlign w:val="center"/>
          </w:tcPr>
          <w:p>
            <w:pPr>
              <w:pStyle w:val="TableContents"/>
              <w:spacing w:lineRule="atLeast" w:line="240" w:before="0" w:after="0"/>
              <w:jc w:val="right"/>
              <w:rPr>
                <w:rFonts w:ascii="ARIAL" w:hAnsi="ARIAL"/>
                <w:sz w:val="16"/>
              </w:rPr>
            </w:pPr>
            <w:r>
              <w:rPr>
                <w:rFonts w:ascii="ARIAL" w:hAnsi="ARIAL"/>
                <w:sz w:val="16"/>
              </w:rPr>
              <w:t>5,925,141</w:t>
            </w:r>
          </w:p>
        </w:tc>
        <w:tc>
          <w:tcPr>
            <w:tcW w:w="60" w:type="dxa"/>
            <w:tcBorders/>
            <w:shd w:fill="CEE8F6" w:val="clear"/>
            <w:vAlign w:val="center"/>
          </w:tcPr>
          <w:p>
            <w:pPr>
              <w:pStyle w:val="TableContents"/>
              <w:spacing w:lineRule="atLeast" w:line="240" w:before="0" w:after="0"/>
              <w:rPr/>
            </w:pPr>
            <w:r>
              <w:rPr/>
              <w:t> </w:t>
            </w:r>
          </w:p>
        </w:tc>
        <w:tc>
          <w:tcPr>
            <w:tcW w:w="60" w:type="dxa"/>
            <w:tcBorders/>
            <w:shd w:fill="CEE8F6" w:val="clear"/>
            <w:vAlign w:val="center"/>
          </w:tcPr>
          <w:p>
            <w:pPr>
              <w:pStyle w:val="TableContents"/>
              <w:spacing w:before="0" w:after="283"/>
              <w:rPr/>
            </w:pPr>
            <w:r>
              <w:rPr/>
              <w:t> </w:t>
            </w:r>
          </w:p>
        </w:tc>
        <w:tc>
          <w:tcPr>
            <w:tcW w:w="555" w:type="dxa"/>
            <w:tcBorders/>
            <w:shd w:fill="CEE8F6" w:val="clear"/>
            <w:vAlign w:val="center"/>
          </w:tcPr>
          <w:p>
            <w:pPr>
              <w:pStyle w:val="TableContents"/>
              <w:spacing w:lineRule="atLeast" w:line="240" w:before="0" w:after="0"/>
              <w:rPr/>
            </w:pPr>
            <w:r>
              <w:rPr/>
              <w:t> </w:t>
            </w:r>
          </w:p>
        </w:tc>
        <w:tc>
          <w:tcPr>
            <w:tcW w:w="740" w:type="dxa"/>
            <w:tcBorders/>
            <w:shd w:fill="CEE8F6" w:val="clear"/>
            <w:vAlign w:val="center"/>
          </w:tcPr>
          <w:p>
            <w:pPr>
              <w:pStyle w:val="TableContents"/>
              <w:spacing w:lineRule="atLeast" w:line="240" w:before="0" w:after="0"/>
              <w:jc w:val="right"/>
              <w:rPr>
                <w:rFonts w:ascii="ARIAL" w:hAnsi="ARIAL"/>
                <w:sz w:val="16"/>
              </w:rPr>
            </w:pPr>
            <w:r>
              <w:rPr>
                <w:rFonts w:ascii="ARIAL" w:hAnsi="ARIAL"/>
                <w:sz w:val="16"/>
              </w:rPr>
              <w:t>-</w:t>
            </w:r>
          </w:p>
        </w:tc>
        <w:tc>
          <w:tcPr>
            <w:tcW w:w="175" w:type="dxa"/>
            <w:tcBorders/>
            <w:shd w:fill="CEE8F6" w:val="clear"/>
            <w:vAlign w:val="center"/>
          </w:tcPr>
          <w:p>
            <w:pPr>
              <w:pStyle w:val="TableContents"/>
              <w:spacing w:lineRule="atLeast" w:line="240" w:before="0" w:after="0"/>
              <w:rPr/>
            </w:pPr>
            <w:r>
              <w:rPr/>
              <w:t> </w:t>
            </w:r>
          </w:p>
        </w:tc>
        <w:tc>
          <w:tcPr>
            <w:tcW w:w="175" w:type="dxa"/>
            <w:tcBorders/>
            <w:shd w:fill="CEE8F6" w:val="clear"/>
            <w:vAlign w:val="center"/>
          </w:tcPr>
          <w:p>
            <w:pPr>
              <w:pStyle w:val="TableContents"/>
              <w:spacing w:before="0" w:after="283"/>
              <w:rPr/>
            </w:pPr>
            <w:r>
              <w:rPr/>
              <w:t> </w:t>
            </w:r>
          </w:p>
        </w:tc>
        <w:tc>
          <w:tcPr>
            <w:tcW w:w="175" w:type="dxa"/>
            <w:tcBorders/>
            <w:shd w:fill="CEE8F6" w:val="clear"/>
            <w:vAlign w:val="center"/>
          </w:tcPr>
          <w:p>
            <w:pPr>
              <w:pStyle w:val="TableContents"/>
              <w:spacing w:lineRule="atLeast" w:line="240" w:before="0" w:after="0"/>
              <w:rPr/>
            </w:pPr>
            <w:r>
              <w:rPr/>
              <w:t> </w:t>
            </w:r>
          </w:p>
        </w:tc>
        <w:tc>
          <w:tcPr>
            <w:tcW w:w="2162" w:type="dxa"/>
            <w:tcBorders/>
            <w:shd w:fill="CEE8F6" w:val="clear"/>
            <w:vAlign w:val="center"/>
          </w:tcPr>
          <w:p>
            <w:pPr>
              <w:pStyle w:val="TableContents"/>
              <w:spacing w:lineRule="atLeast" w:line="240" w:before="0" w:after="0"/>
              <w:jc w:val="right"/>
              <w:rPr>
                <w:rFonts w:ascii="ARIAL" w:hAnsi="ARIAL"/>
                <w:sz w:val="16"/>
              </w:rPr>
            </w:pPr>
            <w:r>
              <w:rPr>
                <w:rFonts w:ascii="ARIAL" w:hAnsi="ARIAL"/>
                <w:sz w:val="16"/>
              </w:rPr>
              <w:t>2,314,803</w:t>
            </w:r>
          </w:p>
        </w:tc>
        <w:tc>
          <w:tcPr>
            <w:tcW w:w="60" w:type="dxa"/>
            <w:tcBorders/>
            <w:shd w:fill="CEE8F6" w:val="clear"/>
            <w:vAlign w:val="center"/>
          </w:tcPr>
          <w:p>
            <w:pPr>
              <w:pStyle w:val="TableContents"/>
              <w:spacing w:lineRule="atLeast" w:line="240" w:before="0" w:after="0"/>
              <w:rPr/>
            </w:pPr>
            <w:r>
              <w:rPr/>
              <w:t> </w:t>
            </w:r>
          </w:p>
        </w:tc>
        <w:tc>
          <w:tcPr>
            <w:tcW w:w="60" w:type="dxa"/>
            <w:tcBorders/>
            <w:shd w:fill="CEE8F6" w:val="clear"/>
            <w:vAlign w:val="center"/>
          </w:tcPr>
          <w:p>
            <w:pPr>
              <w:pStyle w:val="TableContents"/>
              <w:spacing w:before="0" w:after="283"/>
              <w:rPr/>
            </w:pPr>
            <w:r>
              <w:rPr/>
              <w:t> </w:t>
            </w:r>
          </w:p>
        </w:tc>
        <w:tc>
          <w:tcPr>
            <w:tcW w:w="78" w:type="dxa"/>
            <w:tcBorders/>
            <w:shd w:fill="CEE8F6" w:val="clear"/>
            <w:vAlign w:val="center"/>
          </w:tcPr>
          <w:p>
            <w:pPr>
              <w:pStyle w:val="TableContents"/>
              <w:spacing w:lineRule="atLeast" w:line="240" w:before="0" w:after="0"/>
              <w:rPr/>
            </w:pPr>
            <w:r>
              <w:rPr/>
              <w:t> </w:t>
            </w:r>
          </w:p>
        </w:tc>
        <w:tc>
          <w:tcPr>
            <w:tcW w:w="1082" w:type="dxa"/>
            <w:tcBorders/>
            <w:shd w:fill="CEE8F6" w:val="clear"/>
            <w:vAlign w:val="center"/>
          </w:tcPr>
          <w:p>
            <w:pPr>
              <w:pStyle w:val="TableContents"/>
              <w:spacing w:lineRule="atLeast" w:line="240" w:before="0" w:after="0"/>
              <w:jc w:val="right"/>
              <w:rPr>
                <w:rFonts w:ascii="ARIAL" w:hAnsi="ARIAL"/>
                <w:sz w:val="16"/>
              </w:rPr>
            </w:pPr>
            <w:r>
              <w:rPr>
                <w:rFonts w:ascii="ARIAL" w:hAnsi="ARIAL"/>
                <w:sz w:val="16"/>
              </w:rPr>
              <w:t>7,584,467</w:t>
            </w:r>
          </w:p>
        </w:tc>
        <w:tc>
          <w:tcPr>
            <w:tcW w:w="60" w:type="dxa"/>
            <w:tcBorders/>
            <w:shd w:fill="CEE8F6" w:val="clear"/>
            <w:vAlign w:val="center"/>
          </w:tcPr>
          <w:p>
            <w:pPr>
              <w:pStyle w:val="TableContents"/>
              <w:spacing w:lineRule="atLeast" w:line="240" w:before="0" w:after="0"/>
              <w:rPr/>
            </w:pPr>
            <w:r>
              <w:rPr/>
              <w:t> </w:t>
            </w:r>
          </w:p>
        </w:tc>
        <w:tc>
          <w:tcPr>
            <w:tcW w:w="60" w:type="dxa"/>
            <w:tcBorders/>
            <w:shd w:fill="CEE8F6" w:val="clear"/>
            <w:vAlign w:val="center"/>
          </w:tcPr>
          <w:p>
            <w:pPr>
              <w:pStyle w:val="TableContents"/>
              <w:spacing w:before="0" w:after="283"/>
              <w:rPr/>
            </w:pPr>
            <w:r>
              <w:rPr/>
              <w:t> </w:t>
            </w:r>
          </w:p>
        </w:tc>
        <w:tc>
          <w:tcPr>
            <w:tcW w:w="86" w:type="dxa"/>
            <w:tcBorders/>
            <w:shd w:fill="CEE8F6" w:val="clear"/>
            <w:vAlign w:val="center"/>
          </w:tcPr>
          <w:p>
            <w:pPr>
              <w:pStyle w:val="TableContents"/>
              <w:spacing w:lineRule="atLeast" w:line="240" w:before="0" w:after="0"/>
              <w:rPr/>
            </w:pPr>
            <w:r>
              <w:rPr/>
              <w:t> </w:t>
            </w:r>
          </w:p>
        </w:tc>
        <w:tc>
          <w:tcPr>
            <w:tcW w:w="744" w:type="dxa"/>
            <w:tcBorders/>
            <w:shd w:fill="CEE8F6" w:val="clear"/>
            <w:vAlign w:val="center"/>
          </w:tcPr>
          <w:p>
            <w:pPr>
              <w:pStyle w:val="TableContents"/>
              <w:spacing w:lineRule="atLeast" w:line="240" w:before="0" w:after="0"/>
              <w:jc w:val="right"/>
              <w:rPr>
                <w:rFonts w:ascii="ARIAL" w:hAnsi="ARIAL"/>
                <w:sz w:val="16"/>
              </w:rPr>
            </w:pPr>
            <w:r>
              <w:rPr>
                <w:rFonts w:ascii="ARIAL" w:hAnsi="ARIAL"/>
                <w:sz w:val="16"/>
              </w:rPr>
              <w:t>37,763</w:t>
            </w:r>
          </w:p>
        </w:tc>
        <w:tc>
          <w:tcPr>
            <w:tcW w:w="60" w:type="dxa"/>
            <w:tcBorders/>
            <w:shd w:fill="CEE8F6" w:val="clear"/>
            <w:vAlign w:val="center"/>
          </w:tcPr>
          <w:p>
            <w:pPr>
              <w:pStyle w:val="TableContents"/>
              <w:spacing w:lineRule="atLeast" w:line="240" w:before="0" w:after="0"/>
              <w:rPr/>
            </w:pPr>
            <w:r>
              <w:rPr/>
              <w:t> </w:t>
            </w:r>
          </w:p>
        </w:tc>
        <w:tc>
          <w:tcPr>
            <w:tcW w:w="60" w:type="dxa"/>
            <w:tcBorders/>
            <w:shd w:fill="CEE8F6" w:val="clear"/>
            <w:vAlign w:val="center"/>
          </w:tcPr>
          <w:p>
            <w:pPr>
              <w:pStyle w:val="TableContents"/>
              <w:spacing w:before="0" w:after="283"/>
              <w:rPr/>
            </w:pPr>
            <w:r>
              <w:rPr/>
              <w:t> </w:t>
            </w:r>
          </w:p>
        </w:tc>
        <w:tc>
          <w:tcPr>
            <w:tcW w:w="150" w:type="dxa"/>
            <w:tcBorders/>
            <w:shd w:fill="CEE8F6" w:val="clear"/>
            <w:vAlign w:val="center"/>
          </w:tcPr>
          <w:p>
            <w:pPr>
              <w:pStyle w:val="TableContents"/>
              <w:spacing w:lineRule="atLeast" w:line="240" w:before="0" w:after="0"/>
              <w:rPr/>
            </w:pPr>
            <w:r>
              <w:rPr/>
              <w:t> </w:t>
            </w:r>
          </w:p>
        </w:tc>
        <w:tc>
          <w:tcPr>
            <w:tcW w:w="1295" w:type="dxa"/>
            <w:tcBorders/>
            <w:shd w:fill="CEE8F6" w:val="clear"/>
            <w:vAlign w:val="center"/>
          </w:tcPr>
          <w:p>
            <w:pPr>
              <w:pStyle w:val="TableContents"/>
              <w:spacing w:lineRule="atLeast" w:line="240" w:before="0" w:after="0"/>
              <w:jc w:val="right"/>
              <w:rPr>
                <w:rFonts w:ascii="ARIAL" w:hAnsi="ARIAL"/>
                <w:sz w:val="16"/>
              </w:rPr>
            </w:pPr>
            <w:r>
              <w:rPr>
                <w:rFonts w:ascii="ARIAL" w:hAnsi="ARIAL"/>
                <w:sz w:val="16"/>
              </w:rPr>
              <w:t>25,000</w:t>
            </w:r>
          </w:p>
        </w:tc>
        <w:tc>
          <w:tcPr>
            <w:tcW w:w="60" w:type="dxa"/>
            <w:tcBorders/>
            <w:shd w:fill="CEE8F6" w:val="clear"/>
            <w:vAlign w:val="center"/>
          </w:tcPr>
          <w:p>
            <w:pPr>
              <w:pStyle w:val="TableContents"/>
              <w:spacing w:lineRule="atLeast" w:line="240" w:before="0" w:after="0"/>
              <w:rPr/>
            </w:pPr>
            <w:r>
              <w:rPr/>
              <w:t> </w:t>
            </w:r>
          </w:p>
        </w:tc>
        <w:tc>
          <w:tcPr>
            <w:tcW w:w="60" w:type="dxa"/>
            <w:tcBorders/>
            <w:shd w:fill="CEE8F6" w:val="clear"/>
            <w:vAlign w:val="center"/>
          </w:tcPr>
          <w:p>
            <w:pPr>
              <w:pStyle w:val="TableContents"/>
              <w:spacing w:before="0" w:after="283"/>
              <w:rPr/>
            </w:pPr>
            <w:r>
              <w:rPr/>
              <w:t> </w:t>
            </w:r>
          </w:p>
        </w:tc>
        <w:tc>
          <w:tcPr>
            <w:tcW w:w="285" w:type="dxa"/>
            <w:tcBorders/>
            <w:shd w:fill="CEE8F6" w:val="clear"/>
            <w:vAlign w:val="center"/>
          </w:tcPr>
          <w:p>
            <w:pPr>
              <w:pStyle w:val="TableContents"/>
              <w:spacing w:lineRule="atLeast" w:line="240" w:before="0" w:after="0"/>
              <w:rPr/>
            </w:pPr>
            <w:r>
              <w:rPr/>
              <w:t> </w:t>
            </w:r>
          </w:p>
        </w:tc>
        <w:tc>
          <w:tcPr>
            <w:tcW w:w="380" w:type="dxa"/>
            <w:tcBorders/>
            <w:shd w:fill="CEE8F6" w:val="clear"/>
            <w:vAlign w:val="center"/>
          </w:tcPr>
          <w:p>
            <w:pPr>
              <w:pStyle w:val="TableContents"/>
              <w:spacing w:lineRule="atLeast" w:line="240" w:before="0" w:after="0"/>
              <w:jc w:val="right"/>
              <w:rPr>
                <w:rFonts w:ascii="ARIAL" w:hAnsi="ARIAL"/>
                <w:sz w:val="16"/>
              </w:rPr>
            </w:pPr>
            <w:r>
              <w:rPr>
                <w:rFonts w:ascii="ARIAL" w:hAnsi="ARIAL"/>
                <w:sz w:val="16"/>
              </w:rPr>
              <w:t>-</w:t>
            </w:r>
          </w:p>
        </w:tc>
        <w:tc>
          <w:tcPr>
            <w:tcW w:w="60" w:type="dxa"/>
            <w:tcBorders/>
            <w:shd w:fill="CEE8F6" w:val="clear"/>
            <w:vAlign w:val="center"/>
          </w:tcPr>
          <w:p>
            <w:pPr>
              <w:pStyle w:val="TableContents"/>
              <w:spacing w:lineRule="atLeast" w:line="240" w:before="0" w:after="0"/>
              <w:rPr/>
            </w:pPr>
            <w:r>
              <w:rPr/>
              <w:t> </w:t>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lineRule="atLeast" w:line="240" w:before="0" w:after="0"/>
              <w:rPr/>
            </w:pPr>
            <w:r>
              <w:rPr/>
              <w:t> </w:t>
            </w:r>
          </w:p>
        </w:tc>
        <w:tc>
          <w:tcPr>
            <w:tcW w:w="830" w:type="dxa"/>
            <w:tcBorders/>
            <w:shd w:fill="CEE8F6" w:val="clear"/>
            <w:vAlign w:val="center"/>
          </w:tcPr>
          <w:p>
            <w:pPr>
              <w:pStyle w:val="TableContents"/>
              <w:spacing w:lineRule="atLeast" w:line="240" w:before="0" w:after="0"/>
              <w:jc w:val="right"/>
              <w:rPr>
                <w:rFonts w:ascii="ARIAL" w:hAnsi="ARIAL"/>
                <w:sz w:val="16"/>
              </w:rPr>
            </w:pPr>
            <w:r>
              <w:rPr>
                <w:rFonts w:ascii="ARIAL" w:hAnsi="ARIAL"/>
                <w:sz w:val="16"/>
              </w:rPr>
              <w:t>15,887,174</w:t>
            </w:r>
          </w:p>
        </w:tc>
        <w:tc>
          <w:tcPr>
            <w:tcW w:w="75" w:type="dxa"/>
            <w:tcBorders/>
            <w:shd w:fill="CEE8F6" w:val="clear"/>
            <w:vAlign w:val="center"/>
          </w:tcPr>
          <w:p>
            <w:pPr>
              <w:pStyle w:val="TableContents"/>
              <w:spacing w:lineRule="atLeast" w:line="240" w:before="0" w:after="0"/>
              <w:rPr/>
            </w:pPr>
            <w:r>
              <w:rPr/>
              <w:t> </w:t>
            </w:r>
          </w:p>
        </w:tc>
      </w:tr>
      <w:tr>
        <w:trPr/>
        <w:tc>
          <w:tcPr>
            <w:tcW w:w="84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71" w:type="dxa"/>
            <w:tcBorders/>
            <w:shd w:fill="auto" w:val="clear"/>
            <w:vAlign w:val="center"/>
          </w:tcPr>
          <w:p>
            <w:pPr>
              <w:pStyle w:val="TableContents"/>
              <w:spacing w:before="0" w:after="283"/>
              <w:rPr>
                <w:sz w:val="4"/>
                <w:szCs w:val="4"/>
              </w:rPr>
            </w:pPr>
            <w:r>
              <w:rPr>
                <w:sz w:val="4"/>
                <w:szCs w:val="4"/>
              </w:rPr>
            </w:r>
          </w:p>
        </w:tc>
        <w:tc>
          <w:tcPr>
            <w:tcW w:w="98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555"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pPr>
            <w:r>
              <w:rPr/>
              <w:t> </w:t>
            </w:r>
          </w:p>
        </w:tc>
        <w:tc>
          <w:tcPr>
            <w:tcW w:w="175" w:type="dxa"/>
            <w:tcBorders/>
            <w:shd w:fill="auto" w:val="clear"/>
            <w:vAlign w:val="center"/>
          </w:tcPr>
          <w:p>
            <w:pPr>
              <w:pStyle w:val="TableContents"/>
              <w:spacing w:before="0" w:after="283"/>
              <w:rPr>
                <w:sz w:val="4"/>
                <w:szCs w:val="4"/>
              </w:rPr>
            </w:pPr>
            <w:r>
              <w:rPr>
                <w:sz w:val="4"/>
                <w:szCs w:val="4"/>
              </w:rPr>
            </w:r>
          </w:p>
        </w:tc>
        <w:tc>
          <w:tcPr>
            <w:tcW w:w="216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sz w:val="4"/>
                <w:szCs w:val="4"/>
              </w:rPr>
            </w:pPr>
            <w:r>
              <w:rPr>
                <w:sz w:val="4"/>
                <w:szCs w:val="4"/>
              </w:rPr>
            </w:r>
          </w:p>
        </w:tc>
        <w:tc>
          <w:tcPr>
            <w:tcW w:w="108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86" w:type="dxa"/>
            <w:tcBorders/>
            <w:shd w:fill="auto" w:val="clear"/>
            <w:vAlign w:val="center"/>
          </w:tcPr>
          <w:p>
            <w:pPr>
              <w:pStyle w:val="TableContents"/>
              <w:spacing w:before="0" w:after="283"/>
              <w:rPr>
                <w:sz w:val="4"/>
                <w:szCs w:val="4"/>
              </w:rPr>
            </w:pPr>
            <w:r>
              <w:rPr>
                <w:sz w:val="4"/>
                <w:szCs w:val="4"/>
              </w:rPr>
            </w:r>
          </w:p>
        </w:tc>
        <w:tc>
          <w:tcPr>
            <w:tcW w:w="74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283"/>
              <w:rPr>
                <w:sz w:val="4"/>
                <w:szCs w:val="4"/>
              </w:rPr>
            </w:pPr>
            <w:r>
              <w:rPr>
                <w:sz w:val="4"/>
                <w:szCs w:val="4"/>
              </w:rPr>
            </w:r>
          </w:p>
        </w:tc>
        <w:tc>
          <w:tcPr>
            <w:tcW w:w="12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85"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845" w:type="dxa"/>
            <w:tcBorders/>
            <w:shd w:fill="auto" w:val="clear"/>
            <w:vAlign w:val="center"/>
          </w:tcPr>
          <w:p>
            <w:pPr>
              <w:pStyle w:val="TableContents"/>
              <w:spacing w:lineRule="atLeast" w:line="240" w:before="0" w:after="0"/>
              <w:rPr>
                <w:rFonts w:ascii="ARIAL" w:hAnsi="ARIAL"/>
                <w:b/>
                <w:sz w:val="16"/>
              </w:rPr>
            </w:pPr>
            <w:r>
              <w:rPr>
                <w:rFonts w:ascii="ARIAL" w:hAnsi="ARIAL"/>
                <w:b/>
                <w:sz w:val="16"/>
              </w:rPr>
              <w:t>Lynn T. Simon, M.D.</w:t>
            </w:r>
          </w:p>
        </w:tc>
        <w:tc>
          <w:tcPr>
            <w:tcW w:w="60" w:type="dxa"/>
            <w:tcBorders/>
            <w:shd w:fill="auto" w:val="clear"/>
            <w:vAlign w:val="center"/>
          </w:tcPr>
          <w:p>
            <w:pPr>
              <w:pStyle w:val="TableContents"/>
              <w:spacing w:before="0" w:after="283"/>
              <w:rPr/>
            </w:pPr>
            <w:r>
              <w:rPr/>
              <w:t> </w:t>
            </w:r>
          </w:p>
        </w:tc>
        <w:tc>
          <w:tcPr>
            <w:tcW w:w="71" w:type="dxa"/>
            <w:tcBorders/>
            <w:shd w:fill="auto" w:val="clear"/>
            <w:vAlign w:val="center"/>
          </w:tcPr>
          <w:p>
            <w:pPr>
              <w:pStyle w:val="TableContents"/>
              <w:spacing w:before="0" w:after="283"/>
              <w:rPr>
                <w:sz w:val="4"/>
                <w:szCs w:val="4"/>
              </w:rPr>
            </w:pPr>
            <w:r>
              <w:rPr>
                <w:sz w:val="4"/>
                <w:szCs w:val="4"/>
              </w:rPr>
            </w:r>
          </w:p>
        </w:tc>
        <w:tc>
          <w:tcPr>
            <w:tcW w:w="98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555"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pPr>
            <w:r>
              <w:rPr/>
              <w:t> </w:t>
            </w:r>
          </w:p>
        </w:tc>
        <w:tc>
          <w:tcPr>
            <w:tcW w:w="175" w:type="dxa"/>
            <w:tcBorders/>
            <w:shd w:fill="auto" w:val="clear"/>
            <w:vAlign w:val="center"/>
          </w:tcPr>
          <w:p>
            <w:pPr>
              <w:pStyle w:val="TableContents"/>
              <w:spacing w:before="0" w:after="283"/>
              <w:rPr>
                <w:sz w:val="4"/>
                <w:szCs w:val="4"/>
              </w:rPr>
            </w:pPr>
            <w:r>
              <w:rPr>
                <w:sz w:val="4"/>
                <w:szCs w:val="4"/>
              </w:rPr>
            </w:r>
          </w:p>
        </w:tc>
        <w:tc>
          <w:tcPr>
            <w:tcW w:w="216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sz w:val="4"/>
                <w:szCs w:val="4"/>
              </w:rPr>
            </w:pPr>
            <w:r>
              <w:rPr>
                <w:sz w:val="4"/>
                <w:szCs w:val="4"/>
              </w:rPr>
            </w:r>
          </w:p>
        </w:tc>
        <w:tc>
          <w:tcPr>
            <w:tcW w:w="108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86" w:type="dxa"/>
            <w:tcBorders/>
            <w:shd w:fill="auto" w:val="clear"/>
            <w:vAlign w:val="center"/>
          </w:tcPr>
          <w:p>
            <w:pPr>
              <w:pStyle w:val="TableContents"/>
              <w:spacing w:before="0" w:after="283"/>
              <w:rPr>
                <w:sz w:val="4"/>
                <w:szCs w:val="4"/>
              </w:rPr>
            </w:pPr>
            <w:r>
              <w:rPr>
                <w:sz w:val="4"/>
                <w:szCs w:val="4"/>
              </w:rPr>
            </w:r>
          </w:p>
        </w:tc>
        <w:tc>
          <w:tcPr>
            <w:tcW w:w="74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283"/>
              <w:rPr>
                <w:sz w:val="4"/>
                <w:szCs w:val="4"/>
              </w:rPr>
            </w:pPr>
            <w:r>
              <w:rPr>
                <w:sz w:val="4"/>
                <w:szCs w:val="4"/>
              </w:rPr>
            </w:r>
          </w:p>
        </w:tc>
        <w:tc>
          <w:tcPr>
            <w:tcW w:w="12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85"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845" w:type="dxa"/>
            <w:tcBorders/>
            <w:shd w:fill="auto" w:val="clear"/>
            <w:vAlign w:val="center"/>
          </w:tcPr>
          <w:p>
            <w:pPr>
              <w:pStyle w:val="TableContents"/>
              <w:spacing w:lineRule="atLeast" w:line="240" w:before="0" w:after="0"/>
              <w:rPr>
                <w:rFonts w:ascii="ARIAL" w:hAnsi="ARIAL"/>
                <w:sz w:val="16"/>
              </w:rPr>
            </w:pPr>
            <w:r>
              <w:rPr>
                <w:rFonts w:ascii="ARIAL" w:hAnsi="ARIAL"/>
                <w:sz w:val="16"/>
              </w:rPr>
              <w:t>Voluntary termination</w:t>
            </w:r>
          </w:p>
        </w:tc>
        <w:tc>
          <w:tcPr>
            <w:tcW w:w="60" w:type="dxa"/>
            <w:tcBorders/>
            <w:shd w:fill="auto" w:val="clear"/>
            <w:vAlign w:val="center"/>
          </w:tcPr>
          <w:p>
            <w:pPr>
              <w:pStyle w:val="TableContents"/>
              <w:spacing w:before="0" w:after="283"/>
              <w:rPr/>
            </w:pPr>
            <w:r>
              <w:rPr/>
              <w:t> </w:t>
            </w:r>
          </w:p>
        </w:tc>
        <w:tc>
          <w:tcPr>
            <w:tcW w:w="71" w:type="dxa"/>
            <w:tcBorders/>
            <w:shd w:fill="auto" w:val="clear"/>
            <w:vAlign w:val="center"/>
          </w:tcPr>
          <w:p>
            <w:pPr>
              <w:pStyle w:val="TableContents"/>
              <w:spacing w:lineRule="atLeast" w:line="240" w:before="0" w:after="0"/>
              <w:rPr/>
            </w:pPr>
            <w:r>
              <w:rPr/>
              <w:t> </w:t>
            </w:r>
          </w:p>
        </w:tc>
        <w:tc>
          <w:tcPr>
            <w:tcW w:w="984"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555" w:type="dxa"/>
            <w:tcBorders/>
            <w:shd w:fill="auto" w:val="clear"/>
            <w:vAlign w:val="center"/>
          </w:tcPr>
          <w:p>
            <w:pPr>
              <w:pStyle w:val="TableContents"/>
              <w:spacing w:lineRule="atLeast" w:line="240" w:before="0" w:after="0"/>
              <w:rPr/>
            </w:pPr>
            <w:r>
              <w:rPr/>
              <w:t> </w:t>
            </w:r>
          </w:p>
        </w:tc>
        <w:tc>
          <w:tcPr>
            <w:tcW w:w="740"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w:t>
            </w:r>
          </w:p>
        </w:tc>
        <w:tc>
          <w:tcPr>
            <w:tcW w:w="175" w:type="dxa"/>
            <w:tcBorders/>
            <w:shd w:fill="auto" w:val="clear"/>
            <w:vAlign w:val="center"/>
          </w:tcPr>
          <w:p>
            <w:pPr>
              <w:pStyle w:val="TableContents"/>
              <w:spacing w:lineRule="atLeast" w:line="240" w:before="0" w:after="0"/>
              <w:rPr/>
            </w:pPr>
            <w:r>
              <w:rPr/>
              <w:t> </w:t>
            </w:r>
          </w:p>
        </w:tc>
        <w:tc>
          <w:tcPr>
            <w:tcW w:w="175" w:type="dxa"/>
            <w:tcBorders/>
            <w:shd w:fill="auto" w:val="clear"/>
            <w:vAlign w:val="center"/>
          </w:tcPr>
          <w:p>
            <w:pPr>
              <w:pStyle w:val="TableContents"/>
              <w:spacing w:before="0" w:after="283"/>
              <w:rPr/>
            </w:pPr>
            <w:r>
              <w:rPr/>
              <w:t> </w:t>
            </w:r>
          </w:p>
        </w:tc>
        <w:tc>
          <w:tcPr>
            <w:tcW w:w="175" w:type="dxa"/>
            <w:tcBorders/>
            <w:shd w:fill="auto" w:val="clear"/>
            <w:vAlign w:val="center"/>
          </w:tcPr>
          <w:p>
            <w:pPr>
              <w:pStyle w:val="TableContents"/>
              <w:spacing w:lineRule="atLeast" w:line="240" w:before="0" w:after="0"/>
              <w:rPr/>
            </w:pPr>
            <w:r>
              <w:rPr/>
              <w:t> </w:t>
            </w:r>
          </w:p>
        </w:tc>
        <w:tc>
          <w:tcPr>
            <w:tcW w:w="2162"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lineRule="atLeast" w:line="240" w:before="0" w:after="0"/>
              <w:rPr/>
            </w:pPr>
            <w:r>
              <w:rPr/>
              <w:t> </w:t>
            </w:r>
          </w:p>
        </w:tc>
        <w:tc>
          <w:tcPr>
            <w:tcW w:w="1082"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4,526,032</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86" w:type="dxa"/>
            <w:tcBorders/>
            <w:shd w:fill="auto" w:val="clear"/>
            <w:vAlign w:val="center"/>
          </w:tcPr>
          <w:p>
            <w:pPr>
              <w:pStyle w:val="TableContents"/>
              <w:spacing w:lineRule="atLeast" w:line="240" w:before="0" w:after="0"/>
              <w:rPr/>
            </w:pPr>
            <w:r>
              <w:rPr/>
              <w:t> </w:t>
            </w:r>
          </w:p>
        </w:tc>
        <w:tc>
          <w:tcPr>
            <w:tcW w:w="744"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lineRule="atLeast" w:line="240" w:before="0" w:after="0"/>
              <w:rPr/>
            </w:pPr>
            <w:r>
              <w:rPr/>
              <w:t> </w:t>
            </w:r>
          </w:p>
        </w:tc>
        <w:tc>
          <w:tcPr>
            <w:tcW w:w="1295"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285" w:type="dxa"/>
            <w:tcBorders/>
            <w:shd w:fill="auto" w:val="clear"/>
            <w:vAlign w:val="center"/>
          </w:tcPr>
          <w:p>
            <w:pPr>
              <w:pStyle w:val="TableContents"/>
              <w:spacing w:lineRule="atLeast" w:line="240" w:before="0" w:after="0"/>
              <w:rPr/>
            </w:pPr>
            <w:r>
              <w:rPr/>
              <w:t> </w:t>
            </w:r>
          </w:p>
        </w:tc>
        <w:tc>
          <w:tcPr>
            <w:tcW w:w="380"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lineRule="atLeast" w:line="240" w:before="0" w:after="0"/>
              <w:rPr/>
            </w:pPr>
            <w:r>
              <w:rPr/>
              <w:t> </w:t>
            </w:r>
          </w:p>
        </w:tc>
        <w:tc>
          <w:tcPr>
            <w:tcW w:w="830"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4,526,032</w:t>
            </w:r>
          </w:p>
        </w:tc>
        <w:tc>
          <w:tcPr>
            <w:tcW w:w="75" w:type="dxa"/>
            <w:tcBorders/>
            <w:shd w:fill="auto" w:val="clear"/>
            <w:vAlign w:val="center"/>
          </w:tcPr>
          <w:p>
            <w:pPr>
              <w:pStyle w:val="TableContents"/>
              <w:spacing w:lineRule="atLeast" w:line="240" w:before="0" w:after="0"/>
              <w:rPr/>
            </w:pPr>
            <w:r>
              <w:rPr/>
              <w:t> </w:t>
            </w:r>
          </w:p>
        </w:tc>
      </w:tr>
      <w:tr>
        <w:trPr/>
        <w:tc>
          <w:tcPr>
            <w:tcW w:w="845" w:type="dxa"/>
            <w:tcBorders/>
            <w:shd w:fill="auto" w:val="clear"/>
            <w:vAlign w:val="center"/>
          </w:tcPr>
          <w:p>
            <w:pPr>
              <w:pStyle w:val="TableContents"/>
              <w:spacing w:lineRule="atLeast" w:line="240" w:before="0" w:after="0"/>
              <w:rPr>
                <w:rFonts w:ascii="ARIAL" w:hAnsi="ARIAL"/>
                <w:sz w:val="16"/>
              </w:rPr>
            </w:pPr>
            <w:r>
              <w:rPr>
                <w:rFonts w:ascii="ARIAL" w:hAnsi="ARIAL"/>
                <w:sz w:val="16"/>
              </w:rPr>
              <w:t>Involuntary termination</w:t>
            </w:r>
          </w:p>
        </w:tc>
        <w:tc>
          <w:tcPr>
            <w:tcW w:w="60" w:type="dxa"/>
            <w:tcBorders/>
            <w:shd w:fill="auto" w:val="clear"/>
            <w:vAlign w:val="center"/>
          </w:tcPr>
          <w:p>
            <w:pPr>
              <w:pStyle w:val="TableContents"/>
              <w:spacing w:before="0" w:after="283"/>
              <w:rPr/>
            </w:pPr>
            <w:r>
              <w:rPr/>
              <w:t> </w:t>
            </w:r>
          </w:p>
        </w:tc>
        <w:tc>
          <w:tcPr>
            <w:tcW w:w="71" w:type="dxa"/>
            <w:tcBorders/>
            <w:shd w:fill="auto" w:val="clear"/>
            <w:vAlign w:val="center"/>
          </w:tcPr>
          <w:p>
            <w:pPr>
              <w:pStyle w:val="TableContents"/>
              <w:spacing w:lineRule="atLeast" w:line="240" w:before="0" w:after="0"/>
              <w:rPr/>
            </w:pPr>
            <w:r>
              <w:rPr/>
              <w:t> </w:t>
            </w:r>
          </w:p>
        </w:tc>
        <w:tc>
          <w:tcPr>
            <w:tcW w:w="984"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1,496,777</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555" w:type="dxa"/>
            <w:tcBorders/>
            <w:shd w:fill="auto" w:val="clear"/>
            <w:vAlign w:val="center"/>
          </w:tcPr>
          <w:p>
            <w:pPr>
              <w:pStyle w:val="TableContents"/>
              <w:spacing w:lineRule="atLeast" w:line="240" w:before="0" w:after="0"/>
              <w:rPr/>
            </w:pPr>
            <w:r>
              <w:rPr/>
              <w:t> </w:t>
            </w:r>
          </w:p>
        </w:tc>
        <w:tc>
          <w:tcPr>
            <w:tcW w:w="740"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w:t>
            </w:r>
          </w:p>
        </w:tc>
        <w:tc>
          <w:tcPr>
            <w:tcW w:w="175" w:type="dxa"/>
            <w:tcBorders/>
            <w:shd w:fill="auto" w:val="clear"/>
            <w:vAlign w:val="center"/>
          </w:tcPr>
          <w:p>
            <w:pPr>
              <w:pStyle w:val="TableContents"/>
              <w:spacing w:lineRule="atLeast" w:line="240" w:before="0" w:after="0"/>
              <w:rPr/>
            </w:pPr>
            <w:r>
              <w:rPr/>
              <w:t> </w:t>
            </w:r>
          </w:p>
        </w:tc>
        <w:tc>
          <w:tcPr>
            <w:tcW w:w="175" w:type="dxa"/>
            <w:tcBorders/>
            <w:shd w:fill="auto" w:val="clear"/>
            <w:vAlign w:val="center"/>
          </w:tcPr>
          <w:p>
            <w:pPr>
              <w:pStyle w:val="TableContents"/>
              <w:spacing w:before="0" w:after="283"/>
              <w:rPr/>
            </w:pPr>
            <w:r>
              <w:rPr/>
              <w:t> </w:t>
            </w:r>
          </w:p>
        </w:tc>
        <w:tc>
          <w:tcPr>
            <w:tcW w:w="175" w:type="dxa"/>
            <w:tcBorders/>
            <w:shd w:fill="auto" w:val="clear"/>
            <w:vAlign w:val="center"/>
          </w:tcPr>
          <w:p>
            <w:pPr>
              <w:pStyle w:val="TableContents"/>
              <w:spacing w:lineRule="atLeast" w:line="240" w:before="0" w:after="0"/>
              <w:rPr/>
            </w:pPr>
            <w:r>
              <w:rPr/>
              <w:t> </w:t>
            </w:r>
          </w:p>
        </w:tc>
        <w:tc>
          <w:tcPr>
            <w:tcW w:w="2162"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1,243,801</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lineRule="atLeast" w:line="240" w:before="0" w:after="0"/>
              <w:rPr/>
            </w:pPr>
            <w:r>
              <w:rPr/>
              <w:t> </w:t>
            </w:r>
          </w:p>
        </w:tc>
        <w:tc>
          <w:tcPr>
            <w:tcW w:w="1082"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4,526,032</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86" w:type="dxa"/>
            <w:tcBorders/>
            <w:shd w:fill="auto" w:val="clear"/>
            <w:vAlign w:val="center"/>
          </w:tcPr>
          <w:p>
            <w:pPr>
              <w:pStyle w:val="TableContents"/>
              <w:spacing w:lineRule="atLeast" w:line="240" w:before="0" w:after="0"/>
              <w:rPr/>
            </w:pPr>
            <w:r>
              <w:rPr/>
              <w:t> </w:t>
            </w:r>
          </w:p>
        </w:tc>
        <w:tc>
          <w:tcPr>
            <w:tcW w:w="744"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25,176</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lineRule="atLeast" w:line="240" w:before="0" w:after="0"/>
              <w:rPr/>
            </w:pPr>
            <w:r>
              <w:rPr/>
              <w:t> </w:t>
            </w:r>
          </w:p>
        </w:tc>
        <w:tc>
          <w:tcPr>
            <w:tcW w:w="1295"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285" w:type="dxa"/>
            <w:tcBorders/>
            <w:shd w:fill="auto" w:val="clear"/>
            <w:vAlign w:val="center"/>
          </w:tcPr>
          <w:p>
            <w:pPr>
              <w:pStyle w:val="TableContents"/>
              <w:spacing w:lineRule="atLeast" w:line="240" w:before="0" w:after="0"/>
              <w:rPr/>
            </w:pPr>
            <w:r>
              <w:rPr/>
              <w:t> </w:t>
            </w:r>
          </w:p>
        </w:tc>
        <w:tc>
          <w:tcPr>
            <w:tcW w:w="380"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lineRule="atLeast" w:line="240" w:before="0" w:after="0"/>
              <w:rPr/>
            </w:pPr>
            <w:r>
              <w:rPr/>
              <w:t> </w:t>
            </w:r>
          </w:p>
        </w:tc>
        <w:tc>
          <w:tcPr>
            <w:tcW w:w="830"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7,291,786</w:t>
            </w:r>
          </w:p>
        </w:tc>
        <w:tc>
          <w:tcPr>
            <w:tcW w:w="75" w:type="dxa"/>
            <w:tcBorders/>
            <w:shd w:fill="auto" w:val="clear"/>
            <w:vAlign w:val="center"/>
          </w:tcPr>
          <w:p>
            <w:pPr>
              <w:pStyle w:val="TableContents"/>
              <w:spacing w:lineRule="atLeast" w:line="240" w:before="0" w:after="0"/>
              <w:rPr/>
            </w:pPr>
            <w:r>
              <w:rPr/>
              <w:t> </w:t>
            </w:r>
          </w:p>
        </w:tc>
      </w:tr>
      <w:tr>
        <w:trPr/>
        <w:tc>
          <w:tcPr>
            <w:tcW w:w="845" w:type="dxa"/>
            <w:tcBorders/>
            <w:shd w:fill="auto" w:val="clear"/>
            <w:vAlign w:val="center"/>
          </w:tcPr>
          <w:p>
            <w:pPr>
              <w:pStyle w:val="TableContents"/>
              <w:spacing w:lineRule="atLeast" w:line="240" w:before="0" w:after="0"/>
              <w:rPr>
                <w:rFonts w:ascii="ARIAL" w:hAnsi="ARIAL"/>
                <w:sz w:val="16"/>
              </w:rPr>
            </w:pPr>
            <w:r>
              <w:rPr>
                <w:rFonts w:ascii="ARIAL" w:hAnsi="ARIAL"/>
                <w:sz w:val="16"/>
              </w:rPr>
              <w:t>Change in control of the company (1)</w:t>
            </w:r>
          </w:p>
        </w:tc>
        <w:tc>
          <w:tcPr>
            <w:tcW w:w="60" w:type="dxa"/>
            <w:tcBorders/>
            <w:shd w:fill="auto" w:val="clear"/>
            <w:vAlign w:val="center"/>
          </w:tcPr>
          <w:p>
            <w:pPr>
              <w:pStyle w:val="TableContents"/>
              <w:spacing w:before="0" w:after="283"/>
              <w:rPr/>
            </w:pPr>
            <w:r>
              <w:rPr/>
              <w:t> </w:t>
            </w:r>
          </w:p>
        </w:tc>
        <w:tc>
          <w:tcPr>
            <w:tcW w:w="71" w:type="dxa"/>
            <w:tcBorders/>
            <w:shd w:fill="auto" w:val="clear"/>
            <w:vAlign w:val="center"/>
          </w:tcPr>
          <w:p>
            <w:pPr>
              <w:pStyle w:val="TableContents"/>
              <w:spacing w:lineRule="atLeast" w:line="240" w:before="0" w:after="0"/>
              <w:rPr/>
            </w:pPr>
            <w:r>
              <w:rPr/>
              <w:t> </w:t>
            </w:r>
          </w:p>
        </w:tc>
        <w:tc>
          <w:tcPr>
            <w:tcW w:w="984"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4,612,677</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555" w:type="dxa"/>
            <w:tcBorders/>
            <w:shd w:fill="auto" w:val="clear"/>
            <w:vAlign w:val="center"/>
          </w:tcPr>
          <w:p>
            <w:pPr>
              <w:pStyle w:val="TableContents"/>
              <w:spacing w:lineRule="atLeast" w:line="240" w:before="0" w:after="0"/>
              <w:rPr/>
            </w:pPr>
            <w:r>
              <w:rPr/>
              <w:t> </w:t>
            </w:r>
          </w:p>
        </w:tc>
        <w:tc>
          <w:tcPr>
            <w:tcW w:w="740"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w:t>
            </w:r>
          </w:p>
        </w:tc>
        <w:tc>
          <w:tcPr>
            <w:tcW w:w="175" w:type="dxa"/>
            <w:tcBorders/>
            <w:shd w:fill="auto" w:val="clear"/>
            <w:vAlign w:val="center"/>
          </w:tcPr>
          <w:p>
            <w:pPr>
              <w:pStyle w:val="TableContents"/>
              <w:spacing w:lineRule="atLeast" w:line="240" w:before="0" w:after="0"/>
              <w:rPr/>
            </w:pPr>
            <w:r>
              <w:rPr/>
              <w:t> </w:t>
            </w:r>
          </w:p>
        </w:tc>
        <w:tc>
          <w:tcPr>
            <w:tcW w:w="175" w:type="dxa"/>
            <w:tcBorders/>
            <w:shd w:fill="auto" w:val="clear"/>
            <w:vAlign w:val="center"/>
          </w:tcPr>
          <w:p>
            <w:pPr>
              <w:pStyle w:val="TableContents"/>
              <w:spacing w:before="0" w:after="283"/>
              <w:rPr/>
            </w:pPr>
            <w:r>
              <w:rPr/>
              <w:t> </w:t>
            </w:r>
          </w:p>
        </w:tc>
        <w:tc>
          <w:tcPr>
            <w:tcW w:w="175" w:type="dxa"/>
            <w:tcBorders/>
            <w:shd w:fill="auto" w:val="clear"/>
            <w:vAlign w:val="center"/>
          </w:tcPr>
          <w:p>
            <w:pPr>
              <w:pStyle w:val="TableContents"/>
              <w:spacing w:lineRule="atLeast" w:line="240" w:before="0" w:after="0"/>
              <w:rPr/>
            </w:pPr>
            <w:r>
              <w:rPr/>
              <w:t> </w:t>
            </w:r>
          </w:p>
        </w:tc>
        <w:tc>
          <w:tcPr>
            <w:tcW w:w="2162"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1,243,801</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lineRule="atLeast" w:line="240" w:before="0" w:after="0"/>
              <w:rPr/>
            </w:pPr>
            <w:r>
              <w:rPr/>
              <w:t> </w:t>
            </w:r>
          </w:p>
        </w:tc>
        <w:tc>
          <w:tcPr>
            <w:tcW w:w="1082"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6,036,267</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86" w:type="dxa"/>
            <w:tcBorders/>
            <w:shd w:fill="auto" w:val="clear"/>
            <w:vAlign w:val="center"/>
          </w:tcPr>
          <w:p>
            <w:pPr>
              <w:pStyle w:val="TableContents"/>
              <w:spacing w:lineRule="atLeast" w:line="240" w:before="0" w:after="0"/>
              <w:rPr/>
            </w:pPr>
            <w:r>
              <w:rPr/>
              <w:t> </w:t>
            </w:r>
          </w:p>
        </w:tc>
        <w:tc>
          <w:tcPr>
            <w:tcW w:w="744"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37,763</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lineRule="atLeast" w:line="240" w:before="0" w:after="0"/>
              <w:rPr/>
            </w:pPr>
            <w:r>
              <w:rPr/>
              <w:t> </w:t>
            </w:r>
          </w:p>
        </w:tc>
        <w:tc>
          <w:tcPr>
            <w:tcW w:w="1295"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25,000</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285" w:type="dxa"/>
            <w:tcBorders/>
            <w:shd w:fill="auto" w:val="clear"/>
            <w:vAlign w:val="center"/>
          </w:tcPr>
          <w:p>
            <w:pPr>
              <w:pStyle w:val="TableContents"/>
              <w:spacing w:lineRule="atLeast" w:line="240" w:before="0" w:after="0"/>
              <w:rPr/>
            </w:pPr>
            <w:r>
              <w:rPr/>
              <w:t> </w:t>
            </w:r>
          </w:p>
        </w:tc>
        <w:tc>
          <w:tcPr>
            <w:tcW w:w="380"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w:t>
            </w:r>
          </w:p>
        </w:tc>
        <w:tc>
          <w:tcPr>
            <w:tcW w:w="60" w:type="dxa"/>
            <w:tcBorders/>
            <w:shd w:fill="auto" w:val="clear"/>
            <w:vAlign w:val="center"/>
          </w:tcPr>
          <w:p>
            <w:pPr>
              <w:pStyle w:val="TableContents"/>
              <w:spacing w:lineRule="atLeast" w:line="240"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lineRule="atLeast" w:line="240" w:before="0" w:after="0"/>
              <w:rPr/>
            </w:pPr>
            <w:r>
              <w:rPr/>
              <w:t> </w:t>
            </w:r>
          </w:p>
        </w:tc>
        <w:tc>
          <w:tcPr>
            <w:tcW w:w="830" w:type="dxa"/>
            <w:tcBorders/>
            <w:shd w:fill="auto" w:val="clear"/>
            <w:vAlign w:val="center"/>
          </w:tcPr>
          <w:p>
            <w:pPr>
              <w:pStyle w:val="TableContents"/>
              <w:spacing w:lineRule="atLeast" w:line="240" w:before="0" w:after="0"/>
              <w:jc w:val="right"/>
              <w:rPr>
                <w:rFonts w:ascii="ARIAL" w:hAnsi="ARIAL"/>
                <w:sz w:val="16"/>
              </w:rPr>
            </w:pPr>
            <w:r>
              <w:rPr>
                <w:rFonts w:ascii="ARIAL" w:hAnsi="ARIAL"/>
                <w:sz w:val="16"/>
              </w:rPr>
              <w:t>11,955,508</w:t>
            </w:r>
          </w:p>
        </w:tc>
        <w:tc>
          <w:tcPr>
            <w:tcW w:w="75" w:type="dxa"/>
            <w:tcBorders/>
            <w:shd w:fill="auto" w:val="clear"/>
            <w:vAlign w:val="center"/>
          </w:tcPr>
          <w:p>
            <w:pPr>
              <w:pStyle w:val="TableContents"/>
              <w:spacing w:lineRule="atLeast" w:line="240" w:before="0" w:after="0"/>
              <w:rPr/>
            </w:pPr>
            <w:r>
              <w:rPr/>
              <w:t> </w:t>
            </w:r>
          </w:p>
        </w:tc>
      </w:tr>
      <w:tr>
        <w:trPr/>
        <w:tc>
          <w:tcPr>
            <w:tcW w:w="84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71" w:type="dxa"/>
            <w:tcBorders/>
            <w:shd w:fill="auto" w:val="clear"/>
            <w:vAlign w:val="center"/>
          </w:tcPr>
          <w:p>
            <w:pPr>
              <w:pStyle w:val="TableContents"/>
              <w:spacing w:before="0" w:after="283"/>
              <w:rPr>
                <w:sz w:val="4"/>
                <w:szCs w:val="4"/>
              </w:rPr>
            </w:pPr>
            <w:r>
              <w:rPr>
                <w:sz w:val="4"/>
                <w:szCs w:val="4"/>
              </w:rPr>
            </w:r>
          </w:p>
        </w:tc>
        <w:tc>
          <w:tcPr>
            <w:tcW w:w="98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555"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pPr>
            <w:r>
              <w:rPr/>
              <w:t> </w:t>
            </w:r>
          </w:p>
        </w:tc>
        <w:tc>
          <w:tcPr>
            <w:tcW w:w="175" w:type="dxa"/>
            <w:tcBorders/>
            <w:shd w:fill="auto" w:val="clear"/>
            <w:vAlign w:val="center"/>
          </w:tcPr>
          <w:p>
            <w:pPr>
              <w:pStyle w:val="TableContents"/>
              <w:spacing w:before="0" w:after="283"/>
              <w:rPr>
                <w:sz w:val="4"/>
                <w:szCs w:val="4"/>
              </w:rPr>
            </w:pPr>
            <w:r>
              <w:rPr>
                <w:sz w:val="4"/>
                <w:szCs w:val="4"/>
              </w:rPr>
            </w:r>
          </w:p>
        </w:tc>
        <w:tc>
          <w:tcPr>
            <w:tcW w:w="216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sz w:val="4"/>
                <w:szCs w:val="4"/>
              </w:rPr>
            </w:pPr>
            <w:r>
              <w:rPr>
                <w:sz w:val="4"/>
                <w:szCs w:val="4"/>
              </w:rPr>
            </w:r>
          </w:p>
        </w:tc>
        <w:tc>
          <w:tcPr>
            <w:tcW w:w="108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86" w:type="dxa"/>
            <w:tcBorders/>
            <w:shd w:fill="auto" w:val="clear"/>
            <w:vAlign w:val="center"/>
          </w:tcPr>
          <w:p>
            <w:pPr>
              <w:pStyle w:val="TableContents"/>
              <w:spacing w:before="0" w:after="283"/>
              <w:rPr>
                <w:sz w:val="4"/>
                <w:szCs w:val="4"/>
              </w:rPr>
            </w:pPr>
            <w:r>
              <w:rPr>
                <w:sz w:val="4"/>
                <w:szCs w:val="4"/>
              </w:rPr>
            </w:r>
          </w:p>
        </w:tc>
        <w:tc>
          <w:tcPr>
            <w:tcW w:w="74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283"/>
              <w:rPr>
                <w:sz w:val="4"/>
                <w:szCs w:val="4"/>
              </w:rPr>
            </w:pPr>
            <w:r>
              <w:rPr>
                <w:sz w:val="4"/>
                <w:szCs w:val="4"/>
              </w:rPr>
            </w:r>
          </w:p>
        </w:tc>
        <w:tc>
          <w:tcPr>
            <w:tcW w:w="12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85"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845" w:type="dxa"/>
            <w:tcBorders/>
            <w:shd w:fill="CEE8F6" w:val="clear"/>
            <w:vAlign w:val="center"/>
          </w:tcPr>
          <w:p>
            <w:pPr>
              <w:pStyle w:val="TableContents"/>
              <w:spacing w:lineRule="atLeast" w:line="240" w:before="0" w:after="0"/>
              <w:rPr>
                <w:rFonts w:ascii="ARIAL" w:hAnsi="ARIAL"/>
                <w:b/>
                <w:sz w:val="16"/>
              </w:rPr>
            </w:pPr>
            <w:r>
              <w:rPr>
                <w:rFonts w:ascii="ARIAL" w:hAnsi="ARIAL"/>
                <w:b/>
                <w:sz w:val="16"/>
              </w:rPr>
              <w:t>Mark B. Medley</w:t>
            </w:r>
          </w:p>
        </w:tc>
        <w:tc>
          <w:tcPr>
            <w:tcW w:w="60" w:type="dxa"/>
            <w:tcBorders/>
            <w:shd w:fill="CEE8F6" w:val="clear"/>
            <w:vAlign w:val="center"/>
          </w:tcPr>
          <w:p>
            <w:pPr>
              <w:pStyle w:val="TableContents"/>
              <w:spacing w:before="0" w:after="283"/>
              <w:rPr/>
            </w:pPr>
            <w:r>
              <w:rPr/>
              <w:t> </w:t>
            </w:r>
          </w:p>
        </w:tc>
        <w:tc>
          <w:tcPr>
            <w:tcW w:w="71" w:type="dxa"/>
            <w:tcBorders/>
            <w:shd w:fill="CEE8F6" w:val="clear"/>
            <w:vAlign w:val="center"/>
          </w:tcPr>
          <w:p>
            <w:pPr>
              <w:pStyle w:val="TableContents"/>
              <w:spacing w:before="0" w:after="283"/>
              <w:rPr>
                <w:sz w:val="4"/>
                <w:szCs w:val="4"/>
              </w:rPr>
            </w:pPr>
            <w:r>
              <w:rPr>
                <w:sz w:val="4"/>
                <w:szCs w:val="4"/>
              </w:rPr>
            </w:r>
          </w:p>
        </w:tc>
        <w:tc>
          <w:tcPr>
            <w:tcW w:w="984"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pPr>
            <w:r>
              <w:rPr/>
              <w:t> </w:t>
            </w:r>
          </w:p>
        </w:tc>
        <w:tc>
          <w:tcPr>
            <w:tcW w:w="555" w:type="dxa"/>
            <w:tcBorders/>
            <w:shd w:fill="CEE8F6" w:val="clear"/>
            <w:vAlign w:val="center"/>
          </w:tcPr>
          <w:p>
            <w:pPr>
              <w:pStyle w:val="TableContents"/>
              <w:spacing w:before="0" w:after="283"/>
              <w:rPr>
                <w:sz w:val="4"/>
                <w:szCs w:val="4"/>
              </w:rPr>
            </w:pPr>
            <w:r>
              <w:rPr>
                <w:sz w:val="4"/>
                <w:szCs w:val="4"/>
              </w:rPr>
            </w:r>
          </w:p>
        </w:tc>
        <w:tc>
          <w:tcPr>
            <w:tcW w:w="740" w:type="dxa"/>
            <w:tcBorders/>
            <w:shd w:fill="CEE8F6" w:val="clear"/>
            <w:vAlign w:val="center"/>
          </w:tcPr>
          <w:p>
            <w:pPr>
              <w:pStyle w:val="TableContents"/>
              <w:spacing w:before="0" w:after="283"/>
              <w:rPr>
                <w:sz w:val="4"/>
                <w:szCs w:val="4"/>
              </w:rPr>
            </w:pPr>
            <w:r>
              <w:rPr>
                <w:sz w:val="4"/>
                <w:szCs w:val="4"/>
              </w:rPr>
            </w:r>
          </w:p>
        </w:tc>
        <w:tc>
          <w:tcPr>
            <w:tcW w:w="175" w:type="dxa"/>
            <w:tcBorders/>
            <w:shd w:fill="CEE8F6" w:val="clear"/>
            <w:vAlign w:val="center"/>
          </w:tcPr>
          <w:p>
            <w:pPr>
              <w:pStyle w:val="TableContents"/>
              <w:spacing w:before="0" w:after="283"/>
              <w:rPr>
                <w:sz w:val="4"/>
                <w:szCs w:val="4"/>
              </w:rPr>
            </w:pPr>
            <w:r>
              <w:rPr>
                <w:sz w:val="4"/>
                <w:szCs w:val="4"/>
              </w:rPr>
            </w:r>
          </w:p>
        </w:tc>
        <w:tc>
          <w:tcPr>
            <w:tcW w:w="175" w:type="dxa"/>
            <w:tcBorders/>
            <w:shd w:fill="CEE8F6" w:val="clear"/>
            <w:vAlign w:val="center"/>
          </w:tcPr>
          <w:p>
            <w:pPr>
              <w:pStyle w:val="TableContents"/>
              <w:spacing w:before="0" w:after="283"/>
              <w:rPr/>
            </w:pPr>
            <w:r>
              <w:rPr/>
              <w:t> </w:t>
            </w:r>
          </w:p>
        </w:tc>
        <w:tc>
          <w:tcPr>
            <w:tcW w:w="175" w:type="dxa"/>
            <w:tcBorders/>
            <w:shd w:fill="CEE8F6" w:val="clear"/>
            <w:vAlign w:val="center"/>
          </w:tcPr>
          <w:p>
            <w:pPr>
              <w:pStyle w:val="TableContents"/>
              <w:spacing w:before="0" w:after="283"/>
              <w:rPr>
                <w:sz w:val="4"/>
                <w:szCs w:val="4"/>
              </w:rPr>
            </w:pPr>
            <w:r>
              <w:rPr>
                <w:sz w:val="4"/>
                <w:szCs w:val="4"/>
              </w:rPr>
            </w:r>
          </w:p>
        </w:tc>
        <w:tc>
          <w:tcPr>
            <w:tcW w:w="2162"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pPr>
            <w:r>
              <w:rPr/>
              <w:t> </w:t>
            </w:r>
          </w:p>
        </w:tc>
        <w:tc>
          <w:tcPr>
            <w:tcW w:w="78" w:type="dxa"/>
            <w:tcBorders/>
            <w:shd w:fill="CEE8F6" w:val="clear"/>
            <w:vAlign w:val="center"/>
          </w:tcPr>
          <w:p>
            <w:pPr>
              <w:pStyle w:val="TableContents"/>
              <w:spacing w:before="0" w:after="283"/>
              <w:rPr>
                <w:sz w:val="4"/>
                <w:szCs w:val="4"/>
              </w:rPr>
            </w:pPr>
            <w:r>
              <w:rPr>
                <w:sz w:val="4"/>
                <w:szCs w:val="4"/>
              </w:rPr>
            </w:r>
          </w:p>
        </w:tc>
        <w:tc>
          <w:tcPr>
            <w:tcW w:w="1082"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pPr>
            <w:r>
              <w:rPr/>
              <w:t> </w:t>
            </w:r>
          </w:p>
        </w:tc>
        <w:tc>
          <w:tcPr>
            <w:tcW w:w="86" w:type="dxa"/>
            <w:tcBorders/>
            <w:shd w:fill="CEE8F6" w:val="clear"/>
            <w:vAlign w:val="center"/>
          </w:tcPr>
          <w:p>
            <w:pPr>
              <w:pStyle w:val="TableContents"/>
              <w:spacing w:before="0" w:after="283"/>
              <w:rPr>
                <w:sz w:val="4"/>
                <w:szCs w:val="4"/>
              </w:rPr>
            </w:pPr>
            <w:r>
              <w:rPr>
                <w:sz w:val="4"/>
                <w:szCs w:val="4"/>
              </w:rPr>
            </w:r>
          </w:p>
        </w:tc>
        <w:tc>
          <w:tcPr>
            <w:tcW w:w="744"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pPr>
            <w:r>
              <w:rPr/>
              <w:t> </w:t>
            </w:r>
          </w:p>
        </w:tc>
        <w:tc>
          <w:tcPr>
            <w:tcW w:w="150" w:type="dxa"/>
            <w:tcBorders/>
            <w:shd w:fill="CEE8F6" w:val="clear"/>
            <w:vAlign w:val="center"/>
          </w:tcPr>
          <w:p>
            <w:pPr>
              <w:pStyle w:val="TableContents"/>
              <w:spacing w:before="0" w:after="283"/>
              <w:rPr>
                <w:sz w:val="4"/>
                <w:szCs w:val="4"/>
              </w:rPr>
            </w:pPr>
            <w:r>
              <w:rPr>
                <w:sz w:val="4"/>
                <w:szCs w:val="4"/>
              </w:rPr>
            </w:r>
          </w:p>
        </w:tc>
        <w:tc>
          <w:tcPr>
            <w:tcW w:w="1295"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pPr>
            <w:r>
              <w:rPr/>
              <w:t> </w:t>
            </w:r>
          </w:p>
        </w:tc>
        <w:tc>
          <w:tcPr>
            <w:tcW w:w="285" w:type="dxa"/>
            <w:tcBorders/>
            <w:shd w:fill="CEE8F6" w:val="clear"/>
            <w:vAlign w:val="center"/>
          </w:tcPr>
          <w:p>
            <w:pPr>
              <w:pStyle w:val="TableContents"/>
              <w:spacing w:before="0" w:after="283"/>
              <w:rPr>
                <w:sz w:val="4"/>
                <w:szCs w:val="4"/>
              </w:rPr>
            </w:pPr>
            <w:r>
              <w:rPr>
                <w:sz w:val="4"/>
                <w:szCs w:val="4"/>
              </w:rPr>
            </w:r>
          </w:p>
        </w:tc>
        <w:tc>
          <w:tcPr>
            <w:tcW w:w="38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sz w:val="4"/>
                <w:szCs w:val="4"/>
              </w:rPr>
            </w:pPr>
            <w:r>
              <w:rPr>
                <w:sz w:val="4"/>
                <w:szCs w:val="4"/>
              </w:rPr>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before="0" w:after="283"/>
              <w:rPr>
                <w:sz w:val="4"/>
                <w:szCs w:val="4"/>
              </w:rPr>
            </w:pPr>
            <w:r>
              <w:rPr>
                <w:sz w:val="4"/>
                <w:szCs w:val="4"/>
              </w:rPr>
            </w:r>
          </w:p>
        </w:tc>
        <w:tc>
          <w:tcPr>
            <w:tcW w:w="830" w:type="dxa"/>
            <w:tcBorders/>
            <w:shd w:fill="CEE8F6" w:val="clear"/>
            <w:vAlign w:val="center"/>
          </w:tcPr>
          <w:p>
            <w:pPr>
              <w:pStyle w:val="TableContents"/>
              <w:spacing w:before="0" w:after="283"/>
              <w:rPr>
                <w:sz w:val="4"/>
                <w:szCs w:val="4"/>
              </w:rPr>
            </w:pPr>
            <w:r>
              <w:rPr>
                <w:sz w:val="4"/>
                <w:szCs w:val="4"/>
              </w:rPr>
            </w:r>
          </w:p>
        </w:tc>
        <w:tc>
          <w:tcPr>
            <w:tcW w:w="75" w:type="dxa"/>
            <w:tcBorders/>
            <w:shd w:fill="CEE8F6" w:val="clear"/>
            <w:vAlign w:val="center"/>
          </w:tcPr>
          <w:p>
            <w:pPr>
              <w:pStyle w:val="TableContents"/>
              <w:spacing w:before="0" w:after="283"/>
              <w:rPr>
                <w:sz w:val="4"/>
                <w:szCs w:val="4"/>
              </w:rPr>
            </w:pPr>
            <w:r>
              <w:rPr>
                <w:sz w:val="4"/>
                <w:szCs w:val="4"/>
              </w:rPr>
            </w:r>
          </w:p>
        </w:tc>
      </w:tr>
      <w:tr>
        <w:trPr/>
        <w:tc>
          <w:tcPr>
            <w:tcW w:w="845" w:type="dxa"/>
            <w:tcBorders/>
            <w:shd w:fill="CEE8F6" w:val="clear"/>
            <w:vAlign w:val="center"/>
          </w:tcPr>
          <w:p>
            <w:pPr>
              <w:pStyle w:val="TableContents"/>
              <w:spacing w:lineRule="atLeast" w:line="240" w:before="0" w:after="0"/>
              <w:rPr>
                <w:rFonts w:ascii="ARIAL" w:hAnsi="ARIAL"/>
                <w:sz w:val="16"/>
              </w:rPr>
            </w:pPr>
            <w:r>
              <w:rPr>
                <w:rFonts w:ascii="ARIAL" w:hAnsi="ARIAL"/>
                <w:sz w:val="16"/>
              </w:rPr>
              <w:t>Voluntary termination</w:t>
            </w:r>
          </w:p>
        </w:tc>
        <w:tc>
          <w:tcPr>
            <w:tcW w:w="60" w:type="dxa"/>
            <w:tcBorders/>
            <w:shd w:fill="CEE8F6" w:val="clear"/>
            <w:vAlign w:val="center"/>
          </w:tcPr>
          <w:p>
            <w:pPr>
              <w:pStyle w:val="TableContents"/>
              <w:spacing w:before="0" w:after="283"/>
              <w:rPr/>
            </w:pPr>
            <w:r>
              <w:rPr/>
              <w:t> </w:t>
            </w:r>
          </w:p>
        </w:tc>
        <w:tc>
          <w:tcPr>
            <w:tcW w:w="71" w:type="dxa"/>
            <w:tcBorders/>
            <w:shd w:fill="CEE8F6" w:val="clear"/>
            <w:vAlign w:val="center"/>
          </w:tcPr>
          <w:p>
            <w:pPr>
              <w:pStyle w:val="TableContents"/>
              <w:spacing w:lineRule="atLeast" w:line="240" w:before="0" w:after="0"/>
              <w:rPr/>
            </w:pPr>
            <w:r>
              <w:rPr/>
              <w:t> </w:t>
            </w:r>
          </w:p>
        </w:tc>
        <w:tc>
          <w:tcPr>
            <w:tcW w:w="984" w:type="dxa"/>
            <w:tcBorders/>
            <w:shd w:fill="CEE8F6" w:val="clear"/>
            <w:vAlign w:val="center"/>
          </w:tcPr>
          <w:p>
            <w:pPr>
              <w:pStyle w:val="TableContents"/>
              <w:spacing w:lineRule="atLeast" w:line="240" w:before="0" w:after="0"/>
              <w:jc w:val="right"/>
              <w:rPr>
                <w:rFonts w:ascii="ARIAL" w:hAnsi="ARIAL"/>
                <w:sz w:val="16"/>
              </w:rPr>
            </w:pPr>
            <w:r>
              <w:rPr>
                <w:rFonts w:ascii="ARIAL" w:hAnsi="ARIAL"/>
                <w:sz w:val="16"/>
              </w:rPr>
              <w:t>-</w:t>
            </w:r>
          </w:p>
        </w:tc>
        <w:tc>
          <w:tcPr>
            <w:tcW w:w="60" w:type="dxa"/>
            <w:tcBorders/>
            <w:shd w:fill="CEE8F6" w:val="clear"/>
            <w:vAlign w:val="center"/>
          </w:tcPr>
          <w:p>
            <w:pPr>
              <w:pStyle w:val="TableContents"/>
              <w:spacing w:lineRule="atLeast" w:line="240" w:before="0" w:after="0"/>
              <w:rPr/>
            </w:pPr>
            <w:r>
              <w:rPr/>
              <w:t> </w:t>
            </w:r>
          </w:p>
        </w:tc>
        <w:tc>
          <w:tcPr>
            <w:tcW w:w="60" w:type="dxa"/>
            <w:tcBorders/>
            <w:shd w:fill="CEE8F6" w:val="clear"/>
            <w:vAlign w:val="center"/>
          </w:tcPr>
          <w:p>
            <w:pPr>
              <w:pStyle w:val="TableContents"/>
              <w:spacing w:before="0" w:after="283"/>
              <w:rPr/>
            </w:pPr>
            <w:r>
              <w:rPr/>
              <w:t> </w:t>
            </w:r>
          </w:p>
        </w:tc>
        <w:tc>
          <w:tcPr>
            <w:tcW w:w="555" w:type="dxa"/>
            <w:tcBorders/>
            <w:shd w:fill="CEE8F6" w:val="clear"/>
            <w:vAlign w:val="center"/>
          </w:tcPr>
          <w:p>
            <w:pPr>
              <w:pStyle w:val="TableContents"/>
              <w:spacing w:lineRule="atLeast" w:line="240" w:before="0" w:after="0"/>
              <w:rPr/>
            </w:pPr>
            <w:r>
              <w:rPr/>
              <w:t> </w:t>
            </w:r>
          </w:p>
        </w:tc>
        <w:tc>
          <w:tcPr>
            <w:tcW w:w="740" w:type="dxa"/>
            <w:tcBorders/>
            <w:shd w:fill="CEE8F6" w:val="clear"/>
            <w:vAlign w:val="center"/>
          </w:tcPr>
          <w:p>
            <w:pPr>
              <w:pStyle w:val="TableContents"/>
              <w:spacing w:lineRule="atLeast" w:line="240" w:before="0" w:after="0"/>
              <w:jc w:val="right"/>
              <w:rPr>
                <w:rFonts w:ascii="ARIAL" w:hAnsi="ARIAL"/>
                <w:sz w:val="16"/>
              </w:rPr>
            </w:pPr>
            <w:r>
              <w:rPr>
                <w:rFonts w:ascii="ARIAL" w:hAnsi="ARIAL"/>
                <w:sz w:val="16"/>
              </w:rPr>
              <w:t>-</w:t>
            </w:r>
          </w:p>
        </w:tc>
        <w:tc>
          <w:tcPr>
            <w:tcW w:w="175" w:type="dxa"/>
            <w:tcBorders/>
            <w:shd w:fill="CEE8F6" w:val="clear"/>
            <w:vAlign w:val="center"/>
          </w:tcPr>
          <w:p>
            <w:pPr>
              <w:pStyle w:val="TableContents"/>
              <w:spacing w:lineRule="atLeast" w:line="240" w:before="0" w:after="0"/>
              <w:rPr/>
            </w:pPr>
            <w:r>
              <w:rPr/>
              <w:t> </w:t>
            </w:r>
          </w:p>
        </w:tc>
        <w:tc>
          <w:tcPr>
            <w:tcW w:w="175" w:type="dxa"/>
            <w:tcBorders/>
            <w:shd w:fill="CEE8F6" w:val="clear"/>
            <w:vAlign w:val="center"/>
          </w:tcPr>
          <w:p>
            <w:pPr>
              <w:pStyle w:val="TableContents"/>
              <w:spacing w:before="0" w:after="283"/>
              <w:rPr/>
            </w:pPr>
            <w:r>
              <w:rPr/>
              <w:t> </w:t>
            </w:r>
          </w:p>
        </w:tc>
        <w:tc>
          <w:tcPr>
            <w:tcW w:w="175" w:type="dxa"/>
            <w:tcBorders/>
            <w:shd w:fill="CEE8F6" w:val="clear"/>
            <w:vAlign w:val="center"/>
          </w:tcPr>
          <w:p>
            <w:pPr>
              <w:pStyle w:val="TableContents"/>
              <w:spacing w:lineRule="atLeast" w:line="240" w:before="0" w:after="0"/>
              <w:rPr/>
            </w:pPr>
            <w:r>
              <w:rPr/>
              <w:t> </w:t>
            </w:r>
          </w:p>
        </w:tc>
        <w:tc>
          <w:tcPr>
            <w:tcW w:w="2162" w:type="dxa"/>
            <w:tcBorders/>
            <w:shd w:fill="CEE8F6" w:val="clear"/>
            <w:vAlign w:val="center"/>
          </w:tcPr>
          <w:p>
            <w:pPr>
              <w:pStyle w:val="TableContents"/>
              <w:spacing w:lineRule="atLeast" w:line="240" w:before="0" w:after="0"/>
              <w:jc w:val="right"/>
              <w:rPr>
                <w:rFonts w:ascii="ARIAL" w:hAnsi="ARIAL"/>
                <w:sz w:val="16"/>
              </w:rPr>
            </w:pPr>
            <w:r>
              <w:rPr>
                <w:rFonts w:ascii="ARIAL" w:hAnsi="ARIAL"/>
                <w:sz w:val="16"/>
              </w:rPr>
              <w:t>-</w:t>
            </w:r>
          </w:p>
        </w:tc>
        <w:tc>
          <w:tcPr>
            <w:tcW w:w="60" w:type="dxa"/>
            <w:tcBorders/>
            <w:shd w:fill="CEE8F6" w:val="clear"/>
            <w:vAlign w:val="center"/>
          </w:tcPr>
          <w:p>
            <w:pPr>
              <w:pStyle w:val="TableContents"/>
              <w:spacing w:lineRule="atLeast" w:line="240" w:before="0" w:after="0"/>
              <w:rPr/>
            </w:pPr>
            <w:r>
              <w:rPr/>
              <w:t> </w:t>
            </w:r>
          </w:p>
        </w:tc>
        <w:tc>
          <w:tcPr>
            <w:tcW w:w="60" w:type="dxa"/>
            <w:tcBorders/>
            <w:shd w:fill="CEE8F6" w:val="clear"/>
            <w:vAlign w:val="center"/>
          </w:tcPr>
          <w:p>
            <w:pPr>
              <w:pStyle w:val="TableContents"/>
              <w:spacing w:before="0" w:after="283"/>
              <w:rPr/>
            </w:pPr>
            <w:r>
              <w:rPr/>
              <w:t> </w:t>
            </w:r>
          </w:p>
        </w:tc>
        <w:tc>
          <w:tcPr>
            <w:tcW w:w="78" w:type="dxa"/>
            <w:tcBorders/>
            <w:shd w:fill="CEE8F6" w:val="clear"/>
            <w:vAlign w:val="center"/>
          </w:tcPr>
          <w:p>
            <w:pPr>
              <w:pStyle w:val="TableContents"/>
              <w:spacing w:lineRule="atLeast" w:line="240" w:before="0" w:after="0"/>
              <w:rPr/>
            </w:pPr>
            <w:r>
              <w:rPr/>
              <w:t> </w:t>
            </w:r>
          </w:p>
        </w:tc>
        <w:tc>
          <w:tcPr>
            <w:tcW w:w="1082" w:type="dxa"/>
            <w:tcBorders/>
            <w:shd w:fill="CEE8F6" w:val="clear"/>
            <w:vAlign w:val="center"/>
          </w:tcPr>
          <w:p>
            <w:pPr>
              <w:pStyle w:val="TableContents"/>
              <w:spacing w:lineRule="atLeast" w:line="240" w:before="0" w:after="0"/>
              <w:jc w:val="right"/>
              <w:rPr>
                <w:rFonts w:ascii="ARIAL" w:hAnsi="ARIAL"/>
                <w:sz w:val="16"/>
              </w:rPr>
            </w:pPr>
            <w:r>
              <w:rPr>
                <w:rFonts w:ascii="ARIAL" w:hAnsi="ARIAL"/>
                <w:sz w:val="16"/>
              </w:rPr>
              <w:t>-</w:t>
            </w:r>
          </w:p>
        </w:tc>
        <w:tc>
          <w:tcPr>
            <w:tcW w:w="60" w:type="dxa"/>
            <w:tcBorders/>
            <w:shd w:fill="CEE8F6" w:val="clear"/>
            <w:vAlign w:val="center"/>
          </w:tcPr>
          <w:p>
            <w:pPr>
              <w:pStyle w:val="TableContents"/>
              <w:spacing w:lineRule="atLeast" w:line="240" w:before="0" w:after="0"/>
              <w:rPr/>
            </w:pPr>
            <w:r>
              <w:rPr/>
              <w:t> </w:t>
            </w:r>
          </w:p>
        </w:tc>
        <w:tc>
          <w:tcPr>
            <w:tcW w:w="60" w:type="dxa"/>
            <w:tcBorders/>
            <w:shd w:fill="CEE8F6" w:val="clear"/>
            <w:vAlign w:val="center"/>
          </w:tcPr>
          <w:p>
            <w:pPr>
              <w:pStyle w:val="TableContents"/>
              <w:spacing w:before="0" w:after="283"/>
              <w:rPr/>
            </w:pPr>
            <w:r>
              <w:rPr/>
              <w:t> </w:t>
            </w:r>
          </w:p>
        </w:tc>
        <w:tc>
          <w:tcPr>
            <w:tcW w:w="86" w:type="dxa"/>
            <w:tcBorders/>
            <w:shd w:fill="CEE8F6" w:val="clear"/>
            <w:vAlign w:val="center"/>
          </w:tcPr>
          <w:p>
            <w:pPr>
              <w:pStyle w:val="TableContents"/>
              <w:spacing w:lineRule="atLeast" w:line="240" w:before="0" w:after="0"/>
              <w:rPr/>
            </w:pPr>
            <w:r>
              <w:rPr/>
              <w:t> </w:t>
            </w:r>
          </w:p>
        </w:tc>
        <w:tc>
          <w:tcPr>
            <w:tcW w:w="744" w:type="dxa"/>
            <w:tcBorders/>
            <w:shd w:fill="CEE8F6" w:val="clear"/>
            <w:vAlign w:val="center"/>
          </w:tcPr>
          <w:p>
            <w:pPr>
              <w:pStyle w:val="TableContents"/>
              <w:spacing w:lineRule="atLeast" w:line="240" w:before="0" w:after="0"/>
              <w:jc w:val="right"/>
              <w:rPr>
                <w:rFonts w:ascii="ARIAL" w:hAnsi="ARIAL"/>
                <w:sz w:val="16"/>
              </w:rPr>
            </w:pPr>
            <w:r>
              <w:rPr>
                <w:rFonts w:ascii="ARIAL" w:hAnsi="ARIAL"/>
                <w:sz w:val="16"/>
              </w:rPr>
              <w:t>-</w:t>
            </w:r>
          </w:p>
        </w:tc>
        <w:tc>
          <w:tcPr>
            <w:tcW w:w="60" w:type="dxa"/>
            <w:tcBorders/>
            <w:shd w:fill="CEE8F6" w:val="clear"/>
            <w:vAlign w:val="center"/>
          </w:tcPr>
          <w:p>
            <w:pPr>
              <w:pStyle w:val="TableContents"/>
              <w:spacing w:lineRule="atLeast" w:line="240" w:before="0" w:after="0"/>
              <w:rPr/>
            </w:pPr>
            <w:r>
              <w:rPr/>
              <w:t> </w:t>
            </w:r>
          </w:p>
        </w:tc>
        <w:tc>
          <w:tcPr>
            <w:tcW w:w="60" w:type="dxa"/>
            <w:tcBorders/>
            <w:shd w:fill="CEE8F6" w:val="clear"/>
            <w:vAlign w:val="center"/>
          </w:tcPr>
          <w:p>
            <w:pPr>
              <w:pStyle w:val="TableContents"/>
              <w:spacing w:before="0" w:after="283"/>
              <w:rPr/>
            </w:pPr>
            <w:r>
              <w:rPr/>
              <w:t> </w:t>
            </w:r>
          </w:p>
        </w:tc>
        <w:tc>
          <w:tcPr>
            <w:tcW w:w="150" w:type="dxa"/>
            <w:tcBorders/>
            <w:shd w:fill="CEE8F6" w:val="clear"/>
            <w:vAlign w:val="center"/>
          </w:tcPr>
          <w:p>
            <w:pPr>
              <w:pStyle w:val="TableContents"/>
              <w:spacing w:lineRule="atLeast" w:line="240" w:before="0" w:after="0"/>
              <w:rPr/>
            </w:pPr>
            <w:r>
              <w:rPr/>
              <w:t> </w:t>
            </w:r>
          </w:p>
        </w:tc>
        <w:tc>
          <w:tcPr>
            <w:tcW w:w="1295" w:type="dxa"/>
            <w:tcBorders/>
            <w:shd w:fill="CEE8F6" w:val="clear"/>
            <w:vAlign w:val="center"/>
          </w:tcPr>
          <w:p>
            <w:pPr>
              <w:pStyle w:val="TableContents"/>
              <w:spacing w:lineRule="atLeast" w:line="240" w:before="0" w:after="0"/>
              <w:jc w:val="right"/>
              <w:rPr>
                <w:rFonts w:ascii="ARIAL" w:hAnsi="ARIAL"/>
                <w:sz w:val="16"/>
              </w:rPr>
            </w:pPr>
            <w:r>
              <w:rPr>
                <w:rFonts w:ascii="ARIAL" w:hAnsi="ARIAL"/>
                <w:sz w:val="16"/>
              </w:rPr>
              <w:t>-</w:t>
            </w:r>
          </w:p>
        </w:tc>
        <w:tc>
          <w:tcPr>
            <w:tcW w:w="60" w:type="dxa"/>
            <w:tcBorders/>
            <w:shd w:fill="CEE8F6" w:val="clear"/>
            <w:vAlign w:val="center"/>
          </w:tcPr>
          <w:p>
            <w:pPr>
              <w:pStyle w:val="TableContents"/>
              <w:spacing w:lineRule="atLeast" w:line="240" w:before="0" w:after="0"/>
              <w:rPr/>
            </w:pPr>
            <w:r>
              <w:rPr/>
              <w:t> </w:t>
            </w:r>
          </w:p>
        </w:tc>
        <w:tc>
          <w:tcPr>
            <w:tcW w:w="60" w:type="dxa"/>
            <w:tcBorders/>
            <w:shd w:fill="CEE8F6" w:val="clear"/>
            <w:vAlign w:val="center"/>
          </w:tcPr>
          <w:p>
            <w:pPr>
              <w:pStyle w:val="TableContents"/>
              <w:spacing w:before="0" w:after="283"/>
              <w:rPr/>
            </w:pPr>
            <w:r>
              <w:rPr/>
              <w:t> </w:t>
            </w:r>
          </w:p>
        </w:tc>
        <w:tc>
          <w:tcPr>
            <w:tcW w:w="285" w:type="dxa"/>
            <w:tcBorders/>
            <w:shd w:fill="CEE8F6" w:val="clear"/>
            <w:vAlign w:val="center"/>
          </w:tcPr>
          <w:p>
            <w:pPr>
              <w:pStyle w:val="TableContents"/>
              <w:spacing w:lineRule="atLeast" w:line="240" w:before="0" w:after="0"/>
              <w:rPr/>
            </w:pPr>
            <w:r>
              <w:rPr/>
              <w:t> </w:t>
            </w:r>
          </w:p>
        </w:tc>
        <w:tc>
          <w:tcPr>
            <w:tcW w:w="380" w:type="dxa"/>
            <w:tcBorders/>
            <w:shd w:fill="CEE8F6" w:val="clear"/>
            <w:vAlign w:val="center"/>
          </w:tcPr>
          <w:p>
            <w:pPr>
              <w:pStyle w:val="TableContents"/>
              <w:spacing w:lineRule="atLeast" w:line="240" w:before="0" w:after="0"/>
              <w:jc w:val="right"/>
              <w:rPr>
                <w:rFonts w:ascii="ARIAL" w:hAnsi="ARIAL"/>
                <w:sz w:val="16"/>
              </w:rPr>
            </w:pPr>
            <w:r>
              <w:rPr>
                <w:rFonts w:ascii="ARIAL" w:hAnsi="ARIAL"/>
                <w:sz w:val="16"/>
              </w:rPr>
              <w:t>-</w:t>
            </w:r>
          </w:p>
        </w:tc>
        <w:tc>
          <w:tcPr>
            <w:tcW w:w="60" w:type="dxa"/>
            <w:tcBorders/>
            <w:shd w:fill="CEE8F6" w:val="clear"/>
            <w:vAlign w:val="center"/>
          </w:tcPr>
          <w:p>
            <w:pPr>
              <w:pStyle w:val="TableContents"/>
              <w:spacing w:lineRule="atLeast" w:line="240" w:before="0" w:after="0"/>
              <w:rPr/>
            </w:pPr>
            <w:r>
              <w:rPr/>
              <w:t> </w:t>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lineRule="atLeast" w:line="240" w:before="0" w:after="0"/>
              <w:rPr/>
            </w:pPr>
            <w:r>
              <w:rPr/>
              <w:t> </w:t>
            </w:r>
          </w:p>
        </w:tc>
        <w:tc>
          <w:tcPr>
            <w:tcW w:w="830" w:type="dxa"/>
            <w:tcBorders/>
            <w:shd w:fill="CEE8F6" w:val="clear"/>
            <w:vAlign w:val="center"/>
          </w:tcPr>
          <w:p>
            <w:pPr>
              <w:pStyle w:val="TableContents"/>
              <w:spacing w:lineRule="atLeast" w:line="240" w:before="0" w:after="0"/>
              <w:jc w:val="right"/>
              <w:rPr>
                <w:rFonts w:ascii="ARIAL" w:hAnsi="ARIAL"/>
                <w:sz w:val="16"/>
              </w:rPr>
            </w:pPr>
            <w:r>
              <w:rPr>
                <w:rFonts w:ascii="ARIAL" w:hAnsi="ARIAL"/>
                <w:sz w:val="16"/>
              </w:rPr>
              <w:t>-</w:t>
            </w:r>
          </w:p>
        </w:tc>
        <w:tc>
          <w:tcPr>
            <w:tcW w:w="75" w:type="dxa"/>
            <w:tcBorders/>
            <w:shd w:fill="CEE8F6" w:val="clear"/>
            <w:vAlign w:val="center"/>
          </w:tcPr>
          <w:p>
            <w:pPr>
              <w:pStyle w:val="TableContents"/>
              <w:spacing w:lineRule="atLeast" w:line="240" w:before="0" w:after="0"/>
              <w:rPr/>
            </w:pPr>
            <w:r>
              <w:rPr/>
              <w:t> </w:t>
            </w:r>
          </w:p>
        </w:tc>
      </w:tr>
      <w:tr>
        <w:trPr/>
        <w:tc>
          <w:tcPr>
            <w:tcW w:w="845" w:type="dxa"/>
            <w:tcBorders/>
            <w:shd w:fill="CEE8F6" w:val="clear"/>
            <w:vAlign w:val="center"/>
          </w:tcPr>
          <w:p>
            <w:pPr>
              <w:pStyle w:val="TableContents"/>
              <w:spacing w:lineRule="atLeast" w:line="240" w:before="0" w:after="0"/>
              <w:rPr>
                <w:rFonts w:ascii="ARIAL" w:hAnsi="ARIAL"/>
                <w:sz w:val="16"/>
              </w:rPr>
            </w:pPr>
            <w:r>
              <w:rPr>
                <w:rFonts w:ascii="ARIAL" w:hAnsi="ARIAL"/>
                <w:sz w:val="16"/>
              </w:rPr>
              <w:t>Involuntary termination</w:t>
            </w:r>
          </w:p>
        </w:tc>
        <w:tc>
          <w:tcPr>
            <w:tcW w:w="60" w:type="dxa"/>
            <w:tcBorders/>
            <w:shd w:fill="CEE8F6" w:val="clear"/>
            <w:vAlign w:val="center"/>
          </w:tcPr>
          <w:p>
            <w:pPr>
              <w:pStyle w:val="TableContents"/>
              <w:spacing w:before="0" w:after="283"/>
              <w:rPr/>
            </w:pPr>
            <w:r>
              <w:rPr/>
              <w:t> </w:t>
            </w:r>
          </w:p>
        </w:tc>
        <w:tc>
          <w:tcPr>
            <w:tcW w:w="71" w:type="dxa"/>
            <w:tcBorders/>
            <w:shd w:fill="CEE8F6" w:val="clear"/>
            <w:vAlign w:val="center"/>
          </w:tcPr>
          <w:p>
            <w:pPr>
              <w:pStyle w:val="TableContents"/>
              <w:spacing w:lineRule="atLeast" w:line="240" w:before="0" w:after="0"/>
              <w:rPr/>
            </w:pPr>
            <w:r>
              <w:rPr/>
              <w:t> </w:t>
            </w:r>
          </w:p>
        </w:tc>
        <w:tc>
          <w:tcPr>
            <w:tcW w:w="984" w:type="dxa"/>
            <w:tcBorders/>
            <w:shd w:fill="CEE8F6" w:val="clear"/>
            <w:vAlign w:val="center"/>
          </w:tcPr>
          <w:p>
            <w:pPr>
              <w:pStyle w:val="TableContents"/>
              <w:spacing w:lineRule="atLeast" w:line="240" w:before="0" w:after="0"/>
              <w:jc w:val="right"/>
              <w:rPr>
                <w:rFonts w:ascii="ARIAL" w:hAnsi="ARIAL"/>
                <w:sz w:val="16"/>
              </w:rPr>
            </w:pPr>
            <w:r>
              <w:rPr>
                <w:rFonts w:ascii="ARIAL" w:hAnsi="ARIAL"/>
                <w:sz w:val="16"/>
              </w:rPr>
              <w:t>1,312,500</w:t>
            </w:r>
          </w:p>
        </w:tc>
        <w:tc>
          <w:tcPr>
            <w:tcW w:w="60" w:type="dxa"/>
            <w:tcBorders/>
            <w:shd w:fill="CEE8F6" w:val="clear"/>
            <w:vAlign w:val="center"/>
          </w:tcPr>
          <w:p>
            <w:pPr>
              <w:pStyle w:val="TableContents"/>
              <w:spacing w:lineRule="atLeast" w:line="240" w:before="0" w:after="0"/>
              <w:rPr/>
            </w:pPr>
            <w:r>
              <w:rPr/>
              <w:t> </w:t>
            </w:r>
          </w:p>
        </w:tc>
        <w:tc>
          <w:tcPr>
            <w:tcW w:w="60" w:type="dxa"/>
            <w:tcBorders/>
            <w:shd w:fill="CEE8F6" w:val="clear"/>
            <w:vAlign w:val="center"/>
          </w:tcPr>
          <w:p>
            <w:pPr>
              <w:pStyle w:val="TableContents"/>
              <w:spacing w:before="0" w:after="283"/>
              <w:rPr/>
            </w:pPr>
            <w:r>
              <w:rPr/>
              <w:t> </w:t>
            </w:r>
          </w:p>
        </w:tc>
        <w:tc>
          <w:tcPr>
            <w:tcW w:w="555" w:type="dxa"/>
            <w:tcBorders/>
            <w:shd w:fill="CEE8F6" w:val="clear"/>
            <w:vAlign w:val="center"/>
          </w:tcPr>
          <w:p>
            <w:pPr>
              <w:pStyle w:val="TableContents"/>
              <w:spacing w:lineRule="atLeast" w:line="240" w:before="0" w:after="0"/>
              <w:rPr/>
            </w:pPr>
            <w:r>
              <w:rPr/>
              <w:t> </w:t>
            </w:r>
          </w:p>
        </w:tc>
        <w:tc>
          <w:tcPr>
            <w:tcW w:w="740" w:type="dxa"/>
            <w:tcBorders/>
            <w:shd w:fill="CEE8F6" w:val="clear"/>
            <w:vAlign w:val="center"/>
          </w:tcPr>
          <w:p>
            <w:pPr>
              <w:pStyle w:val="TableContents"/>
              <w:spacing w:lineRule="atLeast" w:line="240" w:before="0" w:after="0"/>
              <w:jc w:val="right"/>
              <w:rPr>
                <w:rFonts w:ascii="ARIAL" w:hAnsi="ARIAL"/>
                <w:sz w:val="16"/>
              </w:rPr>
            </w:pPr>
            <w:r>
              <w:rPr>
                <w:rFonts w:ascii="ARIAL" w:hAnsi="ARIAL"/>
                <w:sz w:val="16"/>
              </w:rPr>
              <w:t>-</w:t>
            </w:r>
          </w:p>
        </w:tc>
        <w:tc>
          <w:tcPr>
            <w:tcW w:w="175" w:type="dxa"/>
            <w:tcBorders/>
            <w:shd w:fill="CEE8F6" w:val="clear"/>
            <w:vAlign w:val="center"/>
          </w:tcPr>
          <w:p>
            <w:pPr>
              <w:pStyle w:val="TableContents"/>
              <w:spacing w:lineRule="atLeast" w:line="240" w:before="0" w:after="0"/>
              <w:rPr/>
            </w:pPr>
            <w:r>
              <w:rPr/>
              <w:t> </w:t>
            </w:r>
          </w:p>
        </w:tc>
        <w:tc>
          <w:tcPr>
            <w:tcW w:w="175" w:type="dxa"/>
            <w:tcBorders/>
            <w:shd w:fill="CEE8F6" w:val="clear"/>
            <w:vAlign w:val="center"/>
          </w:tcPr>
          <w:p>
            <w:pPr>
              <w:pStyle w:val="TableContents"/>
              <w:spacing w:before="0" w:after="283"/>
              <w:rPr/>
            </w:pPr>
            <w:r>
              <w:rPr/>
              <w:t> </w:t>
            </w:r>
          </w:p>
        </w:tc>
        <w:tc>
          <w:tcPr>
            <w:tcW w:w="175" w:type="dxa"/>
            <w:tcBorders/>
            <w:shd w:fill="CEE8F6" w:val="clear"/>
            <w:vAlign w:val="center"/>
          </w:tcPr>
          <w:p>
            <w:pPr>
              <w:pStyle w:val="TableContents"/>
              <w:spacing w:lineRule="atLeast" w:line="240" w:before="0" w:after="0"/>
              <w:rPr/>
            </w:pPr>
            <w:r>
              <w:rPr/>
              <w:t> </w:t>
            </w:r>
          </w:p>
        </w:tc>
        <w:tc>
          <w:tcPr>
            <w:tcW w:w="2162" w:type="dxa"/>
            <w:tcBorders/>
            <w:shd w:fill="CEE8F6" w:val="clear"/>
            <w:vAlign w:val="center"/>
          </w:tcPr>
          <w:p>
            <w:pPr>
              <w:pStyle w:val="TableContents"/>
              <w:spacing w:lineRule="atLeast" w:line="240" w:before="0" w:after="0"/>
              <w:jc w:val="right"/>
              <w:rPr>
                <w:rFonts w:ascii="ARIAL" w:hAnsi="ARIAL"/>
                <w:sz w:val="16"/>
              </w:rPr>
            </w:pPr>
            <w:r>
              <w:rPr>
                <w:rFonts w:ascii="ARIAL" w:hAnsi="ARIAL"/>
                <w:sz w:val="16"/>
              </w:rPr>
              <w:t>518,400</w:t>
            </w:r>
          </w:p>
        </w:tc>
        <w:tc>
          <w:tcPr>
            <w:tcW w:w="60" w:type="dxa"/>
            <w:tcBorders/>
            <w:shd w:fill="CEE8F6" w:val="clear"/>
            <w:vAlign w:val="center"/>
          </w:tcPr>
          <w:p>
            <w:pPr>
              <w:pStyle w:val="TableContents"/>
              <w:spacing w:lineRule="atLeast" w:line="240" w:before="0" w:after="0"/>
              <w:rPr/>
            </w:pPr>
            <w:r>
              <w:rPr/>
              <w:t> </w:t>
            </w:r>
          </w:p>
        </w:tc>
        <w:tc>
          <w:tcPr>
            <w:tcW w:w="60" w:type="dxa"/>
            <w:tcBorders/>
            <w:shd w:fill="CEE8F6" w:val="clear"/>
            <w:vAlign w:val="center"/>
          </w:tcPr>
          <w:p>
            <w:pPr>
              <w:pStyle w:val="TableContents"/>
              <w:spacing w:before="0" w:after="283"/>
              <w:rPr/>
            </w:pPr>
            <w:r>
              <w:rPr/>
              <w:t> </w:t>
            </w:r>
          </w:p>
        </w:tc>
        <w:tc>
          <w:tcPr>
            <w:tcW w:w="78" w:type="dxa"/>
            <w:tcBorders/>
            <w:shd w:fill="CEE8F6" w:val="clear"/>
            <w:vAlign w:val="center"/>
          </w:tcPr>
          <w:p>
            <w:pPr>
              <w:pStyle w:val="TableContents"/>
              <w:spacing w:lineRule="atLeast" w:line="240" w:before="0" w:after="0"/>
              <w:rPr/>
            </w:pPr>
            <w:r>
              <w:rPr/>
              <w:t> </w:t>
            </w:r>
          </w:p>
        </w:tc>
        <w:tc>
          <w:tcPr>
            <w:tcW w:w="1082" w:type="dxa"/>
            <w:tcBorders/>
            <w:shd w:fill="CEE8F6" w:val="clear"/>
            <w:vAlign w:val="center"/>
          </w:tcPr>
          <w:p>
            <w:pPr>
              <w:pStyle w:val="TableContents"/>
              <w:spacing w:lineRule="atLeast" w:line="240" w:before="0" w:after="0"/>
              <w:jc w:val="right"/>
              <w:rPr>
                <w:rFonts w:ascii="ARIAL" w:hAnsi="ARIAL"/>
                <w:sz w:val="16"/>
              </w:rPr>
            </w:pPr>
            <w:r>
              <w:rPr>
                <w:rFonts w:ascii="ARIAL" w:hAnsi="ARIAL"/>
                <w:sz w:val="16"/>
              </w:rPr>
              <w:t>-</w:t>
            </w:r>
          </w:p>
        </w:tc>
        <w:tc>
          <w:tcPr>
            <w:tcW w:w="60" w:type="dxa"/>
            <w:tcBorders/>
            <w:shd w:fill="CEE8F6" w:val="clear"/>
            <w:vAlign w:val="center"/>
          </w:tcPr>
          <w:p>
            <w:pPr>
              <w:pStyle w:val="TableContents"/>
              <w:spacing w:lineRule="atLeast" w:line="240" w:before="0" w:after="0"/>
              <w:rPr/>
            </w:pPr>
            <w:r>
              <w:rPr/>
              <w:t> </w:t>
            </w:r>
          </w:p>
        </w:tc>
        <w:tc>
          <w:tcPr>
            <w:tcW w:w="60" w:type="dxa"/>
            <w:tcBorders/>
            <w:shd w:fill="CEE8F6" w:val="clear"/>
            <w:vAlign w:val="center"/>
          </w:tcPr>
          <w:p>
            <w:pPr>
              <w:pStyle w:val="TableContents"/>
              <w:spacing w:before="0" w:after="283"/>
              <w:rPr/>
            </w:pPr>
            <w:r>
              <w:rPr/>
              <w:t> </w:t>
            </w:r>
          </w:p>
        </w:tc>
        <w:tc>
          <w:tcPr>
            <w:tcW w:w="86" w:type="dxa"/>
            <w:tcBorders/>
            <w:shd w:fill="CEE8F6" w:val="clear"/>
            <w:vAlign w:val="center"/>
          </w:tcPr>
          <w:p>
            <w:pPr>
              <w:pStyle w:val="TableContents"/>
              <w:spacing w:lineRule="atLeast" w:line="240" w:before="0" w:after="0"/>
              <w:rPr/>
            </w:pPr>
            <w:r>
              <w:rPr/>
              <w:t> </w:t>
            </w:r>
          </w:p>
        </w:tc>
        <w:tc>
          <w:tcPr>
            <w:tcW w:w="744" w:type="dxa"/>
            <w:tcBorders/>
            <w:shd w:fill="CEE8F6" w:val="clear"/>
            <w:vAlign w:val="center"/>
          </w:tcPr>
          <w:p>
            <w:pPr>
              <w:pStyle w:val="TableContents"/>
              <w:spacing w:lineRule="atLeast" w:line="240" w:before="0" w:after="0"/>
              <w:jc w:val="right"/>
              <w:rPr>
                <w:rFonts w:ascii="ARIAL" w:hAnsi="ARIAL"/>
                <w:sz w:val="16"/>
              </w:rPr>
            </w:pPr>
            <w:r>
              <w:rPr>
                <w:rFonts w:ascii="ARIAL" w:hAnsi="ARIAL"/>
                <w:sz w:val="16"/>
              </w:rPr>
              <w:t>14,306</w:t>
            </w:r>
          </w:p>
        </w:tc>
        <w:tc>
          <w:tcPr>
            <w:tcW w:w="60" w:type="dxa"/>
            <w:tcBorders/>
            <w:shd w:fill="CEE8F6" w:val="clear"/>
            <w:vAlign w:val="center"/>
          </w:tcPr>
          <w:p>
            <w:pPr>
              <w:pStyle w:val="TableContents"/>
              <w:spacing w:lineRule="atLeast" w:line="240" w:before="0" w:after="0"/>
              <w:rPr/>
            </w:pPr>
            <w:r>
              <w:rPr/>
              <w:t> </w:t>
            </w:r>
          </w:p>
        </w:tc>
        <w:tc>
          <w:tcPr>
            <w:tcW w:w="60" w:type="dxa"/>
            <w:tcBorders/>
            <w:shd w:fill="CEE8F6" w:val="clear"/>
            <w:vAlign w:val="center"/>
          </w:tcPr>
          <w:p>
            <w:pPr>
              <w:pStyle w:val="TableContents"/>
              <w:spacing w:before="0" w:after="283"/>
              <w:rPr/>
            </w:pPr>
            <w:r>
              <w:rPr/>
              <w:t> </w:t>
            </w:r>
          </w:p>
        </w:tc>
        <w:tc>
          <w:tcPr>
            <w:tcW w:w="150" w:type="dxa"/>
            <w:tcBorders/>
            <w:shd w:fill="CEE8F6" w:val="clear"/>
            <w:vAlign w:val="center"/>
          </w:tcPr>
          <w:p>
            <w:pPr>
              <w:pStyle w:val="TableContents"/>
              <w:spacing w:lineRule="atLeast" w:line="240" w:before="0" w:after="0"/>
              <w:rPr/>
            </w:pPr>
            <w:r>
              <w:rPr/>
              <w:t> </w:t>
            </w:r>
          </w:p>
        </w:tc>
        <w:tc>
          <w:tcPr>
            <w:tcW w:w="1295" w:type="dxa"/>
            <w:tcBorders/>
            <w:shd w:fill="CEE8F6" w:val="clear"/>
            <w:vAlign w:val="center"/>
          </w:tcPr>
          <w:p>
            <w:pPr>
              <w:pStyle w:val="TableContents"/>
              <w:spacing w:lineRule="atLeast" w:line="240" w:before="0" w:after="0"/>
              <w:jc w:val="right"/>
              <w:rPr>
                <w:rFonts w:ascii="ARIAL" w:hAnsi="ARIAL"/>
                <w:sz w:val="16"/>
              </w:rPr>
            </w:pPr>
            <w:r>
              <w:rPr>
                <w:rFonts w:ascii="ARIAL" w:hAnsi="ARIAL"/>
                <w:sz w:val="16"/>
              </w:rPr>
              <w:t>-</w:t>
            </w:r>
          </w:p>
        </w:tc>
        <w:tc>
          <w:tcPr>
            <w:tcW w:w="60" w:type="dxa"/>
            <w:tcBorders/>
            <w:shd w:fill="CEE8F6" w:val="clear"/>
            <w:vAlign w:val="center"/>
          </w:tcPr>
          <w:p>
            <w:pPr>
              <w:pStyle w:val="TableContents"/>
              <w:spacing w:lineRule="atLeast" w:line="240" w:before="0" w:after="0"/>
              <w:rPr/>
            </w:pPr>
            <w:r>
              <w:rPr/>
              <w:t> </w:t>
            </w:r>
          </w:p>
        </w:tc>
        <w:tc>
          <w:tcPr>
            <w:tcW w:w="60" w:type="dxa"/>
            <w:tcBorders/>
            <w:shd w:fill="CEE8F6" w:val="clear"/>
            <w:vAlign w:val="center"/>
          </w:tcPr>
          <w:p>
            <w:pPr>
              <w:pStyle w:val="TableContents"/>
              <w:spacing w:before="0" w:after="283"/>
              <w:rPr/>
            </w:pPr>
            <w:r>
              <w:rPr/>
              <w:t> </w:t>
            </w:r>
          </w:p>
        </w:tc>
        <w:tc>
          <w:tcPr>
            <w:tcW w:w="285" w:type="dxa"/>
            <w:tcBorders/>
            <w:shd w:fill="CEE8F6" w:val="clear"/>
            <w:vAlign w:val="center"/>
          </w:tcPr>
          <w:p>
            <w:pPr>
              <w:pStyle w:val="TableContents"/>
              <w:spacing w:lineRule="atLeast" w:line="240" w:before="0" w:after="0"/>
              <w:rPr/>
            </w:pPr>
            <w:r>
              <w:rPr/>
              <w:t> </w:t>
            </w:r>
          </w:p>
        </w:tc>
        <w:tc>
          <w:tcPr>
            <w:tcW w:w="380" w:type="dxa"/>
            <w:tcBorders/>
            <w:shd w:fill="CEE8F6" w:val="clear"/>
            <w:vAlign w:val="center"/>
          </w:tcPr>
          <w:p>
            <w:pPr>
              <w:pStyle w:val="TableContents"/>
              <w:spacing w:lineRule="atLeast" w:line="240" w:before="0" w:after="0"/>
              <w:jc w:val="right"/>
              <w:rPr>
                <w:rFonts w:ascii="ARIAL" w:hAnsi="ARIAL"/>
                <w:sz w:val="16"/>
              </w:rPr>
            </w:pPr>
            <w:r>
              <w:rPr>
                <w:rFonts w:ascii="ARIAL" w:hAnsi="ARIAL"/>
                <w:sz w:val="16"/>
              </w:rPr>
              <w:t>-</w:t>
            </w:r>
          </w:p>
        </w:tc>
        <w:tc>
          <w:tcPr>
            <w:tcW w:w="60" w:type="dxa"/>
            <w:tcBorders/>
            <w:shd w:fill="CEE8F6" w:val="clear"/>
            <w:vAlign w:val="center"/>
          </w:tcPr>
          <w:p>
            <w:pPr>
              <w:pStyle w:val="TableContents"/>
              <w:spacing w:lineRule="atLeast" w:line="240" w:before="0" w:after="0"/>
              <w:rPr/>
            </w:pPr>
            <w:r>
              <w:rPr/>
              <w:t> </w:t>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lineRule="atLeast" w:line="240" w:before="0" w:after="0"/>
              <w:rPr/>
            </w:pPr>
            <w:r>
              <w:rPr/>
              <w:t> </w:t>
            </w:r>
          </w:p>
        </w:tc>
        <w:tc>
          <w:tcPr>
            <w:tcW w:w="830" w:type="dxa"/>
            <w:tcBorders/>
            <w:shd w:fill="CEE8F6" w:val="clear"/>
            <w:vAlign w:val="center"/>
          </w:tcPr>
          <w:p>
            <w:pPr>
              <w:pStyle w:val="TableContents"/>
              <w:spacing w:lineRule="atLeast" w:line="240" w:before="0" w:after="0"/>
              <w:jc w:val="right"/>
              <w:rPr>
                <w:rFonts w:ascii="ARIAL" w:hAnsi="ARIAL"/>
                <w:sz w:val="16"/>
              </w:rPr>
            </w:pPr>
            <w:r>
              <w:rPr>
                <w:rFonts w:ascii="ARIAL" w:hAnsi="ARIAL"/>
                <w:sz w:val="16"/>
              </w:rPr>
              <w:t>1,845,206</w:t>
            </w:r>
          </w:p>
        </w:tc>
        <w:tc>
          <w:tcPr>
            <w:tcW w:w="75" w:type="dxa"/>
            <w:tcBorders/>
            <w:shd w:fill="CEE8F6" w:val="clear"/>
            <w:vAlign w:val="center"/>
          </w:tcPr>
          <w:p>
            <w:pPr>
              <w:pStyle w:val="TableContents"/>
              <w:spacing w:lineRule="atLeast" w:line="240" w:before="0" w:after="0"/>
              <w:rPr/>
            </w:pPr>
            <w:r>
              <w:rPr/>
              <w:t> </w:t>
            </w:r>
          </w:p>
        </w:tc>
      </w:tr>
      <w:tr>
        <w:trPr/>
        <w:tc>
          <w:tcPr>
            <w:tcW w:w="845" w:type="dxa"/>
            <w:tcBorders/>
            <w:shd w:fill="CEE8F6" w:val="clear"/>
            <w:vAlign w:val="center"/>
          </w:tcPr>
          <w:p>
            <w:pPr>
              <w:pStyle w:val="TableContents"/>
              <w:spacing w:lineRule="atLeast" w:line="240" w:before="0" w:after="0"/>
              <w:rPr>
                <w:rFonts w:ascii="ARIAL" w:hAnsi="ARIAL"/>
                <w:sz w:val="16"/>
              </w:rPr>
            </w:pPr>
            <w:r>
              <w:rPr>
                <w:rFonts w:ascii="ARIAL" w:hAnsi="ARIAL"/>
                <w:sz w:val="16"/>
              </w:rPr>
              <w:t>Change in control of the company (1)</w:t>
            </w:r>
          </w:p>
        </w:tc>
        <w:tc>
          <w:tcPr>
            <w:tcW w:w="60" w:type="dxa"/>
            <w:tcBorders/>
            <w:shd w:fill="CEE8F6" w:val="clear"/>
            <w:vAlign w:val="center"/>
          </w:tcPr>
          <w:p>
            <w:pPr>
              <w:pStyle w:val="TableContents"/>
              <w:spacing w:before="0" w:after="283"/>
              <w:rPr/>
            </w:pPr>
            <w:r>
              <w:rPr/>
              <w:t> </w:t>
            </w:r>
          </w:p>
        </w:tc>
        <w:tc>
          <w:tcPr>
            <w:tcW w:w="71" w:type="dxa"/>
            <w:tcBorders/>
            <w:shd w:fill="CEE8F6" w:val="clear"/>
            <w:vAlign w:val="center"/>
          </w:tcPr>
          <w:p>
            <w:pPr>
              <w:pStyle w:val="TableContents"/>
              <w:spacing w:lineRule="atLeast" w:line="240" w:before="0" w:after="0"/>
              <w:rPr/>
            </w:pPr>
            <w:r>
              <w:rPr/>
              <w:t> </w:t>
            </w:r>
          </w:p>
        </w:tc>
        <w:tc>
          <w:tcPr>
            <w:tcW w:w="984" w:type="dxa"/>
            <w:tcBorders/>
            <w:shd w:fill="CEE8F6" w:val="clear"/>
            <w:vAlign w:val="center"/>
          </w:tcPr>
          <w:p>
            <w:pPr>
              <w:pStyle w:val="TableContents"/>
              <w:spacing w:lineRule="atLeast" w:line="240" w:before="0" w:after="0"/>
              <w:jc w:val="right"/>
              <w:rPr>
                <w:rFonts w:ascii="ARIAL" w:hAnsi="ARIAL"/>
                <w:sz w:val="16"/>
              </w:rPr>
            </w:pPr>
            <w:r>
              <w:rPr>
                <w:rFonts w:ascii="ARIAL" w:hAnsi="ARIAL"/>
                <w:sz w:val="16"/>
              </w:rPr>
              <w:t>3,606,516</w:t>
            </w:r>
          </w:p>
        </w:tc>
        <w:tc>
          <w:tcPr>
            <w:tcW w:w="60" w:type="dxa"/>
            <w:tcBorders/>
            <w:shd w:fill="CEE8F6" w:val="clear"/>
            <w:vAlign w:val="center"/>
          </w:tcPr>
          <w:p>
            <w:pPr>
              <w:pStyle w:val="TableContents"/>
              <w:spacing w:lineRule="atLeast" w:line="240" w:before="0" w:after="0"/>
              <w:rPr/>
            </w:pPr>
            <w:r>
              <w:rPr/>
              <w:t> </w:t>
            </w:r>
          </w:p>
        </w:tc>
        <w:tc>
          <w:tcPr>
            <w:tcW w:w="60" w:type="dxa"/>
            <w:tcBorders/>
            <w:shd w:fill="CEE8F6" w:val="clear"/>
            <w:vAlign w:val="center"/>
          </w:tcPr>
          <w:p>
            <w:pPr>
              <w:pStyle w:val="TableContents"/>
              <w:spacing w:before="0" w:after="283"/>
              <w:rPr/>
            </w:pPr>
            <w:r>
              <w:rPr/>
              <w:t> </w:t>
            </w:r>
          </w:p>
        </w:tc>
        <w:tc>
          <w:tcPr>
            <w:tcW w:w="555" w:type="dxa"/>
            <w:tcBorders/>
            <w:shd w:fill="CEE8F6" w:val="clear"/>
            <w:vAlign w:val="center"/>
          </w:tcPr>
          <w:p>
            <w:pPr>
              <w:pStyle w:val="TableContents"/>
              <w:spacing w:lineRule="atLeast" w:line="240" w:before="0" w:after="0"/>
              <w:rPr/>
            </w:pPr>
            <w:r>
              <w:rPr/>
              <w:t> </w:t>
            </w:r>
          </w:p>
        </w:tc>
        <w:tc>
          <w:tcPr>
            <w:tcW w:w="740" w:type="dxa"/>
            <w:tcBorders/>
            <w:shd w:fill="CEE8F6" w:val="clear"/>
            <w:vAlign w:val="center"/>
          </w:tcPr>
          <w:p>
            <w:pPr>
              <w:pStyle w:val="TableContents"/>
              <w:spacing w:lineRule="atLeast" w:line="240" w:before="0" w:after="0"/>
              <w:jc w:val="right"/>
              <w:rPr>
                <w:rFonts w:ascii="ARIAL" w:hAnsi="ARIAL"/>
                <w:sz w:val="16"/>
              </w:rPr>
            </w:pPr>
            <w:r>
              <w:rPr>
                <w:rFonts w:ascii="ARIAL" w:hAnsi="ARIAL"/>
                <w:sz w:val="16"/>
              </w:rPr>
              <w:t>-</w:t>
            </w:r>
          </w:p>
        </w:tc>
        <w:tc>
          <w:tcPr>
            <w:tcW w:w="175" w:type="dxa"/>
            <w:tcBorders/>
            <w:shd w:fill="CEE8F6" w:val="clear"/>
            <w:vAlign w:val="center"/>
          </w:tcPr>
          <w:p>
            <w:pPr>
              <w:pStyle w:val="TableContents"/>
              <w:spacing w:lineRule="atLeast" w:line="240" w:before="0" w:after="0"/>
              <w:rPr/>
            </w:pPr>
            <w:r>
              <w:rPr/>
              <w:t> </w:t>
            </w:r>
          </w:p>
        </w:tc>
        <w:tc>
          <w:tcPr>
            <w:tcW w:w="175" w:type="dxa"/>
            <w:tcBorders/>
            <w:shd w:fill="CEE8F6" w:val="clear"/>
            <w:vAlign w:val="center"/>
          </w:tcPr>
          <w:p>
            <w:pPr>
              <w:pStyle w:val="TableContents"/>
              <w:spacing w:before="0" w:after="283"/>
              <w:rPr/>
            </w:pPr>
            <w:r>
              <w:rPr/>
              <w:t> </w:t>
            </w:r>
          </w:p>
        </w:tc>
        <w:tc>
          <w:tcPr>
            <w:tcW w:w="175" w:type="dxa"/>
            <w:tcBorders/>
            <w:shd w:fill="CEE8F6" w:val="clear"/>
            <w:vAlign w:val="center"/>
          </w:tcPr>
          <w:p>
            <w:pPr>
              <w:pStyle w:val="TableContents"/>
              <w:spacing w:lineRule="atLeast" w:line="240" w:before="0" w:after="0"/>
              <w:rPr/>
            </w:pPr>
            <w:r>
              <w:rPr/>
              <w:t> </w:t>
            </w:r>
          </w:p>
        </w:tc>
        <w:tc>
          <w:tcPr>
            <w:tcW w:w="2162" w:type="dxa"/>
            <w:tcBorders/>
            <w:shd w:fill="CEE8F6" w:val="clear"/>
            <w:vAlign w:val="center"/>
          </w:tcPr>
          <w:p>
            <w:pPr>
              <w:pStyle w:val="TableContents"/>
              <w:spacing w:lineRule="atLeast" w:line="240" w:before="0" w:after="0"/>
              <w:jc w:val="right"/>
              <w:rPr>
                <w:rFonts w:ascii="ARIAL" w:hAnsi="ARIAL"/>
                <w:sz w:val="16"/>
              </w:rPr>
            </w:pPr>
            <w:r>
              <w:rPr>
                <w:rFonts w:ascii="ARIAL" w:hAnsi="ARIAL"/>
                <w:sz w:val="16"/>
              </w:rPr>
              <w:t>518,400</w:t>
            </w:r>
          </w:p>
        </w:tc>
        <w:tc>
          <w:tcPr>
            <w:tcW w:w="60" w:type="dxa"/>
            <w:tcBorders/>
            <w:shd w:fill="CEE8F6" w:val="clear"/>
            <w:vAlign w:val="center"/>
          </w:tcPr>
          <w:p>
            <w:pPr>
              <w:pStyle w:val="TableContents"/>
              <w:spacing w:lineRule="atLeast" w:line="240" w:before="0" w:after="0"/>
              <w:rPr/>
            </w:pPr>
            <w:r>
              <w:rPr/>
              <w:t> </w:t>
            </w:r>
          </w:p>
        </w:tc>
        <w:tc>
          <w:tcPr>
            <w:tcW w:w="60" w:type="dxa"/>
            <w:tcBorders/>
            <w:shd w:fill="CEE8F6" w:val="clear"/>
            <w:vAlign w:val="center"/>
          </w:tcPr>
          <w:p>
            <w:pPr>
              <w:pStyle w:val="TableContents"/>
              <w:spacing w:before="0" w:after="283"/>
              <w:rPr/>
            </w:pPr>
            <w:r>
              <w:rPr/>
              <w:t> </w:t>
            </w:r>
          </w:p>
        </w:tc>
        <w:tc>
          <w:tcPr>
            <w:tcW w:w="78" w:type="dxa"/>
            <w:tcBorders/>
            <w:shd w:fill="CEE8F6" w:val="clear"/>
            <w:vAlign w:val="center"/>
          </w:tcPr>
          <w:p>
            <w:pPr>
              <w:pStyle w:val="TableContents"/>
              <w:spacing w:lineRule="atLeast" w:line="240" w:before="0" w:after="0"/>
              <w:rPr/>
            </w:pPr>
            <w:r>
              <w:rPr/>
              <w:t> </w:t>
            </w:r>
          </w:p>
        </w:tc>
        <w:tc>
          <w:tcPr>
            <w:tcW w:w="1082" w:type="dxa"/>
            <w:tcBorders/>
            <w:shd w:fill="CEE8F6" w:val="clear"/>
            <w:vAlign w:val="center"/>
          </w:tcPr>
          <w:p>
            <w:pPr>
              <w:pStyle w:val="TableContents"/>
              <w:spacing w:lineRule="atLeast" w:line="240" w:before="0" w:after="0"/>
              <w:jc w:val="right"/>
              <w:rPr>
                <w:rFonts w:ascii="ARIAL" w:hAnsi="ARIAL"/>
                <w:sz w:val="16"/>
              </w:rPr>
            </w:pPr>
            <w:r>
              <w:rPr>
                <w:rFonts w:ascii="ARIAL" w:hAnsi="ARIAL"/>
                <w:sz w:val="16"/>
              </w:rPr>
              <w:t>-</w:t>
            </w:r>
          </w:p>
        </w:tc>
        <w:tc>
          <w:tcPr>
            <w:tcW w:w="60" w:type="dxa"/>
            <w:tcBorders/>
            <w:shd w:fill="CEE8F6" w:val="clear"/>
            <w:vAlign w:val="center"/>
          </w:tcPr>
          <w:p>
            <w:pPr>
              <w:pStyle w:val="TableContents"/>
              <w:spacing w:lineRule="atLeast" w:line="240" w:before="0" w:after="0"/>
              <w:rPr/>
            </w:pPr>
            <w:r>
              <w:rPr/>
              <w:t> </w:t>
            </w:r>
          </w:p>
        </w:tc>
        <w:tc>
          <w:tcPr>
            <w:tcW w:w="60" w:type="dxa"/>
            <w:tcBorders/>
            <w:shd w:fill="CEE8F6" w:val="clear"/>
            <w:vAlign w:val="center"/>
          </w:tcPr>
          <w:p>
            <w:pPr>
              <w:pStyle w:val="TableContents"/>
              <w:spacing w:before="0" w:after="283"/>
              <w:rPr/>
            </w:pPr>
            <w:r>
              <w:rPr/>
              <w:t> </w:t>
            </w:r>
          </w:p>
        </w:tc>
        <w:tc>
          <w:tcPr>
            <w:tcW w:w="86" w:type="dxa"/>
            <w:tcBorders/>
            <w:shd w:fill="CEE8F6" w:val="clear"/>
            <w:vAlign w:val="center"/>
          </w:tcPr>
          <w:p>
            <w:pPr>
              <w:pStyle w:val="TableContents"/>
              <w:spacing w:lineRule="atLeast" w:line="240" w:before="0" w:after="0"/>
              <w:rPr/>
            </w:pPr>
            <w:r>
              <w:rPr/>
              <w:t> </w:t>
            </w:r>
          </w:p>
        </w:tc>
        <w:tc>
          <w:tcPr>
            <w:tcW w:w="744" w:type="dxa"/>
            <w:tcBorders/>
            <w:shd w:fill="CEE8F6" w:val="clear"/>
            <w:vAlign w:val="center"/>
          </w:tcPr>
          <w:p>
            <w:pPr>
              <w:pStyle w:val="TableContents"/>
              <w:spacing w:lineRule="atLeast" w:line="240" w:before="0" w:after="0"/>
              <w:jc w:val="right"/>
              <w:rPr>
                <w:rFonts w:ascii="ARIAL" w:hAnsi="ARIAL"/>
                <w:sz w:val="16"/>
              </w:rPr>
            </w:pPr>
            <w:r>
              <w:rPr>
                <w:rFonts w:ascii="ARIAL" w:hAnsi="ARIAL"/>
                <w:sz w:val="16"/>
              </w:rPr>
              <w:t>21,459</w:t>
            </w:r>
          </w:p>
        </w:tc>
        <w:tc>
          <w:tcPr>
            <w:tcW w:w="60" w:type="dxa"/>
            <w:tcBorders/>
            <w:shd w:fill="CEE8F6" w:val="clear"/>
            <w:vAlign w:val="center"/>
          </w:tcPr>
          <w:p>
            <w:pPr>
              <w:pStyle w:val="TableContents"/>
              <w:spacing w:lineRule="atLeast" w:line="240" w:before="0" w:after="0"/>
              <w:rPr/>
            </w:pPr>
            <w:r>
              <w:rPr/>
              <w:t> </w:t>
            </w:r>
          </w:p>
        </w:tc>
        <w:tc>
          <w:tcPr>
            <w:tcW w:w="60" w:type="dxa"/>
            <w:tcBorders/>
            <w:shd w:fill="CEE8F6" w:val="clear"/>
            <w:vAlign w:val="center"/>
          </w:tcPr>
          <w:p>
            <w:pPr>
              <w:pStyle w:val="TableContents"/>
              <w:spacing w:before="0" w:after="283"/>
              <w:rPr/>
            </w:pPr>
            <w:r>
              <w:rPr/>
              <w:t> </w:t>
            </w:r>
          </w:p>
        </w:tc>
        <w:tc>
          <w:tcPr>
            <w:tcW w:w="150" w:type="dxa"/>
            <w:tcBorders/>
            <w:shd w:fill="CEE8F6" w:val="clear"/>
            <w:vAlign w:val="center"/>
          </w:tcPr>
          <w:p>
            <w:pPr>
              <w:pStyle w:val="TableContents"/>
              <w:spacing w:lineRule="atLeast" w:line="240" w:before="0" w:after="0"/>
              <w:rPr/>
            </w:pPr>
            <w:r>
              <w:rPr/>
              <w:t> </w:t>
            </w:r>
          </w:p>
        </w:tc>
        <w:tc>
          <w:tcPr>
            <w:tcW w:w="1295" w:type="dxa"/>
            <w:tcBorders/>
            <w:shd w:fill="CEE8F6" w:val="clear"/>
            <w:vAlign w:val="center"/>
          </w:tcPr>
          <w:p>
            <w:pPr>
              <w:pStyle w:val="TableContents"/>
              <w:spacing w:lineRule="atLeast" w:line="240" w:before="0" w:after="0"/>
              <w:jc w:val="right"/>
              <w:rPr>
                <w:rFonts w:ascii="ARIAL" w:hAnsi="ARIAL"/>
                <w:sz w:val="16"/>
              </w:rPr>
            </w:pPr>
            <w:r>
              <w:rPr>
                <w:rFonts w:ascii="ARIAL" w:hAnsi="ARIAL"/>
                <w:sz w:val="16"/>
              </w:rPr>
              <w:t>25,000</w:t>
            </w:r>
          </w:p>
        </w:tc>
        <w:tc>
          <w:tcPr>
            <w:tcW w:w="60" w:type="dxa"/>
            <w:tcBorders/>
            <w:shd w:fill="CEE8F6" w:val="clear"/>
            <w:vAlign w:val="center"/>
          </w:tcPr>
          <w:p>
            <w:pPr>
              <w:pStyle w:val="TableContents"/>
              <w:spacing w:lineRule="atLeast" w:line="240" w:before="0" w:after="0"/>
              <w:rPr/>
            </w:pPr>
            <w:r>
              <w:rPr/>
              <w:t> </w:t>
            </w:r>
          </w:p>
        </w:tc>
        <w:tc>
          <w:tcPr>
            <w:tcW w:w="60" w:type="dxa"/>
            <w:tcBorders/>
            <w:shd w:fill="CEE8F6" w:val="clear"/>
            <w:vAlign w:val="center"/>
          </w:tcPr>
          <w:p>
            <w:pPr>
              <w:pStyle w:val="TableContents"/>
              <w:spacing w:before="0" w:after="283"/>
              <w:rPr/>
            </w:pPr>
            <w:r>
              <w:rPr/>
              <w:t> </w:t>
            </w:r>
          </w:p>
        </w:tc>
        <w:tc>
          <w:tcPr>
            <w:tcW w:w="285" w:type="dxa"/>
            <w:tcBorders/>
            <w:shd w:fill="CEE8F6" w:val="clear"/>
            <w:vAlign w:val="center"/>
          </w:tcPr>
          <w:p>
            <w:pPr>
              <w:pStyle w:val="TableContents"/>
              <w:spacing w:lineRule="atLeast" w:line="240" w:before="0" w:after="0"/>
              <w:rPr/>
            </w:pPr>
            <w:r>
              <w:rPr/>
              <w:t> </w:t>
            </w:r>
          </w:p>
        </w:tc>
        <w:tc>
          <w:tcPr>
            <w:tcW w:w="380" w:type="dxa"/>
            <w:tcBorders/>
            <w:shd w:fill="CEE8F6" w:val="clear"/>
            <w:vAlign w:val="center"/>
          </w:tcPr>
          <w:p>
            <w:pPr>
              <w:pStyle w:val="TableContents"/>
              <w:spacing w:lineRule="atLeast" w:line="240" w:before="0" w:after="0"/>
              <w:jc w:val="right"/>
              <w:rPr>
                <w:rFonts w:ascii="ARIAL" w:hAnsi="ARIAL"/>
                <w:sz w:val="16"/>
              </w:rPr>
            </w:pPr>
            <w:r>
              <w:rPr>
                <w:rFonts w:ascii="ARIAL" w:hAnsi="ARIAL"/>
                <w:sz w:val="16"/>
              </w:rPr>
              <w:t>-</w:t>
            </w:r>
          </w:p>
        </w:tc>
        <w:tc>
          <w:tcPr>
            <w:tcW w:w="60" w:type="dxa"/>
            <w:tcBorders/>
            <w:shd w:fill="CEE8F6" w:val="clear"/>
            <w:vAlign w:val="center"/>
          </w:tcPr>
          <w:p>
            <w:pPr>
              <w:pStyle w:val="TableContents"/>
              <w:spacing w:lineRule="atLeast" w:line="240" w:before="0" w:after="0"/>
              <w:rPr/>
            </w:pPr>
            <w:r>
              <w:rPr/>
              <w:t> </w:t>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lineRule="atLeast" w:line="240" w:before="0" w:after="0"/>
              <w:rPr/>
            </w:pPr>
            <w:r>
              <w:rPr/>
              <w:t> </w:t>
            </w:r>
          </w:p>
        </w:tc>
        <w:tc>
          <w:tcPr>
            <w:tcW w:w="830" w:type="dxa"/>
            <w:tcBorders/>
            <w:shd w:fill="CEE8F6" w:val="clear"/>
            <w:vAlign w:val="center"/>
          </w:tcPr>
          <w:p>
            <w:pPr>
              <w:pStyle w:val="TableContents"/>
              <w:spacing w:lineRule="atLeast" w:line="240" w:before="0" w:after="0"/>
              <w:jc w:val="right"/>
              <w:rPr>
                <w:rFonts w:ascii="ARIAL" w:hAnsi="ARIAL"/>
                <w:sz w:val="16"/>
              </w:rPr>
            </w:pPr>
            <w:r>
              <w:rPr>
                <w:rFonts w:ascii="ARIAL" w:hAnsi="ARIAL"/>
                <w:sz w:val="16"/>
              </w:rPr>
              <w:t>4,171,375</w:t>
            </w:r>
          </w:p>
        </w:tc>
        <w:tc>
          <w:tcPr>
            <w:tcW w:w="75" w:type="dxa"/>
            <w:tcBorders/>
            <w:shd w:fill="CEE8F6" w:val="clear"/>
            <w:vAlign w:val="center"/>
          </w:tcPr>
          <w:p>
            <w:pPr>
              <w:pStyle w:val="TableContents"/>
              <w:spacing w:lineRule="atLeast" w:line="240" w:before="0" w:after="0"/>
              <w:rPr/>
            </w:pPr>
            <w:r>
              <w:rPr/>
              <w: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240"/>
        <w:gridCol w:w="9890"/>
      </w:tblGrid>
      <w:tr>
        <w:trPr/>
        <w:tc>
          <w:tcPr>
            <w:tcW w:w="75"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283"/>
              <w:jc w:val="left"/>
              <w:rPr/>
            </w:pPr>
            <w:r>
              <w:rPr/>
              <w:t>(1)</w:t>
            </w:r>
          </w:p>
        </w:tc>
        <w:tc>
          <w:tcPr>
            <w:tcW w:w="9890" w:type="dxa"/>
            <w:tcBorders/>
            <w:shd w:fill="auto" w:val="clear"/>
            <w:vAlign w:val="center"/>
          </w:tcPr>
          <w:p>
            <w:pPr>
              <w:pStyle w:val="TableContents"/>
              <w:spacing w:before="0" w:after="0"/>
              <w:jc w:val="left"/>
              <w:rPr>
                <w:rFonts w:ascii="ARIAL" w:hAnsi="ARIAL"/>
                <w:sz w:val="20"/>
              </w:rPr>
            </w:pPr>
            <w:r>
              <w:rPr>
                <w:rFonts w:ascii="ARIAL" w:hAnsi="ARIAL"/>
                <w:sz w:val="20"/>
              </w:rPr>
              <w:t xml:space="preserve">The change in control severance agreements to which our named executive officers are a party are “double trigger” agreements, and as such, the named executive officers set forth above would only be entitled to cash severance in the event of both a change in control and a qualifying termination of employment. </w:t>
            </w:r>
          </w:p>
        </w:tc>
      </w:tr>
    </w:tbl>
    <w:p>
      <w:pPr>
        <w:pStyle w:val="TextBody"/>
        <w:spacing w:before="240" w:after="0"/>
        <w:jc w:val="left"/>
        <w:rPr>
          <w:rFonts w:ascii="ARIAL" w:hAnsi="ARIAL"/>
          <w:sz w:val="20"/>
        </w:rPr>
      </w:pPr>
      <w:r>
        <w:rPr>
          <w:rFonts w:ascii="ARIAL" w:hAnsi="ARIAL"/>
          <w:sz w:val="20"/>
        </w:rPr>
        <w:t xml:space="preserve">Below is a discussion of the estimated payments and/or benefits under four events: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61"/>
        <w:gridCol w:w="9969"/>
      </w:tblGrid>
      <w:tr>
        <w:trPr/>
        <w:tc>
          <w:tcPr>
            <w:tcW w:w="75" w:type="dxa"/>
            <w:tcBorders/>
            <w:shd w:fill="auto" w:val="clear"/>
            <w:vAlign w:val="center"/>
          </w:tcPr>
          <w:p>
            <w:pPr>
              <w:pStyle w:val="TableContents"/>
              <w:spacing w:before="0" w:after="283"/>
              <w:rPr/>
            </w:pPr>
            <w:r>
              <w:rPr/>
              <w:t> </w:t>
            </w:r>
          </w:p>
        </w:tc>
        <w:tc>
          <w:tcPr>
            <w:tcW w:w="161" w:type="dxa"/>
            <w:tcBorders/>
            <w:shd w:fill="auto" w:val="clear"/>
            <w:vAlign w:val="center"/>
          </w:tcPr>
          <w:p>
            <w:pPr>
              <w:pStyle w:val="TableContents"/>
              <w:spacing w:before="0" w:after="283"/>
              <w:jc w:val="left"/>
              <w:rPr/>
            </w:pPr>
            <w:r>
              <w:rPr/>
              <w:t>1.</w:t>
            </w:r>
          </w:p>
        </w:tc>
        <w:tc>
          <w:tcPr>
            <w:tcW w:w="9969" w:type="dxa"/>
            <w:tcBorders/>
            <w:shd w:fill="auto" w:val="clear"/>
            <w:vAlign w:val="center"/>
          </w:tcPr>
          <w:p>
            <w:pPr>
              <w:pStyle w:val="TableContents"/>
              <w:spacing w:before="0" w:after="0"/>
              <w:jc w:val="left"/>
              <w:rPr>
                <w:rFonts w:ascii="ARIAL" w:hAnsi="ARIAL"/>
                <w:sz w:val="20"/>
              </w:rPr>
            </w:pPr>
            <w:r>
              <w:rPr>
                <w:rFonts w:ascii="ARIAL" w:hAnsi="ARIAL"/>
                <w:sz w:val="20"/>
                <w:u w:val="single"/>
              </w:rPr>
              <w:t>Voluntary Termination</w:t>
            </w:r>
            <w:r>
              <w:rPr>
                <w:rFonts w:ascii="ARIAL" w:hAnsi="ARIAL"/>
                <w:sz w:val="20"/>
              </w:rPr>
              <w:t xml:space="preserve">, which includes resignation and involuntary termination for cause, including the Company’s termination of the named executive officer’s employment for reasons such as violation of certain Company policies or for performance related issues, but does not include retirement. </w:t>
            </w:r>
          </w:p>
        </w:tc>
      </w:tr>
    </w:tbl>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72 </w:t>
      </w:r>
      <w:r>
        <w:br w:type="page"/>
      </w:r>
    </w:p>
    <w:p>
      <w:pPr>
        <w:pStyle w:val="HorizontalLine"/>
        <w:rPr/>
      </w:pPr>
      <w:r>
        <w:rPr/>
      </w:r>
    </w:p>
    <w:tbl>
      <w:tblPr>
        <w:tblW w:w="10205" w:type="dxa"/>
        <w:jc w:val="left"/>
        <w:tblInd w:w="0" w:type="dxa"/>
        <w:tblCellMar>
          <w:top w:w="0" w:type="dxa"/>
          <w:left w:w="0" w:type="dxa"/>
          <w:bottom w:w="0" w:type="dxa"/>
          <w:right w:w="0" w:type="dxa"/>
        </w:tblCellMar>
      </w:tblPr>
      <w:tblGrid>
        <w:gridCol w:w="75"/>
        <w:gridCol w:w="169"/>
        <w:gridCol w:w="9961"/>
      </w:tblGrid>
      <w:tr>
        <w:trPr/>
        <w:tc>
          <w:tcPr>
            <w:tcW w:w="75" w:type="dxa"/>
            <w:tcBorders/>
            <w:shd w:fill="auto" w:val="clear"/>
            <w:vAlign w:val="center"/>
          </w:tcPr>
          <w:p>
            <w:pPr>
              <w:pStyle w:val="TableContents"/>
              <w:spacing w:before="0" w:after="283"/>
              <w:rPr/>
            </w:pPr>
            <w:r>
              <w:rPr/>
              <w:t> </w:t>
            </w:r>
          </w:p>
        </w:tc>
        <w:tc>
          <w:tcPr>
            <w:tcW w:w="169" w:type="dxa"/>
            <w:tcBorders/>
            <w:shd w:fill="auto" w:val="clear"/>
            <w:vAlign w:val="center"/>
          </w:tcPr>
          <w:p>
            <w:pPr>
              <w:pStyle w:val="TableContents"/>
              <w:spacing w:before="0" w:after="283"/>
              <w:jc w:val="left"/>
              <w:rPr/>
            </w:pPr>
            <w:r>
              <w:rPr/>
              <w:t>2.</w:t>
            </w:r>
          </w:p>
        </w:tc>
        <w:tc>
          <w:tcPr>
            <w:tcW w:w="9961" w:type="dxa"/>
            <w:tcBorders/>
            <w:shd w:fill="auto" w:val="clear"/>
            <w:vAlign w:val="center"/>
          </w:tcPr>
          <w:p>
            <w:pPr>
              <w:pStyle w:val="TableContents"/>
              <w:spacing w:before="0" w:after="0"/>
              <w:jc w:val="left"/>
              <w:rPr>
                <w:rFonts w:ascii="ARIAL" w:hAnsi="ARIAL"/>
                <w:sz w:val="20"/>
              </w:rPr>
            </w:pPr>
            <w:r>
              <w:rPr>
                <w:rFonts w:ascii="ARIAL" w:hAnsi="ARIAL"/>
                <w:sz w:val="20"/>
                <w:u w:val="single"/>
              </w:rPr>
              <w:t>Retirement</w:t>
            </w:r>
            <w:r>
              <w:rPr>
                <w:rFonts w:ascii="ARIAL" w:hAnsi="ARIAL"/>
                <w:sz w:val="20"/>
              </w:rPr>
              <w:t xml:space="preserve">, as defined in the various plans and agreements. The benefits to the named executive officers for Retirement are equal to those available in the case of a Voluntary Termination as described in the table above.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64"/>
        <w:gridCol w:w="9966"/>
      </w:tblGrid>
      <w:tr>
        <w:trPr/>
        <w:tc>
          <w:tcPr>
            <w:tcW w:w="75" w:type="dxa"/>
            <w:tcBorders/>
            <w:shd w:fill="auto" w:val="clear"/>
            <w:vAlign w:val="center"/>
          </w:tcPr>
          <w:p>
            <w:pPr>
              <w:pStyle w:val="TableContents"/>
              <w:spacing w:before="0" w:after="283"/>
              <w:rPr/>
            </w:pPr>
            <w:r>
              <w:rPr/>
              <w:t> </w:t>
            </w:r>
          </w:p>
        </w:tc>
        <w:tc>
          <w:tcPr>
            <w:tcW w:w="164" w:type="dxa"/>
            <w:tcBorders/>
            <w:shd w:fill="auto" w:val="clear"/>
            <w:vAlign w:val="center"/>
          </w:tcPr>
          <w:p>
            <w:pPr>
              <w:pStyle w:val="TableContents"/>
              <w:spacing w:before="0" w:after="283"/>
              <w:jc w:val="left"/>
              <w:rPr/>
            </w:pPr>
            <w:r>
              <w:rPr/>
              <w:t>3.</w:t>
            </w:r>
          </w:p>
        </w:tc>
        <w:tc>
          <w:tcPr>
            <w:tcW w:w="9966" w:type="dxa"/>
            <w:tcBorders/>
            <w:shd w:fill="auto" w:val="clear"/>
            <w:vAlign w:val="center"/>
          </w:tcPr>
          <w:p>
            <w:pPr>
              <w:pStyle w:val="TableContents"/>
              <w:spacing w:before="0" w:after="0"/>
              <w:jc w:val="left"/>
              <w:rPr>
                <w:rFonts w:ascii="ARIAL" w:hAnsi="ARIAL"/>
                <w:sz w:val="20"/>
              </w:rPr>
            </w:pPr>
            <w:r>
              <w:rPr>
                <w:rFonts w:ascii="ARIAL" w:hAnsi="ARIAL"/>
                <w:sz w:val="20"/>
                <w:u w:val="single"/>
              </w:rPr>
              <w:t>Involuntary Termination</w:t>
            </w:r>
            <w:r>
              <w:rPr>
                <w:rFonts w:ascii="ARIAL" w:hAnsi="ARIAL"/>
                <w:sz w:val="20"/>
              </w:rPr>
              <w:t xml:space="preserve">, which includes a termination other than for cause, (including any termination by the Company without cause and any termination due to death or disability) but does not include a termination related to a change in control of the Company.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72"/>
        <w:gridCol w:w="9958"/>
      </w:tblGrid>
      <w:tr>
        <w:trPr/>
        <w:tc>
          <w:tcPr>
            <w:tcW w:w="75" w:type="dxa"/>
            <w:tcBorders/>
            <w:shd w:fill="auto" w:val="clear"/>
            <w:vAlign w:val="center"/>
          </w:tcPr>
          <w:p>
            <w:pPr>
              <w:pStyle w:val="TableContents"/>
              <w:spacing w:before="0" w:after="283"/>
              <w:rPr/>
            </w:pPr>
            <w:r>
              <w:rPr/>
              <w:t> </w:t>
            </w:r>
          </w:p>
        </w:tc>
        <w:tc>
          <w:tcPr>
            <w:tcW w:w="172" w:type="dxa"/>
            <w:tcBorders/>
            <w:shd w:fill="auto" w:val="clear"/>
            <w:vAlign w:val="center"/>
          </w:tcPr>
          <w:p>
            <w:pPr>
              <w:pStyle w:val="TableContents"/>
              <w:spacing w:before="0" w:after="283"/>
              <w:jc w:val="left"/>
              <w:rPr/>
            </w:pPr>
            <w:r>
              <w:rPr/>
              <w:t>4.</w:t>
            </w:r>
          </w:p>
        </w:tc>
        <w:tc>
          <w:tcPr>
            <w:tcW w:w="9958" w:type="dxa"/>
            <w:tcBorders/>
            <w:shd w:fill="auto" w:val="clear"/>
            <w:vAlign w:val="center"/>
          </w:tcPr>
          <w:p>
            <w:pPr>
              <w:pStyle w:val="TableContents"/>
              <w:spacing w:before="0" w:after="0"/>
              <w:jc w:val="left"/>
              <w:rPr>
                <w:rFonts w:ascii="ARIAL" w:hAnsi="ARIAL"/>
                <w:sz w:val="20"/>
              </w:rPr>
            </w:pPr>
            <w:r>
              <w:rPr>
                <w:rFonts w:ascii="ARIAL" w:hAnsi="ARIAL"/>
                <w:sz w:val="20"/>
                <w:u w:val="single"/>
              </w:rPr>
              <w:t>Change in Control of the Company</w:t>
            </w:r>
            <w:r>
              <w:rPr>
                <w:rFonts w:ascii="ARIAL" w:hAnsi="ARIAL"/>
                <w:sz w:val="20"/>
              </w:rPr>
              <w:t xml:space="preserve">, as defined in the CIC Agreements previously described in the “Change in Control Severance Arrangements” section of the Compensation Discussion and Analysis. </w:t>
            </w:r>
          </w:p>
        </w:tc>
      </w:tr>
    </w:tbl>
    <w:p>
      <w:pPr>
        <w:pStyle w:val="TextBody"/>
        <w:spacing w:before="240" w:after="0"/>
        <w:jc w:val="left"/>
        <w:rPr>
          <w:rFonts w:ascii="ARIAL" w:hAnsi="ARIAL"/>
          <w:b/>
          <w:i/>
          <w:sz w:val="20"/>
        </w:rPr>
      </w:pPr>
      <w:r>
        <w:rPr>
          <w:rFonts w:ascii="ARIAL" w:hAnsi="ARIAL"/>
          <w:b/>
          <w:i/>
          <w:sz w:val="20"/>
        </w:rPr>
        <w:t xml:space="preserve">Severance Benefits </w:t>
      </w:r>
    </w:p>
    <w:p>
      <w:pPr>
        <w:pStyle w:val="TextBody"/>
        <w:spacing w:before="240" w:after="0"/>
        <w:jc w:val="left"/>
        <w:rPr>
          <w:rFonts w:ascii="ARIAL" w:hAnsi="ARIAL"/>
          <w:sz w:val="20"/>
        </w:rPr>
      </w:pPr>
      <w:r>
        <w:rPr>
          <w:rFonts w:ascii="ARIAL" w:hAnsi="ARIAL"/>
          <w:sz w:val="20"/>
        </w:rPr>
        <w:t xml:space="preserve">The hypothetical benefit to be received by any executive for a particular event should not be combined with any other event, as a named executive officer could be compensated, if at all, for only one event. </w:t>
      </w:r>
    </w:p>
    <w:p>
      <w:pPr>
        <w:pStyle w:val="TextBody"/>
        <w:spacing w:before="240" w:after="0"/>
        <w:jc w:val="left"/>
        <w:rPr>
          <w:rFonts w:ascii="ARIAL" w:hAnsi="ARIAL"/>
          <w:sz w:val="20"/>
        </w:rPr>
      </w:pPr>
      <w:r>
        <w:rPr>
          <w:rFonts w:ascii="ARIAL" w:hAnsi="ARIAL"/>
          <w:sz w:val="20"/>
          <w:u w:val="single"/>
        </w:rPr>
        <w:t>Voluntary Termination</w:t>
      </w:r>
      <w:r>
        <w:rPr>
          <w:rFonts w:ascii="ARIAL" w:hAnsi="ARIAL"/>
          <w:sz w:val="20"/>
        </w:rPr>
        <w:t xml:space="preserve">.  No severance amounts are payable in the event of voluntary termination or an involuntary termination for cause. </w:t>
      </w:r>
    </w:p>
    <w:p>
      <w:pPr>
        <w:pStyle w:val="TextBody"/>
        <w:spacing w:before="240" w:after="0"/>
        <w:jc w:val="left"/>
        <w:rPr>
          <w:rFonts w:ascii="ARIAL" w:hAnsi="ARIAL"/>
          <w:sz w:val="20"/>
        </w:rPr>
      </w:pPr>
      <w:r>
        <w:rPr>
          <w:rFonts w:ascii="ARIAL" w:hAnsi="ARIAL"/>
          <w:sz w:val="20"/>
          <w:u w:val="single"/>
        </w:rPr>
        <w:t>Retirement</w:t>
      </w:r>
      <w:r>
        <w:rPr>
          <w:rFonts w:ascii="ARIAL" w:hAnsi="ARIAL"/>
          <w:sz w:val="20"/>
        </w:rPr>
        <w:t xml:space="preserve">.  No severance amounts are payable upon retirement. </w:t>
      </w:r>
    </w:p>
    <w:p>
      <w:pPr>
        <w:pStyle w:val="TextBody"/>
        <w:spacing w:before="240" w:after="0"/>
        <w:jc w:val="left"/>
        <w:rPr>
          <w:rFonts w:ascii="ARIAL" w:hAnsi="ARIAL"/>
          <w:sz w:val="20"/>
        </w:rPr>
      </w:pPr>
      <w:r>
        <w:rPr>
          <w:rFonts w:ascii="ARIAL" w:hAnsi="ARIAL"/>
          <w:sz w:val="20"/>
          <w:u w:val="single"/>
        </w:rPr>
        <w:t>Involuntary Termination</w:t>
      </w:r>
      <w:r>
        <w:rPr>
          <w:rFonts w:ascii="ARIAL" w:hAnsi="ARIAL"/>
          <w:sz w:val="20"/>
        </w:rPr>
        <w:t xml:space="preserve">.  The named executive officers would receive two (2) times the sum of the base salary and a prorated portion of their cash incentive compensation for the fiscal year in which the named executive officers’ termination occurs. </w:t>
      </w:r>
    </w:p>
    <w:p>
      <w:pPr>
        <w:pStyle w:val="TextBody"/>
        <w:spacing w:before="240" w:after="0"/>
        <w:jc w:val="left"/>
        <w:rPr>
          <w:rFonts w:ascii="ARIAL" w:hAnsi="ARIAL"/>
          <w:sz w:val="20"/>
        </w:rPr>
      </w:pPr>
      <w:r>
        <w:rPr>
          <w:rFonts w:ascii="ARIAL" w:hAnsi="ARIAL"/>
          <w:sz w:val="20"/>
          <w:u w:val="single"/>
        </w:rPr>
        <w:t>Change in Control of the Company</w:t>
      </w:r>
      <w:r>
        <w:rPr>
          <w:rFonts w:ascii="ARIAL" w:hAnsi="ARIAL"/>
          <w:sz w:val="20"/>
        </w:rPr>
        <w:t xml:space="preserve">.  In the event of both a change in control of the Company and certain qualifying terminations of employment, the named executive officers would receive three (3) times the sum of the base salary and the greater of (A) the highest incentive bonus earned during any of the three (3) fiscal years prior to the fiscal year in which the Covered Executive’s termination of employment occurs or, if greater, the three fiscal years prior to the fiscal year in which a change in control occurs or (B) the target incentive bonus for the fiscal year in which the Covered Executive’s termination of employment occurs, assuming all performance objectives were met in full. </w:t>
      </w:r>
    </w:p>
    <w:p>
      <w:pPr>
        <w:pStyle w:val="TextBody"/>
        <w:spacing w:before="240" w:after="0"/>
        <w:jc w:val="left"/>
        <w:rPr>
          <w:rFonts w:ascii="ARIAL" w:hAnsi="ARIAL"/>
          <w:b/>
          <w:i/>
          <w:sz w:val="20"/>
        </w:rPr>
      </w:pPr>
      <w:r>
        <w:rPr>
          <w:rFonts w:ascii="ARIAL" w:hAnsi="ARIAL"/>
          <w:b/>
          <w:i/>
          <w:sz w:val="20"/>
        </w:rPr>
        <w:t xml:space="preserve">Equity-Incentive Plan Awards </w:t>
      </w:r>
    </w:p>
    <w:p>
      <w:pPr>
        <w:pStyle w:val="TextBody"/>
        <w:spacing w:before="240" w:after="0"/>
        <w:jc w:val="left"/>
        <w:rPr>
          <w:rFonts w:ascii="ARIAL" w:hAnsi="ARIAL"/>
          <w:sz w:val="20"/>
        </w:rPr>
      </w:pPr>
      <w:r>
        <w:rPr>
          <w:rFonts w:ascii="ARIAL" w:hAnsi="ARIAL"/>
          <w:sz w:val="20"/>
        </w:rPr>
        <w:t xml:space="preserve">Each named executive officer has outstanding LTI awards granted under the Company’s equity-based plans. See the Grants of Plan-Based Awards and the Outstanding Equity Awards at Fiscal Year-End Tables above. In certain termination events or upon a change in control, there would be an acceleration of the vesting schedule of restricted stock and/or stock options. </w:t>
      </w:r>
    </w:p>
    <w:p>
      <w:pPr>
        <w:pStyle w:val="TextBody"/>
        <w:spacing w:before="240" w:after="0"/>
        <w:jc w:val="left"/>
        <w:rPr>
          <w:rFonts w:ascii="ARIAL" w:hAnsi="ARIAL"/>
          <w:sz w:val="20"/>
        </w:rPr>
      </w:pPr>
      <w:r>
        <w:rPr>
          <w:rFonts w:ascii="ARIAL" w:hAnsi="ARIAL"/>
          <w:sz w:val="20"/>
          <w:u w:val="single"/>
        </w:rPr>
        <w:t>Voluntary Termination</w:t>
      </w:r>
      <w:r>
        <w:rPr>
          <w:rFonts w:ascii="ARIAL" w:hAnsi="ARIAL"/>
          <w:sz w:val="20"/>
        </w:rPr>
        <w:t xml:space="preserve">.  If a named executive officer voluntarily terminates his or her employment prior to being eligible for retirement, or the Company terminates his or her employment for cause, his or her unvested restricted stock will be forfeited. In addition, any vested but unexercised stock options would be forfeited if not exercised within 90 days of the terminating event. </w:t>
      </w:r>
    </w:p>
    <w:p>
      <w:pPr>
        <w:pStyle w:val="TextBody"/>
        <w:spacing w:before="240" w:after="0"/>
        <w:jc w:val="left"/>
        <w:rPr>
          <w:rFonts w:ascii="ARIAL" w:hAnsi="ARIAL"/>
          <w:sz w:val="20"/>
        </w:rPr>
      </w:pPr>
      <w:r>
        <w:rPr>
          <w:rFonts w:ascii="ARIAL" w:hAnsi="ARIAL"/>
          <w:sz w:val="20"/>
          <w:u w:val="single"/>
        </w:rPr>
        <w:t>Retirement</w:t>
      </w:r>
      <w:r>
        <w:rPr>
          <w:rFonts w:ascii="ARIAL" w:hAnsi="ARIAL"/>
          <w:sz w:val="20"/>
        </w:rPr>
        <w:t xml:space="preserve">.  Upon retirement, unvested stock options would be forfeited and unvested time-based and performance-based restricted stock would be forfeited. </w:t>
      </w:r>
    </w:p>
    <w:p>
      <w:pPr>
        <w:pStyle w:val="TextBody"/>
        <w:spacing w:before="240" w:after="0"/>
        <w:jc w:val="left"/>
        <w:rPr>
          <w:rFonts w:ascii="ARIAL" w:hAnsi="ARIAL"/>
          <w:sz w:val="20"/>
        </w:rPr>
      </w:pPr>
      <w:r>
        <w:rPr>
          <w:rFonts w:ascii="ARIAL" w:hAnsi="ARIAL"/>
          <w:sz w:val="20"/>
          <w:u w:val="single"/>
        </w:rPr>
        <w:t>Involuntary Termination</w:t>
      </w:r>
      <w:r>
        <w:rPr>
          <w:rFonts w:ascii="ARIAL" w:hAnsi="ARIAL"/>
          <w:sz w:val="20"/>
        </w:rPr>
        <w:t xml:space="preserve">.  If a named executive officer is terminated by the Company for any reason other than disability, death or for cause, his or her time-based restricted stock award will vest on the later of (1) the first anniversary of the grant date or (2) the date of termination.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73 </w:t>
      </w:r>
      <w:r>
        <w:br w:type="page"/>
      </w:r>
    </w:p>
    <w:p>
      <w:pPr>
        <w:pStyle w:val="HorizontalLine"/>
        <w:rPr/>
      </w:pPr>
      <w:r>
        <w:rPr/>
      </w:r>
    </w:p>
    <w:p>
      <w:pPr>
        <w:pStyle w:val="TextBody"/>
        <w:spacing w:before="0" w:after="0"/>
        <w:jc w:val="left"/>
        <w:rPr>
          <w:rFonts w:ascii="ARIAL" w:hAnsi="ARIAL"/>
          <w:sz w:val="20"/>
        </w:rPr>
      </w:pPr>
      <w:r>
        <w:rPr>
          <w:rFonts w:ascii="ARIAL" w:hAnsi="ARIAL"/>
          <w:sz w:val="20"/>
        </w:rPr>
        <w:t xml:space="preserve">For performance-based restricted stock awarded prior to February 2022, if a named executive officer is terminated by the Company for any reason other than disability, death or for cause, his or her performance-based restricted stock award will continue until such time as the Board or an appropriate committee determines the extent to which the performance objective has been obtained. If attained, then the restrictions on the entire award will lapse on the third anniversary of the date of grant (or if the termination occurs after the performance objective has been attained, the restrictions on the entire award will lapse immediately). If the performance objective is not attained, the award will be forfeited in its entirety. </w:t>
      </w:r>
    </w:p>
    <w:p>
      <w:pPr>
        <w:pStyle w:val="TextBody"/>
        <w:spacing w:before="240" w:after="0"/>
        <w:jc w:val="left"/>
        <w:rPr>
          <w:rFonts w:ascii="ARIAL" w:hAnsi="ARIAL"/>
          <w:sz w:val="20"/>
        </w:rPr>
      </w:pPr>
      <w:r>
        <w:rPr>
          <w:rFonts w:ascii="ARIAL" w:hAnsi="ARIAL"/>
          <w:sz w:val="20"/>
        </w:rPr>
        <w:t xml:space="preserve">For performance-based restricted stock awarded after February 2022, (i) if a named executive officer is terminated by the Company for any reason other than disability, death or for cause prior to the first anniversary of the date of grant, his or her performance-based restricted stock award will be forfeited in its entirety; (ii) if a named executive officer is terminated by the Company for any reason other than disability, death or for cause on or after the first anniversary of the date of grant but prior to the third anniversary of the date of grant, a prorated portion of his or her performance-based restricted stock award will continue (but only to the extent of the target number of shares of performance-based restricted stock originally granted pursuant to the award multiplied by the number of full calendar months completed during the performance period divided by thirty-six (36) and rounded to the nearest whole number of shares) until such time as the Board or an appropriate committee determines the extent to which the performance objective has been obtained. If attained, then the restrictions on the prorated portion of the award will lapse on the third anniversary of the date of grant (or if the termination occurs after the performance objective has been attained, the restrictions on the prorated portion of the award will lapse immediately). If the performance objective is not attained, the award will be forfeited in its entirety. </w:t>
      </w:r>
    </w:p>
    <w:p>
      <w:pPr>
        <w:pStyle w:val="TextBody"/>
        <w:spacing w:before="240" w:after="0"/>
        <w:jc w:val="left"/>
        <w:rPr>
          <w:rFonts w:ascii="ARIAL" w:hAnsi="ARIAL"/>
          <w:sz w:val="20"/>
        </w:rPr>
      </w:pPr>
      <w:r>
        <w:rPr>
          <w:rFonts w:ascii="ARIAL" w:hAnsi="ARIAL"/>
          <w:sz w:val="20"/>
        </w:rPr>
        <w:t xml:space="preserve">If a named executive officer is terminated by the Company as a result of such officer’s death or disability, all shares of restricted stock (with respect to time-based restricted stock) and the target number of shares of restricted stock (with respect to performance-based restricted stock) which have not become vested will vest, and the restrictions thereon will lapse as of the date of such termination. The value of unvested restricted stock that would become fully vested for each of the named executive officers (with respect to performance-based restricted stock, assuming 100% attainment of the related performance objective) is presented in the above table. </w:t>
      </w:r>
    </w:p>
    <w:p>
      <w:pPr>
        <w:pStyle w:val="TextBody"/>
        <w:spacing w:before="240" w:after="0"/>
        <w:jc w:val="left"/>
        <w:rPr>
          <w:rFonts w:ascii="ARIAL" w:hAnsi="ARIAL"/>
          <w:sz w:val="20"/>
        </w:rPr>
      </w:pPr>
      <w:r>
        <w:rPr>
          <w:rFonts w:ascii="ARIAL" w:hAnsi="ARIAL"/>
          <w:sz w:val="20"/>
        </w:rPr>
        <w:t xml:space="preserve">With respect to stock options, if a named executive officer’s employment is terminated for any reason other than disability, death or for cause, the vested portion of such stock option would be exercisable for a period of three months following termination after which time the option would automatically terminate. If a named executive officer’s employment is terminated for disability, all options would immediately vest and become exercisable and would be exercisable for a period of 12 months following termination, after which time the option would automatically terminate. If a named executive officer’s employment is terminated due to death (or death occurs within three months after termination), the option would immediately vest and would be exercisable by the beneficiary thereof (by will or laws of descent) for a period of 12 months following death, after which time the option would automatically terminate. </w:t>
      </w:r>
    </w:p>
    <w:p>
      <w:pPr>
        <w:pStyle w:val="TextBody"/>
        <w:spacing w:before="240" w:after="0"/>
        <w:jc w:val="left"/>
        <w:rPr>
          <w:rFonts w:ascii="ARIAL" w:hAnsi="ARIAL"/>
          <w:sz w:val="20"/>
        </w:rPr>
      </w:pPr>
      <w:r>
        <w:rPr>
          <w:rFonts w:ascii="ARIAL" w:hAnsi="ARIAL"/>
          <w:sz w:val="20"/>
          <w:u w:val="single"/>
        </w:rPr>
        <w:t>Change in Control of the Company</w:t>
      </w:r>
      <w:r>
        <w:rPr>
          <w:rFonts w:ascii="ARIAL" w:hAnsi="ARIAL"/>
          <w:sz w:val="20"/>
        </w:rPr>
        <w:t xml:space="preserve">.  The value of unvested restricted stock and stock options that would become fully vested for each of the named executive officers is presented in the above table (although this chart reflects such full vesting, the 2009 Plan provides that these equity awards held by named executive officers will only fully and immediately vest if (1) the equity awards are not assumed or replaced by the successor company or (2) the equity awards are assumed or replaced by the successor company, and the executive’s employment is terminated without cause (or the executive terminates his or her employment for good reason) within the two-year period following the change in control).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74 </w:t>
      </w:r>
      <w:r>
        <w:br w:type="page"/>
      </w:r>
    </w:p>
    <w:p>
      <w:pPr>
        <w:pStyle w:val="HorizontalLine"/>
        <w:rPr/>
      </w:pPr>
      <w:r>
        <w:rPr/>
      </w:r>
    </w:p>
    <w:p>
      <w:pPr>
        <w:pStyle w:val="TextBody"/>
        <w:spacing w:before="0" w:after="0"/>
        <w:jc w:val="left"/>
        <w:rPr>
          <w:rFonts w:ascii="ARIAL" w:hAnsi="ARIAL"/>
          <w:b/>
          <w:i/>
          <w:sz w:val="20"/>
        </w:rPr>
      </w:pPr>
      <w:r>
        <w:rPr>
          <w:rFonts w:ascii="ARIAL" w:hAnsi="ARIAL"/>
          <w:b/>
          <w:i/>
          <w:sz w:val="20"/>
        </w:rPr>
        <w:t xml:space="preserve">Retirement Benefits </w:t>
      </w:r>
    </w:p>
    <w:p>
      <w:pPr>
        <w:pStyle w:val="TextBody"/>
        <w:spacing w:before="240" w:after="0"/>
        <w:jc w:val="left"/>
        <w:rPr>
          <w:rFonts w:ascii="ARIAL" w:hAnsi="ARIAL"/>
          <w:sz w:val="20"/>
        </w:rPr>
      </w:pPr>
      <w:r>
        <w:rPr>
          <w:rFonts w:ascii="ARIAL" w:hAnsi="ARIAL"/>
          <w:sz w:val="20"/>
        </w:rPr>
        <w:t xml:space="preserve">The amounts indicated below represent amounts payable if any, under the SERP for each described scenario. </w:t>
      </w:r>
    </w:p>
    <w:p>
      <w:pPr>
        <w:pStyle w:val="TextBody"/>
        <w:spacing w:before="240" w:after="0"/>
        <w:jc w:val="left"/>
        <w:rPr>
          <w:rFonts w:ascii="ARIAL" w:hAnsi="ARIAL"/>
          <w:sz w:val="20"/>
        </w:rPr>
      </w:pPr>
      <w:r>
        <w:rPr>
          <w:rFonts w:ascii="ARIAL" w:hAnsi="ARIAL"/>
          <w:sz w:val="20"/>
          <w:u w:val="single"/>
        </w:rPr>
        <w:t>Voluntary Termination</w:t>
      </w:r>
      <w:r>
        <w:rPr>
          <w:rFonts w:ascii="ARIAL" w:hAnsi="ARIAL"/>
          <w:sz w:val="20"/>
        </w:rPr>
        <w:t xml:space="preserve">.  In the case of voluntary termination, the lump-sum value of payments to each of the named executive officers is presented in the above table. </w:t>
      </w:r>
    </w:p>
    <w:p>
      <w:pPr>
        <w:pStyle w:val="TextBody"/>
        <w:spacing w:before="240" w:after="0"/>
        <w:jc w:val="left"/>
        <w:rPr>
          <w:rFonts w:ascii="ARIAL" w:hAnsi="ARIAL"/>
          <w:sz w:val="20"/>
        </w:rPr>
      </w:pPr>
      <w:r>
        <w:rPr>
          <w:rFonts w:ascii="ARIAL" w:hAnsi="ARIAL"/>
          <w:sz w:val="20"/>
          <w:u w:val="single"/>
        </w:rPr>
        <w:t>Retirement</w:t>
      </w:r>
      <w:r>
        <w:rPr>
          <w:rFonts w:ascii="ARIAL" w:hAnsi="ARIAL"/>
          <w:sz w:val="20"/>
        </w:rPr>
        <w:t xml:space="preserve">.  In the case of retirement, the lump-sum value of payments to each of the named executive officers is presented in the above table. </w:t>
      </w:r>
    </w:p>
    <w:p>
      <w:pPr>
        <w:pStyle w:val="TextBody"/>
        <w:spacing w:before="240" w:after="0"/>
        <w:jc w:val="left"/>
        <w:rPr>
          <w:rFonts w:ascii="ARIAL" w:hAnsi="ARIAL"/>
          <w:sz w:val="20"/>
        </w:rPr>
      </w:pPr>
      <w:r>
        <w:rPr>
          <w:rFonts w:ascii="ARIAL" w:hAnsi="ARIAL"/>
          <w:sz w:val="20"/>
          <w:u w:val="single"/>
        </w:rPr>
        <w:t>Involuntary Termination</w:t>
      </w:r>
      <w:r>
        <w:rPr>
          <w:rFonts w:ascii="ARIAL" w:hAnsi="ARIAL"/>
          <w:sz w:val="20"/>
        </w:rPr>
        <w:t xml:space="preserve">.  In the case of involuntary termination, the lump-sum value of payments to each of the named executive officers is presented in the above table. </w:t>
      </w:r>
    </w:p>
    <w:p>
      <w:pPr>
        <w:pStyle w:val="TextBody"/>
        <w:spacing w:before="240" w:after="0"/>
        <w:jc w:val="left"/>
        <w:rPr>
          <w:rFonts w:ascii="ARIAL" w:hAnsi="ARIAL"/>
          <w:sz w:val="20"/>
        </w:rPr>
      </w:pPr>
      <w:r>
        <w:rPr>
          <w:rFonts w:ascii="ARIAL" w:hAnsi="ARIAL"/>
          <w:sz w:val="20"/>
          <w:u w:val="single"/>
        </w:rPr>
        <w:t>Change in Control of the Company</w:t>
      </w:r>
      <w:r>
        <w:rPr>
          <w:rFonts w:ascii="ARIAL" w:hAnsi="ARIAL"/>
          <w:sz w:val="20"/>
        </w:rPr>
        <w:t xml:space="preserve">.  In the case of a change in control of the Company, the lump sum value of payments to each of the named executive officers is presented in the above table; provided, that all participants who have been credited with five or more years of service will be credited with an additional three years of service (not to exceed the maximum of 30 years of service) for purposes of determining the benefit. </w:t>
      </w:r>
    </w:p>
    <w:p>
      <w:pPr>
        <w:pStyle w:val="TextBody"/>
        <w:spacing w:before="240" w:after="0"/>
        <w:jc w:val="left"/>
        <w:rPr>
          <w:rFonts w:ascii="ARIAL" w:hAnsi="ARIAL"/>
          <w:b/>
          <w:i/>
          <w:sz w:val="20"/>
        </w:rPr>
      </w:pPr>
      <w:r>
        <w:rPr>
          <w:rFonts w:ascii="ARIAL" w:hAnsi="ARIAL"/>
          <w:b/>
          <w:i/>
          <w:sz w:val="20"/>
        </w:rPr>
        <w:t xml:space="preserve">Other Benefits </w:t>
      </w:r>
    </w:p>
    <w:p>
      <w:pPr>
        <w:pStyle w:val="TextBody"/>
        <w:spacing w:before="240" w:after="0"/>
        <w:jc w:val="left"/>
        <w:rPr>
          <w:rFonts w:ascii="ARIAL" w:hAnsi="ARIAL"/>
          <w:sz w:val="20"/>
        </w:rPr>
      </w:pPr>
      <w:r>
        <w:rPr>
          <w:rFonts w:ascii="ARIAL" w:hAnsi="ARIAL"/>
          <w:sz w:val="20"/>
        </w:rPr>
        <w:t xml:space="preserve">In the event of both a change in control of the Company and the occurrence of certain qualifying terminations of employment, the Company provides the continuation of certain health and welfare benefits with values based on the current employer contributions each named executive would have been entitled to receive as of December 31, 2022 for a term of 36 months. Also, in the event of a change in control, the Company provides reimbursement of up to $25,000 for outplacement counseling and related benefits to each of the named executive officers. </w:t>
      </w:r>
    </w:p>
    <w:p>
      <w:pPr>
        <w:pStyle w:val="TextBody"/>
        <w:spacing w:before="240" w:after="0"/>
        <w:jc w:val="left"/>
        <w:rPr>
          <w:rFonts w:ascii="ARIAL" w:hAnsi="ARIAL"/>
          <w:sz w:val="20"/>
        </w:rPr>
      </w:pPr>
      <w:r>
        <w:rPr>
          <w:rFonts w:ascii="ARIAL" w:hAnsi="ARIAL"/>
          <w:sz w:val="20"/>
        </w:rPr>
        <w:t xml:space="preserve">As described in additional detail above under “Non-Qualified Deferred Compensation,” certain of the named executive officers also participate in the Deferred Compensation Plan. Distributions of plan balances will occur in accordance with the terms of the plan following the date on which the participant is entitled to receive the distribution. </w:t>
      </w:r>
    </w:p>
    <w:p>
      <w:pPr>
        <w:pStyle w:val="TextBody"/>
        <w:spacing w:before="240" w:after="0"/>
        <w:jc w:val="left"/>
        <w:rPr>
          <w:rFonts w:ascii="ARIAL" w:hAnsi="ARIAL"/>
          <w:b/>
          <w:sz w:val="20"/>
        </w:rPr>
      </w:pPr>
      <w:bookmarkStart w:id="25" w:name="toc360141_22a"/>
      <w:bookmarkEnd w:id="25"/>
      <w:r>
        <w:rPr>
          <w:rFonts w:ascii="ARIAL" w:hAnsi="ARIAL"/>
          <w:b/>
          <w:sz w:val="20"/>
        </w:rPr>
        <w:t xml:space="preserve">CEO Pay Ratio </w:t>
      </w:r>
    </w:p>
    <w:p>
      <w:pPr>
        <w:pStyle w:val="TextBody"/>
        <w:spacing w:before="240" w:after="0"/>
        <w:jc w:val="left"/>
        <w:rPr>
          <w:rFonts w:ascii="ARIAL" w:hAnsi="ARIAL"/>
          <w:sz w:val="20"/>
        </w:rPr>
      </w:pPr>
      <w:r>
        <w:rPr>
          <w:rFonts w:ascii="ARIAL" w:hAnsi="ARIAL"/>
          <w:sz w:val="20"/>
        </w:rPr>
        <w:t xml:space="preserve">Under rules adopted pursuant to the Dodd-Frank Wall Street Reform and Consumer Protection Act, the Company is required to calculate and disclose the total compensation paid to its median paid employee, as well as the ratio of the total compensation paid to the median employee as compared to the total compensation paid to our Chief Executive Officer. Set forth below is a brief description of our methodology and the resulting CEO pay ratio. </w:t>
      </w:r>
    </w:p>
    <w:p>
      <w:pPr>
        <w:pStyle w:val="TextBody"/>
        <w:spacing w:before="240" w:after="0"/>
        <w:jc w:val="left"/>
        <w:rPr>
          <w:rFonts w:ascii="ARIAL" w:hAnsi="ARIAL"/>
          <w:b/>
          <w:i/>
          <w:sz w:val="20"/>
        </w:rPr>
      </w:pPr>
      <w:r>
        <w:rPr>
          <w:rFonts w:ascii="ARIAL" w:hAnsi="ARIAL"/>
          <w:b/>
          <w:i/>
          <w:sz w:val="20"/>
        </w:rPr>
        <w:t xml:space="preserve">Measurement Date </w:t>
      </w:r>
    </w:p>
    <w:p>
      <w:pPr>
        <w:pStyle w:val="TextBody"/>
        <w:spacing w:before="240" w:after="0"/>
        <w:jc w:val="left"/>
        <w:rPr>
          <w:rFonts w:ascii="ARIAL" w:hAnsi="ARIAL"/>
          <w:sz w:val="20"/>
        </w:rPr>
      </w:pPr>
      <w:r>
        <w:rPr>
          <w:rFonts w:ascii="ARIAL" w:hAnsi="ARIAL"/>
          <w:sz w:val="20"/>
        </w:rPr>
        <w:t xml:space="preserve">We identified the median employee using our employee population on December 31, 2022. As of such date, our employee population consisted of approximately 66,000. This population consisted of our full-time, part-time and temporary employees. </w:t>
      </w:r>
    </w:p>
    <w:p>
      <w:pPr>
        <w:pStyle w:val="TextBody"/>
        <w:spacing w:before="240" w:after="0"/>
        <w:jc w:val="left"/>
        <w:rPr>
          <w:rFonts w:ascii="ARIAL" w:hAnsi="ARIAL"/>
          <w:b/>
          <w:i/>
          <w:sz w:val="20"/>
        </w:rPr>
      </w:pPr>
      <w:r>
        <w:rPr>
          <w:rFonts w:ascii="ARIAL" w:hAnsi="ARIAL"/>
          <w:b/>
          <w:i/>
          <w:sz w:val="20"/>
        </w:rPr>
        <w:t xml:space="preserve">Consistently Applied Compensation Measure (CACM) </w:t>
      </w:r>
    </w:p>
    <w:p>
      <w:pPr>
        <w:pStyle w:val="TextBody"/>
        <w:spacing w:before="240" w:after="0"/>
        <w:jc w:val="left"/>
        <w:rPr>
          <w:rFonts w:ascii="ARIAL" w:hAnsi="ARIAL"/>
          <w:sz w:val="20"/>
        </w:rPr>
      </w:pPr>
      <w:r>
        <w:rPr>
          <w:rFonts w:ascii="ARIAL" w:hAnsi="ARIAL"/>
          <w:sz w:val="20"/>
        </w:rPr>
        <w:t xml:space="preserve">Under SEC rules, we identified the median employee by use of a “consistently applied compensation measure,” (“CACM”). We selected base salary as of the measurement date as our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75 </w:t>
      </w:r>
      <w:r>
        <w:br w:type="page"/>
      </w:r>
    </w:p>
    <w:p>
      <w:pPr>
        <w:pStyle w:val="HorizontalLine"/>
        <w:rPr/>
      </w:pPr>
      <w:r>
        <w:rPr/>
      </w:r>
    </w:p>
    <w:p>
      <w:pPr>
        <w:pStyle w:val="TextBody"/>
        <w:spacing w:before="0" w:after="0"/>
        <w:jc w:val="left"/>
        <w:rPr>
          <w:rFonts w:ascii="ARIAL" w:hAnsi="ARIAL"/>
          <w:sz w:val="20"/>
        </w:rPr>
      </w:pPr>
      <w:r>
        <w:rPr>
          <w:rFonts w:ascii="ARIAL" w:hAnsi="ARIAL"/>
          <w:sz w:val="20"/>
        </w:rPr>
        <w:t xml:space="preserve">CACM, which we believe reasonably reflects the annual compensation of our employees. Since all of our employees are located in the United States, as is our Chief Executive Officer, we did not make any cost-of-living adjustments. </w:t>
      </w:r>
    </w:p>
    <w:p>
      <w:pPr>
        <w:pStyle w:val="TextBody"/>
        <w:spacing w:before="240" w:after="0"/>
        <w:jc w:val="left"/>
        <w:rPr>
          <w:rFonts w:ascii="ARIAL" w:hAnsi="ARIAL"/>
          <w:b/>
          <w:i/>
          <w:sz w:val="20"/>
        </w:rPr>
      </w:pPr>
      <w:r>
        <w:rPr>
          <w:rFonts w:ascii="ARIAL" w:hAnsi="ARIAL"/>
          <w:b/>
          <w:i/>
          <w:sz w:val="20"/>
        </w:rPr>
        <w:t xml:space="preserve">Methodology and Pay Ratio </w:t>
      </w:r>
    </w:p>
    <w:p>
      <w:pPr>
        <w:pStyle w:val="TextBody"/>
        <w:spacing w:before="240" w:after="0"/>
        <w:jc w:val="left"/>
        <w:rPr>
          <w:rFonts w:ascii="ARIAL" w:hAnsi="ARIAL"/>
          <w:sz w:val="20"/>
        </w:rPr>
      </w:pPr>
      <w:r>
        <w:rPr>
          <w:rFonts w:ascii="ARIAL" w:hAnsi="ARIAL"/>
          <w:sz w:val="20"/>
        </w:rPr>
        <w:t xml:space="preserve">Once the median employee was identified as noted above, we calculated the median employee’s total annual compensation in accordance with the requirements of the Summary Compensation Table. No material assumptions or estimates were made to identify the median employee or determine total annual compensation. </w:t>
      </w:r>
    </w:p>
    <w:p>
      <w:pPr>
        <w:pStyle w:val="TextBody"/>
        <w:spacing w:before="240" w:after="0"/>
        <w:jc w:val="left"/>
        <w:rPr>
          <w:rFonts w:ascii="ARIAL" w:hAnsi="ARIAL"/>
          <w:sz w:val="20"/>
        </w:rPr>
      </w:pPr>
      <w:r>
        <w:rPr>
          <w:rFonts w:ascii="ARIAL" w:hAnsi="ARIAL"/>
          <w:sz w:val="20"/>
        </w:rPr>
        <w:t xml:space="preserve">Annual total compensation for both the Chief Executive Officer and the median employee was calculated in accordance with Item 402(c)(2)(x) of Regulation S-K. The annual total compensation for our Chief Executive Officer includes both the amount reported in the “Total” column of our 2022 Summary Compensation Table of $6,302,542 and the estimated value of our CEO’s health and welfare benefits of $22,670. Our median employee compensation as calculated using Summary Compensation Table requirements (including the estimated value of health and welfare benefits) was $65,072. Therefore, our CEO to median employee pay ratio is 97:1.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76 </w:t>
      </w:r>
      <w:r>
        <w:br w:type="page"/>
      </w:r>
    </w:p>
    <w:p>
      <w:pPr>
        <w:pStyle w:val="HorizontalLine"/>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rFonts w:ascii="ARIAL" w:hAnsi="ARIAL"/>
          <w:b/>
          <w:sz w:val="20"/>
        </w:rPr>
      </w:pPr>
      <w:r>
        <w:rPr>
          <w:rFonts w:ascii="ARIAL" w:hAnsi="ARIAL"/>
          <w:b/>
          <w:sz w:val="20"/>
        </w:rPr>
        <w:t>Pay Versus Performance</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40" w:after="0"/>
        <w:jc w:val="left"/>
        <w:rPr>
          <w:rFonts w:ascii="ARIAL" w:hAnsi="ARIAL"/>
          <w:b/>
          <w:i/>
          <w:sz w:val="20"/>
        </w:rPr>
      </w:pPr>
      <w:r>
        <w:rPr>
          <w:rFonts w:ascii="ARIAL" w:hAnsi="ARIAL"/>
          <w:b/>
          <w:i/>
          <w:sz w:val="20"/>
        </w:rPr>
        <w:t xml:space="preserve">Tabular Disclosures of Pay and Performance </w:t>
      </w:r>
    </w:p>
    <w:p>
      <w:pPr>
        <w:pStyle w:val="TextBody"/>
        <w:spacing w:before="240" w:after="0"/>
        <w:jc w:val="left"/>
        <w:rPr>
          <w:rFonts w:ascii="ARIAL" w:hAnsi="ARIAL"/>
          <w:sz w:val="20"/>
        </w:rPr>
      </w:pPr>
      <w:r>
        <w:rPr>
          <w:rFonts w:ascii="ARIAL" w:hAnsi="ARIAL"/>
          <w:sz w:val="20"/>
        </w:rPr>
        <w:t xml:space="preserve">Our CEO is the principal executive officer (“PEO”). The following table sets forth information concerning the compensation of our PEO(s) and other NEOs for each of the years ending December 31, 2022, 2021 and 2020 as well as our financial performance for each year. </w:t>
      </w:r>
    </w:p>
    <w:p>
      <w:pPr>
        <w:pStyle w:val="TextBody"/>
        <w:spacing w:before="0" w:after="0"/>
        <w:jc w:val="left"/>
        <w:rPr/>
      </w:pPr>
      <w:r>
        <w:rPr/>
        <w:t> </w:t>
      </w:r>
    </w:p>
    <w:tbl>
      <w:tblPr>
        <w:tblW w:w="11810" w:type="dxa"/>
        <w:jc w:val="left"/>
        <w:tblInd w:w="0" w:type="dxa"/>
        <w:tblCellMar>
          <w:top w:w="0" w:type="dxa"/>
          <w:left w:w="0" w:type="dxa"/>
          <w:bottom w:w="0" w:type="dxa"/>
          <w:right w:w="0" w:type="dxa"/>
        </w:tblCellMar>
      </w:tblPr>
      <w:tblGrid>
        <w:gridCol w:w="455"/>
        <w:gridCol w:w="60"/>
        <w:gridCol w:w="85"/>
        <w:gridCol w:w="1405"/>
        <w:gridCol w:w="60"/>
        <w:gridCol w:w="60"/>
        <w:gridCol w:w="77"/>
        <w:gridCol w:w="1413"/>
        <w:gridCol w:w="60"/>
        <w:gridCol w:w="60"/>
        <w:gridCol w:w="85"/>
        <w:gridCol w:w="1405"/>
        <w:gridCol w:w="60"/>
        <w:gridCol w:w="60"/>
        <w:gridCol w:w="85"/>
        <w:gridCol w:w="1405"/>
        <w:gridCol w:w="155"/>
        <w:gridCol w:w="60"/>
        <w:gridCol w:w="174"/>
        <w:gridCol w:w="1106"/>
        <w:gridCol w:w="60"/>
        <w:gridCol w:w="60"/>
        <w:gridCol w:w="174"/>
        <w:gridCol w:w="1106"/>
        <w:gridCol w:w="60"/>
        <w:gridCol w:w="60"/>
        <w:gridCol w:w="109"/>
        <w:gridCol w:w="691"/>
        <w:gridCol w:w="60"/>
        <w:gridCol w:w="60"/>
        <w:gridCol w:w="93"/>
        <w:gridCol w:w="872"/>
        <w:gridCol w:w="75"/>
      </w:tblGrid>
      <w:tr>
        <w:trPr/>
        <w:tc>
          <w:tcPr>
            <w:tcW w:w="4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5" w:type="dxa"/>
            <w:tcBorders/>
            <w:shd w:fill="auto" w:val="clear"/>
            <w:vAlign w:val="center"/>
          </w:tcPr>
          <w:p>
            <w:pPr>
              <w:pStyle w:val="TableContents"/>
              <w:spacing w:before="0" w:after="283"/>
              <w:rPr>
                <w:sz w:val="4"/>
                <w:szCs w:val="4"/>
              </w:rPr>
            </w:pPr>
            <w:r>
              <w:rPr>
                <w:sz w:val="4"/>
                <w:szCs w:val="4"/>
              </w:rPr>
            </w:r>
          </w:p>
        </w:tc>
        <w:tc>
          <w:tcPr>
            <w:tcW w:w="140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283"/>
              <w:rPr>
                <w:sz w:val="4"/>
                <w:szCs w:val="4"/>
              </w:rPr>
            </w:pPr>
            <w:r>
              <w:rPr>
                <w:sz w:val="4"/>
                <w:szCs w:val="4"/>
              </w:rPr>
            </w:r>
          </w:p>
        </w:tc>
        <w:tc>
          <w:tcPr>
            <w:tcW w:w="141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5" w:type="dxa"/>
            <w:tcBorders/>
            <w:shd w:fill="auto" w:val="clear"/>
            <w:vAlign w:val="center"/>
          </w:tcPr>
          <w:p>
            <w:pPr>
              <w:pStyle w:val="TableContents"/>
              <w:spacing w:before="0" w:after="283"/>
              <w:rPr>
                <w:sz w:val="4"/>
                <w:szCs w:val="4"/>
              </w:rPr>
            </w:pPr>
            <w:r>
              <w:rPr>
                <w:sz w:val="4"/>
                <w:szCs w:val="4"/>
              </w:rPr>
            </w:r>
          </w:p>
        </w:tc>
        <w:tc>
          <w:tcPr>
            <w:tcW w:w="140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5" w:type="dxa"/>
            <w:tcBorders/>
            <w:shd w:fill="auto" w:val="clear"/>
            <w:vAlign w:val="center"/>
          </w:tcPr>
          <w:p>
            <w:pPr>
              <w:pStyle w:val="TableContents"/>
              <w:spacing w:before="0" w:after="283"/>
              <w:rPr>
                <w:sz w:val="4"/>
                <w:szCs w:val="4"/>
              </w:rPr>
            </w:pPr>
            <w:r>
              <w:rPr>
                <w:sz w:val="4"/>
                <w:szCs w:val="4"/>
              </w:rPr>
            </w:r>
          </w:p>
        </w:tc>
        <w:tc>
          <w:tcPr>
            <w:tcW w:w="140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10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10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3" w:type="dxa"/>
            <w:tcBorders/>
            <w:shd w:fill="auto" w:val="clear"/>
            <w:vAlign w:val="center"/>
          </w:tcPr>
          <w:p>
            <w:pPr>
              <w:pStyle w:val="TableContents"/>
              <w:spacing w:before="0" w:after="283"/>
              <w:rPr>
                <w:sz w:val="4"/>
                <w:szCs w:val="4"/>
              </w:rPr>
            </w:pPr>
            <w:r>
              <w:rPr>
                <w:sz w:val="4"/>
                <w:szCs w:val="4"/>
              </w:rPr>
            </w:r>
          </w:p>
        </w:tc>
        <w:tc>
          <w:tcPr>
            <w:tcW w:w="872"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4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90"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90"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90"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90" w:type="dxa"/>
            <w:gridSpan w:val="2"/>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80" w:type="dxa"/>
            <w:gridSpan w:val="6"/>
            <w:tcBorders>
              <w:bottom w:val="single" w:sz="2" w:space="0" w:color="000000"/>
            </w:tcBorders>
            <w:shd w:fill="auto" w:val="clear"/>
            <w:tcMar>
              <w:bottom w:w="28" w:type="dxa"/>
            </w:tcMar>
            <w:vAlign w:val="center"/>
          </w:tcPr>
          <w:p>
            <w:pPr>
              <w:pStyle w:val="TableContents"/>
              <w:spacing w:before="0" w:after="0"/>
              <w:rPr/>
            </w:pPr>
            <w:r>
              <w:rPr/>
              <w:t> </w:t>
            </w:r>
          </w:p>
          <w:p>
            <w:pPr>
              <w:pStyle w:val="TableContents"/>
              <w:spacing w:before="0" w:after="20"/>
              <w:jc w:val="center"/>
              <w:rPr>
                <w:rFonts w:ascii="ARIAL" w:hAnsi="ARIAL"/>
                <w:b/>
                <w:sz w:val="16"/>
              </w:rPr>
            </w:pPr>
            <w:r>
              <w:rPr>
                <w:rFonts w:ascii="ARIAL" w:hAnsi="ARIAL"/>
                <w:b/>
                <w:sz w:val="16"/>
              </w:rPr>
              <w:t>Value of Initial Fixed $100</w:t>
              <w:br/>
              <w:t>Investment Based On:</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65" w:type="dxa"/>
            <w:gridSpan w:val="2"/>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455" w:type="dxa"/>
            <w:tcBorders/>
            <w:shd w:fill="auto" w:val="clear"/>
            <w:vAlign w:val="center"/>
          </w:tcPr>
          <w:p>
            <w:pPr>
              <w:pStyle w:val="TableContents"/>
              <w:spacing w:before="0" w:after="283"/>
              <w:rPr>
                <w:sz w:val="4"/>
                <w:szCs w:val="4"/>
              </w:rPr>
            </w:pPr>
            <w:r>
              <w:rPr>
                <w:sz w:val="4"/>
                <w:szCs w:val="4"/>
              </w:rPr>
            </w:r>
          </w:p>
        </w:tc>
        <w:tc>
          <w:tcPr>
            <w:tcW w:w="1610" w:type="dxa"/>
            <w:gridSpan w:val="4"/>
            <w:tcBorders/>
            <w:shd w:fill="auto" w:val="clear"/>
            <w:vAlign w:val="center"/>
          </w:tcPr>
          <w:p>
            <w:pPr>
              <w:pStyle w:val="TableContents"/>
              <w:spacing w:before="0" w:after="283"/>
              <w:rPr>
                <w:sz w:val="4"/>
                <w:szCs w:val="4"/>
              </w:rPr>
            </w:pPr>
            <w:r>
              <w:rPr>
                <w:sz w:val="4"/>
                <w:szCs w:val="4"/>
              </w:rPr>
            </w:r>
          </w:p>
        </w:tc>
        <w:tc>
          <w:tcPr>
            <w:tcW w:w="1610" w:type="dxa"/>
            <w:gridSpan w:val="4"/>
            <w:tcBorders/>
            <w:shd w:fill="auto" w:val="clear"/>
            <w:vAlign w:val="center"/>
          </w:tcPr>
          <w:p>
            <w:pPr>
              <w:pStyle w:val="TableContents"/>
              <w:spacing w:before="0" w:after="283"/>
              <w:rPr>
                <w:sz w:val="4"/>
                <w:szCs w:val="4"/>
              </w:rPr>
            </w:pPr>
            <w:r>
              <w:rPr>
                <w:sz w:val="4"/>
                <w:szCs w:val="4"/>
              </w:rPr>
            </w:r>
          </w:p>
        </w:tc>
        <w:tc>
          <w:tcPr>
            <w:tcW w:w="1610" w:type="dxa"/>
            <w:gridSpan w:val="4"/>
            <w:tcBorders/>
            <w:shd w:fill="auto" w:val="clear"/>
            <w:vAlign w:val="center"/>
          </w:tcPr>
          <w:p>
            <w:pPr>
              <w:pStyle w:val="TableContents"/>
              <w:spacing w:before="0" w:after="283"/>
              <w:rPr>
                <w:sz w:val="4"/>
                <w:szCs w:val="4"/>
              </w:rPr>
            </w:pPr>
            <w:r>
              <w:rPr>
                <w:sz w:val="4"/>
                <w:szCs w:val="4"/>
              </w:rPr>
            </w:r>
          </w:p>
        </w:tc>
        <w:tc>
          <w:tcPr>
            <w:tcW w:w="1705" w:type="dxa"/>
            <w:gridSpan w:val="4"/>
            <w:tcBorders/>
            <w:shd w:fill="auto" w:val="clear"/>
            <w:vAlign w:val="center"/>
          </w:tcPr>
          <w:p>
            <w:pPr>
              <w:pStyle w:val="TableContents"/>
              <w:spacing w:before="0" w:after="283"/>
              <w:rPr>
                <w:sz w:val="4"/>
                <w:szCs w:val="4"/>
              </w:rPr>
            </w:pPr>
            <w:r>
              <w:rPr>
                <w:sz w:val="4"/>
                <w:szCs w:val="4"/>
              </w:rPr>
            </w:r>
          </w:p>
        </w:tc>
        <w:tc>
          <w:tcPr>
            <w:tcW w:w="1400" w:type="dxa"/>
            <w:gridSpan w:val="4"/>
            <w:tcBorders/>
            <w:shd w:fill="auto" w:val="clear"/>
            <w:vAlign w:val="center"/>
          </w:tcPr>
          <w:p>
            <w:pPr>
              <w:pStyle w:val="TableContents"/>
              <w:spacing w:before="0" w:after="283"/>
              <w:rPr>
                <w:sz w:val="4"/>
                <w:szCs w:val="4"/>
              </w:rPr>
            </w:pPr>
            <w:r>
              <w:rPr>
                <w:sz w:val="4"/>
                <w:szCs w:val="4"/>
              </w:rPr>
            </w:r>
          </w:p>
        </w:tc>
        <w:tc>
          <w:tcPr>
            <w:tcW w:w="1400" w:type="dxa"/>
            <w:gridSpan w:val="4"/>
            <w:tcBorders/>
            <w:shd w:fill="auto" w:val="clear"/>
            <w:vAlign w:val="center"/>
          </w:tcPr>
          <w:p>
            <w:pPr>
              <w:pStyle w:val="TableContents"/>
              <w:spacing w:before="0" w:after="283"/>
              <w:rPr>
                <w:sz w:val="4"/>
                <w:szCs w:val="4"/>
              </w:rPr>
            </w:pPr>
            <w:r>
              <w:rPr>
                <w:sz w:val="4"/>
                <w:szCs w:val="4"/>
              </w:rPr>
            </w:r>
          </w:p>
        </w:tc>
        <w:tc>
          <w:tcPr>
            <w:tcW w:w="920" w:type="dxa"/>
            <w:gridSpan w:val="4"/>
            <w:tcBorders/>
            <w:shd w:fill="auto" w:val="clear"/>
            <w:vAlign w:val="center"/>
          </w:tcPr>
          <w:p>
            <w:pPr>
              <w:pStyle w:val="TableContents"/>
              <w:spacing w:before="0" w:after="283"/>
              <w:rPr>
                <w:sz w:val="4"/>
                <w:szCs w:val="4"/>
              </w:rPr>
            </w:pPr>
            <w:r>
              <w:rPr>
                <w:sz w:val="4"/>
                <w:szCs w:val="4"/>
              </w:rPr>
            </w:r>
          </w:p>
        </w:tc>
        <w:tc>
          <w:tcPr>
            <w:tcW w:w="1100" w:type="dxa"/>
            <w:gridSpan w:val="4"/>
            <w:tcBorders/>
            <w:shd w:fill="auto" w:val="clear"/>
            <w:vAlign w:val="center"/>
          </w:tcPr>
          <w:p>
            <w:pPr>
              <w:pStyle w:val="TableContents"/>
              <w:spacing w:before="0" w:after="283"/>
              <w:rPr>
                <w:sz w:val="4"/>
                <w:szCs w:val="4"/>
              </w:rPr>
            </w:pPr>
            <w:r>
              <w:rPr>
                <w:sz w:val="4"/>
                <w:szCs w:val="4"/>
              </w:rPr>
            </w:r>
          </w:p>
        </w:tc>
      </w:tr>
      <w:tr>
        <w:trPr/>
        <w:tc>
          <w:tcPr>
            <w:tcW w:w="455" w:type="dxa"/>
            <w:tcBorders>
              <w:bottom w:val="single" w:sz="2" w:space="0" w:color="000000"/>
            </w:tcBorders>
            <w:shd w:fill="auto" w:val="clear"/>
            <w:tcMar>
              <w:bottom w:w="40" w:type="dxa"/>
            </w:tcMar>
            <w:vAlign w:val="center"/>
          </w:tcPr>
          <w:p>
            <w:pPr>
              <w:pStyle w:val="TableContents"/>
              <w:spacing w:before="0" w:after="0"/>
              <w:rPr>
                <w:rFonts w:ascii="ARIAL" w:hAnsi="ARIAL"/>
                <w:b/>
                <w:sz w:val="16"/>
              </w:rPr>
            </w:pPr>
            <w:r>
              <w:rPr>
                <w:rFonts w:ascii="ARIAL" w:hAnsi="ARIAL"/>
                <w:b/>
                <w:sz w:val="16"/>
              </w:rPr>
              <w:t>Year</w:t>
            </w:r>
          </w:p>
          <w:p>
            <w:pPr>
              <w:pStyle w:val="TableContents"/>
              <w:spacing w:before="0" w:after="20"/>
              <w:rPr/>
            </w:pPr>
            <w:r>
              <w:rPr/>
              <w:t>  </w:t>
            </w:r>
            <w:r>
              <w:rPr>
                <w:rFonts w:ascii="ARIAL" w:hAnsi="ARIAL"/>
                <w:b/>
                <w:sz w:val="16"/>
              </w:rPr>
              <w:t>(a)</w:t>
            </w:r>
          </w:p>
        </w:tc>
        <w:tc>
          <w:tcPr>
            <w:tcW w:w="60" w:type="dxa"/>
            <w:tcBorders/>
            <w:shd w:fill="auto" w:val="clear"/>
            <w:vAlign w:val="center"/>
          </w:tcPr>
          <w:p>
            <w:pPr>
              <w:pStyle w:val="TableContents"/>
              <w:spacing w:before="0" w:after="283"/>
              <w:rPr/>
            </w:pPr>
            <w:r>
              <w:rPr/>
              <w:t> </w:t>
            </w:r>
          </w:p>
        </w:tc>
        <w:tc>
          <w:tcPr>
            <w:tcW w:w="1490" w:type="dxa"/>
            <w:gridSpan w:val="2"/>
            <w:tcBorders>
              <w:bottom w:val="single" w:sz="2" w:space="0" w:color="000000"/>
            </w:tcBorders>
            <w:shd w:fill="auto" w:val="clear"/>
            <w:tcMar>
              <w:bottom w:w="40" w:type="dxa"/>
            </w:tcMar>
            <w:vAlign w:val="center"/>
          </w:tcPr>
          <w:p>
            <w:pPr>
              <w:pStyle w:val="TableContents"/>
              <w:spacing w:before="0" w:after="0"/>
              <w:jc w:val="center"/>
              <w:rPr>
                <w:b/>
                <w:spacing w:val="0"/>
              </w:rPr>
            </w:pPr>
            <w:r>
              <w:rPr>
                <w:b/>
                <w:spacing w:val="0"/>
              </w:rPr>
              <w:t>Summary</w:t>
              <w:br/>
              <w:t>Compensation</w:t>
            </w:r>
          </w:p>
          <w:p>
            <w:pPr>
              <w:pStyle w:val="TableContents"/>
              <w:spacing w:before="0" w:after="0"/>
              <w:jc w:val="center"/>
              <w:rPr/>
            </w:pPr>
            <w:r>
              <w:rPr/>
            </w:r>
          </w:p>
          <w:p>
            <w:pPr>
              <w:pStyle w:val="TableContents"/>
              <w:spacing w:before="0" w:after="0"/>
              <w:jc w:val="center"/>
              <w:rPr>
                <w:b/>
                <w:spacing w:val="0"/>
              </w:rPr>
            </w:pPr>
            <w:r>
              <w:rPr>
                <w:b/>
                <w:spacing w:val="0"/>
              </w:rPr>
              <w:t>Table Total for</w:t>
            </w:r>
          </w:p>
          <w:p>
            <w:pPr>
              <w:pStyle w:val="TableContents"/>
              <w:spacing w:before="0" w:after="0"/>
              <w:jc w:val="center"/>
              <w:rPr/>
            </w:pPr>
            <w:r>
              <w:rPr/>
            </w:r>
          </w:p>
          <w:p>
            <w:pPr>
              <w:pStyle w:val="TableContents"/>
              <w:spacing w:before="0" w:after="0"/>
              <w:jc w:val="center"/>
              <w:rPr>
                <w:b/>
                <w:spacing w:val="0"/>
              </w:rPr>
            </w:pPr>
            <w:r>
              <w:rPr>
                <w:b/>
                <w:spacing w:val="0"/>
              </w:rPr>
              <w:t>PEO ($)</w:t>
            </w:r>
          </w:p>
          <w:p>
            <w:pPr>
              <w:pStyle w:val="TableContents"/>
              <w:spacing w:before="0" w:after="0"/>
              <w:jc w:val="center"/>
              <w:rPr/>
            </w:pPr>
            <w:r>
              <w:rPr/>
            </w:r>
          </w:p>
          <w:p>
            <w:pPr>
              <w:pStyle w:val="TableContents"/>
              <w:spacing w:before="0" w:after="0"/>
              <w:jc w:val="center"/>
              <w:rPr>
                <w:b/>
                <w:spacing w:val="0"/>
              </w:rPr>
            </w:pPr>
            <w:r>
              <w:rPr>
                <w:b/>
                <w:spacing w:val="0"/>
              </w:rPr>
              <w:t>(b)</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90" w:type="dxa"/>
            <w:gridSpan w:val="2"/>
            <w:tcBorders>
              <w:bottom w:val="single" w:sz="2" w:space="0" w:color="000000"/>
            </w:tcBorders>
            <w:shd w:fill="auto" w:val="clear"/>
            <w:tcMar>
              <w:bottom w:w="40" w:type="dxa"/>
            </w:tcMar>
            <w:vAlign w:val="center"/>
          </w:tcPr>
          <w:p>
            <w:pPr>
              <w:pStyle w:val="TableContents"/>
              <w:spacing w:before="0" w:after="0"/>
              <w:jc w:val="center"/>
              <w:rPr>
                <w:b/>
                <w:spacing w:val="0"/>
              </w:rPr>
            </w:pPr>
            <w:r>
              <w:rPr>
                <w:b/>
                <w:spacing w:val="0"/>
              </w:rPr>
              <w:t>Compensation</w:t>
            </w:r>
          </w:p>
          <w:p>
            <w:pPr>
              <w:pStyle w:val="TableContents"/>
              <w:spacing w:before="0" w:after="0"/>
              <w:jc w:val="center"/>
              <w:rPr/>
            </w:pPr>
            <w:r>
              <w:rPr/>
            </w:r>
          </w:p>
          <w:p>
            <w:pPr>
              <w:pStyle w:val="TableContents"/>
              <w:spacing w:before="0" w:after="0"/>
              <w:jc w:val="center"/>
              <w:rPr>
                <w:b/>
                <w:spacing w:val="0"/>
              </w:rPr>
            </w:pPr>
            <w:r>
              <w:rPr>
                <w:b/>
                <w:spacing w:val="0"/>
              </w:rPr>
              <w:t>Actually Paid</w:t>
              <w:br/>
              <w:t>to</w:t>
            </w:r>
          </w:p>
          <w:p>
            <w:pPr>
              <w:pStyle w:val="TableContents"/>
              <w:spacing w:before="0" w:after="0"/>
              <w:jc w:val="center"/>
              <w:rPr/>
            </w:pPr>
            <w:r>
              <w:rPr/>
            </w:r>
          </w:p>
          <w:p>
            <w:pPr>
              <w:pStyle w:val="TableContents"/>
              <w:spacing w:before="0" w:after="0"/>
              <w:jc w:val="center"/>
              <w:rPr>
                <w:b/>
                <w:spacing w:val="0"/>
              </w:rPr>
            </w:pPr>
            <w:r>
              <w:rPr>
                <w:b/>
                <w:spacing w:val="0"/>
              </w:rPr>
              <w:t>PEO ($)</w:t>
            </w:r>
          </w:p>
          <w:p>
            <w:pPr>
              <w:pStyle w:val="TableContents"/>
              <w:spacing w:before="0" w:after="0"/>
              <w:jc w:val="center"/>
              <w:rPr/>
            </w:pPr>
            <w:r>
              <w:rPr/>
            </w:r>
          </w:p>
          <w:p>
            <w:pPr>
              <w:pStyle w:val="TableContents"/>
              <w:spacing w:before="0" w:after="0"/>
              <w:jc w:val="center"/>
              <w:rPr>
                <w:b/>
                <w:spacing w:val="0"/>
              </w:rPr>
            </w:pPr>
            <w:r>
              <w:rPr>
                <w:b/>
                <w:spacing w:val="0"/>
              </w:rPr>
              <w:t>(c)</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90" w:type="dxa"/>
            <w:gridSpan w:val="2"/>
            <w:tcBorders>
              <w:bottom w:val="single" w:sz="2" w:space="0" w:color="000000"/>
            </w:tcBorders>
            <w:shd w:fill="auto" w:val="clear"/>
            <w:tcMar>
              <w:bottom w:w="40" w:type="dxa"/>
            </w:tcMar>
            <w:vAlign w:val="center"/>
          </w:tcPr>
          <w:p>
            <w:pPr>
              <w:pStyle w:val="TableContents"/>
              <w:spacing w:before="0" w:after="0"/>
              <w:jc w:val="center"/>
              <w:rPr>
                <w:b/>
                <w:spacing w:val="0"/>
              </w:rPr>
            </w:pPr>
            <w:r>
              <w:rPr>
                <w:b/>
                <w:spacing w:val="0"/>
              </w:rPr>
              <w:t>Average</w:t>
              <w:br/>
              <w:t>Summary</w:t>
            </w:r>
          </w:p>
          <w:p>
            <w:pPr>
              <w:pStyle w:val="TableContents"/>
              <w:spacing w:before="0" w:after="0"/>
              <w:jc w:val="center"/>
              <w:rPr/>
            </w:pPr>
            <w:r>
              <w:rPr/>
            </w:r>
          </w:p>
          <w:p>
            <w:pPr>
              <w:pStyle w:val="TableContents"/>
              <w:spacing w:before="0" w:after="0"/>
              <w:jc w:val="center"/>
              <w:rPr>
                <w:b/>
                <w:spacing w:val="0"/>
              </w:rPr>
            </w:pPr>
            <w:r>
              <w:rPr>
                <w:b/>
                <w:spacing w:val="0"/>
              </w:rPr>
              <w:t>Compensation</w:t>
            </w:r>
          </w:p>
          <w:p>
            <w:pPr>
              <w:pStyle w:val="TableContents"/>
              <w:spacing w:before="0" w:after="0"/>
              <w:jc w:val="center"/>
              <w:rPr/>
            </w:pPr>
            <w:r>
              <w:rPr/>
            </w:r>
          </w:p>
          <w:p>
            <w:pPr>
              <w:pStyle w:val="TableContents"/>
              <w:spacing w:before="0" w:after="0"/>
              <w:jc w:val="center"/>
              <w:rPr>
                <w:b/>
                <w:spacing w:val="0"/>
              </w:rPr>
            </w:pPr>
            <w:r>
              <w:rPr>
                <w:b/>
                <w:spacing w:val="0"/>
              </w:rPr>
              <w:t>Table Total</w:t>
            </w:r>
          </w:p>
          <w:p>
            <w:pPr>
              <w:pStyle w:val="TableContents"/>
              <w:spacing w:before="0" w:after="0"/>
              <w:jc w:val="center"/>
              <w:rPr/>
            </w:pPr>
            <w:r>
              <w:rPr/>
            </w:r>
          </w:p>
          <w:p>
            <w:pPr>
              <w:pStyle w:val="TableContents"/>
              <w:spacing w:before="0" w:after="0"/>
              <w:jc w:val="center"/>
              <w:rPr>
                <w:b/>
                <w:spacing w:val="0"/>
              </w:rPr>
            </w:pPr>
            <w:r>
              <w:rPr>
                <w:b/>
                <w:spacing w:val="0"/>
              </w:rPr>
              <w:t xml:space="preserve">for </w:t>
            </w:r>
          </w:p>
          <w:p>
            <w:pPr>
              <w:pStyle w:val="TableContents"/>
              <w:spacing w:before="0" w:after="0"/>
              <w:jc w:val="center"/>
              <w:rPr>
                <w:b/>
                <w:spacing w:val="0"/>
              </w:rPr>
            </w:pPr>
            <w:r>
              <w:rPr>
                <w:b/>
                <w:spacing w:val="0"/>
              </w:rPr>
              <w:t>Non-PEO</w:t>
            </w:r>
          </w:p>
          <w:p>
            <w:pPr>
              <w:pStyle w:val="TableContents"/>
              <w:spacing w:before="0" w:after="0"/>
              <w:jc w:val="center"/>
              <w:rPr/>
            </w:pPr>
            <w:r>
              <w:rPr/>
            </w:r>
          </w:p>
          <w:p>
            <w:pPr>
              <w:pStyle w:val="TableContents"/>
              <w:spacing w:before="0" w:after="0"/>
              <w:jc w:val="center"/>
              <w:rPr>
                <w:b/>
                <w:spacing w:val="0"/>
              </w:rPr>
            </w:pPr>
            <w:r>
              <w:rPr>
                <w:b/>
                <w:spacing w:val="0"/>
              </w:rPr>
              <w:t>NEO’s ($)</w:t>
            </w:r>
          </w:p>
          <w:p>
            <w:pPr>
              <w:pStyle w:val="TableContents"/>
              <w:spacing w:before="0" w:after="0"/>
              <w:jc w:val="center"/>
              <w:rPr/>
            </w:pPr>
            <w:r>
              <w:rPr/>
            </w:r>
          </w:p>
          <w:p>
            <w:pPr>
              <w:pStyle w:val="TableContents"/>
              <w:spacing w:before="0" w:after="0"/>
              <w:jc w:val="center"/>
              <w:rPr>
                <w:b/>
                <w:spacing w:val="0"/>
              </w:rPr>
            </w:pPr>
            <w:r>
              <w:rPr>
                <w:b/>
                <w:spacing w:val="0"/>
              </w:rPr>
              <w:t>(d)</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90" w:type="dxa"/>
            <w:gridSpan w:val="2"/>
            <w:tcBorders>
              <w:bottom w:val="single" w:sz="2" w:space="0" w:color="000000"/>
            </w:tcBorders>
            <w:shd w:fill="auto" w:val="clear"/>
            <w:tcMar>
              <w:bottom w:w="40" w:type="dxa"/>
            </w:tcMar>
            <w:vAlign w:val="center"/>
          </w:tcPr>
          <w:p>
            <w:pPr>
              <w:pStyle w:val="TableContents"/>
              <w:spacing w:before="0" w:after="0"/>
              <w:jc w:val="center"/>
              <w:rPr>
                <w:b/>
                <w:spacing w:val="0"/>
              </w:rPr>
            </w:pPr>
            <w:r>
              <w:rPr>
                <w:b/>
                <w:spacing w:val="0"/>
              </w:rPr>
              <w:t>Average</w:t>
            </w:r>
          </w:p>
          <w:p>
            <w:pPr>
              <w:pStyle w:val="TableContents"/>
              <w:spacing w:before="0" w:after="0"/>
              <w:jc w:val="center"/>
              <w:rPr/>
            </w:pPr>
            <w:r>
              <w:rPr/>
            </w:r>
          </w:p>
          <w:p>
            <w:pPr>
              <w:pStyle w:val="TableContents"/>
              <w:spacing w:before="0" w:after="0"/>
              <w:jc w:val="center"/>
              <w:rPr>
                <w:b/>
                <w:spacing w:val="0"/>
              </w:rPr>
            </w:pPr>
            <w:r>
              <w:rPr>
                <w:b/>
                <w:spacing w:val="0"/>
              </w:rPr>
              <w:t>Compensation</w:t>
            </w:r>
          </w:p>
          <w:p>
            <w:pPr>
              <w:pStyle w:val="TableContents"/>
              <w:spacing w:before="0" w:after="0"/>
              <w:jc w:val="center"/>
              <w:rPr/>
            </w:pPr>
            <w:r>
              <w:rPr/>
            </w:r>
          </w:p>
          <w:p>
            <w:pPr>
              <w:pStyle w:val="TableContents"/>
              <w:spacing w:before="0" w:after="0"/>
              <w:jc w:val="center"/>
              <w:rPr>
                <w:b/>
                <w:spacing w:val="0"/>
              </w:rPr>
            </w:pPr>
            <w:r>
              <w:rPr>
                <w:b/>
                <w:spacing w:val="0"/>
              </w:rPr>
              <w:t>Actually Paid</w:t>
            </w:r>
          </w:p>
          <w:p>
            <w:pPr>
              <w:pStyle w:val="TableContents"/>
              <w:spacing w:before="0" w:after="0"/>
              <w:jc w:val="center"/>
              <w:rPr/>
            </w:pPr>
            <w:r>
              <w:rPr/>
            </w:r>
          </w:p>
          <w:p>
            <w:pPr>
              <w:pStyle w:val="TableContents"/>
              <w:spacing w:before="0" w:after="0"/>
              <w:jc w:val="center"/>
              <w:rPr>
                <w:b/>
                <w:spacing w:val="0"/>
              </w:rPr>
            </w:pPr>
            <w:r>
              <w:rPr>
                <w:b/>
                <w:spacing w:val="0"/>
              </w:rPr>
              <w:t xml:space="preserve">to </w:t>
            </w:r>
          </w:p>
          <w:p>
            <w:pPr>
              <w:pStyle w:val="TableContents"/>
              <w:spacing w:before="0" w:after="0"/>
              <w:jc w:val="center"/>
              <w:rPr>
                <w:b/>
                <w:spacing w:val="0"/>
              </w:rPr>
            </w:pPr>
            <w:r>
              <w:rPr>
                <w:b/>
                <w:spacing w:val="0"/>
              </w:rPr>
              <w:t>Non-PEO</w:t>
            </w:r>
          </w:p>
          <w:p>
            <w:pPr>
              <w:pStyle w:val="TableContents"/>
              <w:spacing w:before="0" w:after="0"/>
              <w:jc w:val="center"/>
              <w:rPr/>
            </w:pPr>
            <w:r>
              <w:rPr/>
            </w:r>
          </w:p>
          <w:p>
            <w:pPr>
              <w:pStyle w:val="TableContents"/>
              <w:spacing w:before="0" w:after="0"/>
              <w:jc w:val="center"/>
              <w:rPr>
                <w:b/>
                <w:spacing w:val="0"/>
              </w:rPr>
            </w:pPr>
            <w:r>
              <w:rPr>
                <w:b/>
                <w:spacing w:val="0"/>
              </w:rPr>
              <w:t>NEO’s ($)</w:t>
            </w:r>
          </w:p>
          <w:p>
            <w:pPr>
              <w:pStyle w:val="TableContents"/>
              <w:spacing w:before="0" w:after="0"/>
              <w:jc w:val="center"/>
              <w:rPr/>
            </w:pPr>
            <w:r>
              <w:rPr/>
            </w:r>
          </w:p>
          <w:p>
            <w:pPr>
              <w:pStyle w:val="TableContents"/>
              <w:spacing w:before="0" w:after="0"/>
              <w:jc w:val="center"/>
              <w:rPr>
                <w:b/>
                <w:spacing w:val="0"/>
              </w:rPr>
            </w:pPr>
            <w:r>
              <w:rPr>
                <w:b/>
                <w:spacing w:val="0"/>
              </w:rPr>
              <w:t>(e)</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80" w:type="dxa"/>
            <w:gridSpan w:val="2"/>
            <w:tcBorders>
              <w:bottom w:val="single" w:sz="2" w:space="0" w:color="000000"/>
            </w:tcBorders>
            <w:shd w:fill="auto" w:val="clear"/>
            <w:tcMar>
              <w:bottom w:w="40" w:type="dxa"/>
            </w:tcMar>
            <w:vAlign w:val="center"/>
          </w:tcPr>
          <w:p>
            <w:pPr>
              <w:pStyle w:val="TableContents"/>
              <w:spacing w:before="0" w:after="0"/>
              <w:jc w:val="center"/>
              <w:rPr>
                <w:b/>
                <w:spacing w:val="0"/>
              </w:rPr>
            </w:pPr>
            <w:r>
              <w:rPr>
                <w:b/>
                <w:spacing w:val="0"/>
              </w:rPr>
              <w:t>Total</w:t>
            </w:r>
          </w:p>
          <w:p>
            <w:pPr>
              <w:pStyle w:val="TableContents"/>
              <w:spacing w:before="0" w:after="0"/>
              <w:jc w:val="center"/>
              <w:rPr/>
            </w:pPr>
            <w:r>
              <w:rPr/>
            </w:r>
          </w:p>
          <w:p>
            <w:pPr>
              <w:pStyle w:val="TableContents"/>
              <w:spacing w:before="0" w:after="0"/>
              <w:jc w:val="center"/>
              <w:rPr>
                <w:b/>
                <w:spacing w:val="0"/>
              </w:rPr>
            </w:pPr>
            <w:r>
              <w:rPr>
                <w:b/>
                <w:spacing w:val="0"/>
              </w:rPr>
              <w:t>Shareholder</w:t>
            </w:r>
          </w:p>
          <w:p>
            <w:pPr>
              <w:pStyle w:val="TableContents"/>
              <w:spacing w:before="0" w:after="0"/>
              <w:jc w:val="center"/>
              <w:rPr/>
            </w:pPr>
            <w:r>
              <w:rPr/>
            </w:r>
          </w:p>
          <w:p>
            <w:pPr>
              <w:pStyle w:val="TableContents"/>
              <w:spacing w:before="0" w:after="0"/>
              <w:jc w:val="center"/>
              <w:rPr>
                <w:b/>
                <w:spacing w:val="0"/>
              </w:rPr>
            </w:pPr>
            <w:r>
              <w:rPr>
                <w:b/>
                <w:spacing w:val="0"/>
              </w:rPr>
              <w:t>Return ($)</w:t>
            </w:r>
          </w:p>
          <w:p>
            <w:pPr>
              <w:pStyle w:val="TableContents"/>
              <w:spacing w:before="0" w:after="0"/>
              <w:jc w:val="center"/>
              <w:rPr/>
            </w:pPr>
            <w:r>
              <w:rPr/>
            </w:r>
          </w:p>
          <w:p>
            <w:pPr>
              <w:pStyle w:val="TableContents"/>
              <w:spacing w:before="0" w:after="0"/>
              <w:jc w:val="center"/>
              <w:rPr>
                <w:b/>
                <w:spacing w:val="0"/>
              </w:rPr>
            </w:pPr>
            <w:r>
              <w:rPr>
                <w:b/>
                <w:spacing w:val="0"/>
              </w:rPr>
              <w:t>(f)</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80" w:type="dxa"/>
            <w:gridSpan w:val="2"/>
            <w:tcBorders>
              <w:bottom w:val="single" w:sz="2" w:space="0" w:color="000000"/>
            </w:tcBorders>
            <w:shd w:fill="auto" w:val="clear"/>
            <w:tcMar>
              <w:bottom w:w="40" w:type="dxa"/>
            </w:tcMar>
            <w:vAlign w:val="center"/>
          </w:tcPr>
          <w:p>
            <w:pPr>
              <w:pStyle w:val="TableContents"/>
              <w:spacing w:before="0" w:after="0"/>
              <w:jc w:val="center"/>
              <w:rPr>
                <w:b/>
                <w:spacing w:val="0"/>
              </w:rPr>
            </w:pPr>
            <w:r>
              <w:rPr>
                <w:b/>
                <w:spacing w:val="0"/>
              </w:rPr>
              <w:t>Peer Group</w:t>
            </w:r>
          </w:p>
          <w:p>
            <w:pPr>
              <w:pStyle w:val="TableContents"/>
              <w:spacing w:before="0" w:after="0"/>
              <w:jc w:val="center"/>
              <w:rPr/>
            </w:pPr>
            <w:r>
              <w:rPr/>
            </w:r>
          </w:p>
          <w:p>
            <w:pPr>
              <w:pStyle w:val="TableContents"/>
              <w:spacing w:before="0" w:after="0"/>
              <w:jc w:val="center"/>
              <w:rPr>
                <w:b/>
                <w:spacing w:val="0"/>
              </w:rPr>
            </w:pPr>
            <w:r>
              <w:rPr>
                <w:b/>
                <w:spacing w:val="0"/>
              </w:rPr>
              <w:t>Total</w:t>
              <w:br/>
              <w:t>Shareholder</w:t>
            </w:r>
          </w:p>
          <w:p>
            <w:pPr>
              <w:pStyle w:val="TableContents"/>
              <w:spacing w:before="0" w:after="0"/>
              <w:jc w:val="center"/>
              <w:rPr/>
            </w:pPr>
            <w:r>
              <w:rPr/>
            </w:r>
          </w:p>
          <w:p>
            <w:pPr>
              <w:pStyle w:val="TableContents"/>
              <w:spacing w:before="0" w:after="0"/>
              <w:jc w:val="center"/>
              <w:rPr>
                <w:b/>
                <w:spacing w:val="0"/>
              </w:rPr>
            </w:pPr>
            <w:r>
              <w:rPr>
                <w:b/>
                <w:spacing w:val="0"/>
              </w:rPr>
              <w:t>Return ($)</w:t>
            </w:r>
          </w:p>
          <w:p>
            <w:pPr>
              <w:pStyle w:val="TableContents"/>
              <w:spacing w:before="0" w:after="0"/>
              <w:jc w:val="center"/>
              <w:rPr/>
            </w:pPr>
            <w:r>
              <w:rPr/>
            </w:r>
          </w:p>
          <w:p>
            <w:pPr>
              <w:pStyle w:val="TableContents"/>
              <w:spacing w:before="0" w:after="0"/>
              <w:jc w:val="center"/>
              <w:rPr>
                <w:b/>
                <w:spacing w:val="0"/>
              </w:rPr>
            </w:pPr>
            <w:r>
              <w:rPr>
                <w:b/>
                <w:spacing w:val="0"/>
              </w:rPr>
              <w:t>(g)</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gridSpan w:val="2"/>
            <w:tcBorders>
              <w:bottom w:val="single" w:sz="2" w:space="0" w:color="000000"/>
            </w:tcBorders>
            <w:shd w:fill="auto" w:val="clear"/>
            <w:tcMar>
              <w:bottom w:w="40" w:type="dxa"/>
            </w:tcMar>
            <w:vAlign w:val="center"/>
          </w:tcPr>
          <w:p>
            <w:pPr>
              <w:pStyle w:val="TableContents"/>
              <w:spacing w:before="0" w:after="0"/>
              <w:jc w:val="center"/>
              <w:rPr>
                <w:b/>
                <w:spacing w:val="0"/>
              </w:rPr>
            </w:pPr>
            <w:r>
              <w:rPr>
                <w:b/>
                <w:spacing w:val="0"/>
              </w:rPr>
              <w:t>Net</w:t>
            </w:r>
          </w:p>
          <w:p>
            <w:pPr>
              <w:pStyle w:val="TableContents"/>
              <w:spacing w:before="0" w:after="0"/>
              <w:jc w:val="center"/>
              <w:rPr/>
            </w:pPr>
            <w:r>
              <w:rPr/>
            </w:r>
          </w:p>
          <w:p>
            <w:pPr>
              <w:pStyle w:val="TableContents"/>
              <w:spacing w:before="0" w:after="0"/>
              <w:jc w:val="center"/>
              <w:rPr>
                <w:b/>
                <w:spacing w:val="0"/>
              </w:rPr>
            </w:pPr>
            <w:r>
              <w:rPr>
                <w:b/>
                <w:spacing w:val="0"/>
              </w:rPr>
              <w:t>Income</w:t>
            </w:r>
          </w:p>
          <w:p>
            <w:pPr>
              <w:pStyle w:val="TableContents"/>
              <w:spacing w:before="0" w:after="0"/>
              <w:jc w:val="center"/>
              <w:rPr/>
            </w:pPr>
            <w:r>
              <w:rPr/>
            </w:r>
          </w:p>
          <w:p>
            <w:pPr>
              <w:pStyle w:val="TableContents"/>
              <w:spacing w:before="0" w:after="0"/>
              <w:jc w:val="center"/>
              <w:rPr>
                <w:b/>
                <w:spacing w:val="0"/>
              </w:rPr>
            </w:pPr>
            <w:r>
              <w:rPr>
                <w:b/>
                <w:spacing w:val="0"/>
              </w:rPr>
              <w:t>(h)</w:t>
            </w:r>
          </w:p>
          <w:p>
            <w:pPr>
              <w:pStyle w:val="TableContents"/>
              <w:spacing w:before="0" w:after="0"/>
              <w:jc w:val="center"/>
              <w:rPr/>
            </w:pPr>
            <w:r>
              <w:rPr/>
            </w:r>
          </w:p>
          <w:p>
            <w:pPr>
              <w:pStyle w:val="TableContents"/>
              <w:spacing w:before="0" w:after="0"/>
              <w:jc w:val="center"/>
              <w:rPr>
                <w:b/>
                <w:spacing w:val="0"/>
              </w:rPr>
            </w:pPr>
            <w:r>
              <w:rPr>
                <w:b/>
                <w:spacing w:val="0"/>
              </w:rPr>
              <w:t>($ in</w:t>
              <w:br/>
              <w:t>millions)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65" w:type="dxa"/>
            <w:gridSpan w:val="2"/>
            <w:tcBorders>
              <w:bottom w:val="single" w:sz="2" w:space="0" w:color="000000"/>
            </w:tcBorders>
            <w:shd w:fill="auto" w:val="clear"/>
            <w:tcMar>
              <w:bottom w:w="40" w:type="dxa"/>
            </w:tcMar>
            <w:vAlign w:val="center"/>
          </w:tcPr>
          <w:p>
            <w:pPr>
              <w:pStyle w:val="TableContents"/>
              <w:spacing w:before="0" w:after="0"/>
              <w:jc w:val="center"/>
              <w:rPr>
                <w:b/>
                <w:spacing w:val="0"/>
              </w:rPr>
            </w:pPr>
            <w:r>
              <w:rPr>
                <w:b/>
                <w:spacing w:val="0"/>
              </w:rPr>
              <w:t>Adjusted</w:t>
              <w:br/>
              <w:t>EBITDA</w:t>
            </w:r>
          </w:p>
          <w:p>
            <w:pPr>
              <w:pStyle w:val="TableContents"/>
              <w:spacing w:before="0" w:after="0"/>
              <w:jc w:val="center"/>
              <w:rPr/>
            </w:pPr>
            <w:r>
              <w:rPr/>
            </w:r>
          </w:p>
          <w:p>
            <w:pPr>
              <w:pStyle w:val="TableContents"/>
              <w:spacing w:before="0" w:after="0"/>
              <w:jc w:val="center"/>
              <w:rPr>
                <w:b/>
                <w:spacing w:val="0"/>
              </w:rPr>
            </w:pPr>
            <w:r>
              <w:rPr>
                <w:b/>
                <w:spacing w:val="0"/>
              </w:rPr>
              <w:t>(i)</w:t>
            </w:r>
          </w:p>
          <w:p>
            <w:pPr>
              <w:pStyle w:val="TableContents"/>
              <w:spacing w:before="0" w:after="0"/>
              <w:jc w:val="center"/>
              <w:rPr/>
            </w:pPr>
            <w:r>
              <w:rPr/>
            </w:r>
          </w:p>
          <w:p>
            <w:pPr>
              <w:pStyle w:val="TableContents"/>
              <w:spacing w:before="0" w:after="0"/>
              <w:jc w:val="center"/>
              <w:rPr>
                <w:b/>
                <w:spacing w:val="0"/>
              </w:rPr>
            </w:pPr>
            <w:r>
              <w:rPr>
                <w:b/>
                <w:spacing w:val="0"/>
              </w:rPr>
              <w:t>($ in</w:t>
              <w:br/>
              <w:t>millions)</w:t>
            </w:r>
          </w:p>
        </w:tc>
        <w:tc>
          <w:tcPr>
            <w:tcW w:w="75" w:type="dxa"/>
            <w:tcBorders/>
            <w:shd w:fill="auto" w:val="clear"/>
            <w:vAlign w:val="center"/>
          </w:tcPr>
          <w:p>
            <w:pPr>
              <w:pStyle w:val="TableContents"/>
              <w:spacing w:before="0" w:after="283"/>
              <w:rPr/>
            </w:pPr>
            <w:r>
              <w:rPr/>
              <w:t> </w:t>
            </w:r>
          </w:p>
        </w:tc>
      </w:tr>
      <w:tr>
        <w:trPr/>
        <w:tc>
          <w:tcPr>
            <w:tcW w:w="455" w:type="dxa"/>
            <w:tcBorders/>
            <w:shd w:fill="CEE8F6" w:val="clear"/>
            <w:vAlign w:val="center"/>
          </w:tcPr>
          <w:p>
            <w:pPr>
              <w:pStyle w:val="TableContents"/>
              <w:spacing w:before="0" w:after="0"/>
              <w:rPr>
                <w:rFonts w:ascii="ARIAL" w:hAnsi="ARIAL"/>
                <w:sz w:val="20"/>
              </w:rPr>
            </w:pPr>
            <w:r>
              <w:rPr>
                <w:rFonts w:ascii="ARIAL" w:hAnsi="ARIAL"/>
                <w:sz w:val="20"/>
              </w:rPr>
              <w:t>2022</w:t>
            </w:r>
          </w:p>
        </w:tc>
        <w:tc>
          <w:tcPr>
            <w:tcW w:w="60" w:type="dxa"/>
            <w:tcBorders/>
            <w:shd w:fill="CEE8F6" w:val="clear"/>
            <w:vAlign w:val="center"/>
          </w:tcPr>
          <w:p>
            <w:pPr>
              <w:pStyle w:val="TableContents"/>
              <w:spacing w:before="0" w:after="283"/>
              <w:rPr/>
            </w:pPr>
            <w:r>
              <w:rPr/>
              <w:t> </w:t>
            </w:r>
          </w:p>
        </w:tc>
        <w:tc>
          <w:tcPr>
            <w:tcW w:w="85" w:type="dxa"/>
            <w:tcBorders/>
            <w:shd w:fill="CEE8F6" w:val="clear"/>
            <w:vAlign w:val="center"/>
          </w:tcPr>
          <w:p>
            <w:pPr>
              <w:pStyle w:val="TableContents"/>
              <w:spacing w:before="0" w:after="283"/>
              <w:rPr/>
            </w:pPr>
            <w:r>
              <w:rPr/>
              <w:t> </w:t>
            </w:r>
          </w:p>
        </w:tc>
        <w:tc>
          <w:tcPr>
            <w:tcW w:w="1405" w:type="dxa"/>
            <w:tcBorders/>
            <w:shd w:fill="CEE8F6" w:val="clear"/>
            <w:vAlign w:val="center"/>
          </w:tcPr>
          <w:p>
            <w:pPr>
              <w:pStyle w:val="TableContents"/>
              <w:spacing w:before="0" w:after="283"/>
              <w:jc w:val="right"/>
              <w:rPr/>
            </w:pPr>
            <w:r>
              <w:rPr/>
              <w:t>6,302,542</w:t>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before="0" w:after="283"/>
              <w:rPr/>
            </w:pPr>
            <w:r>
              <w:rPr/>
              <w:t> </w:t>
            </w:r>
          </w:p>
        </w:tc>
        <w:tc>
          <w:tcPr>
            <w:tcW w:w="77" w:type="dxa"/>
            <w:tcBorders/>
            <w:shd w:fill="CEE8F6" w:val="clear"/>
            <w:vAlign w:val="center"/>
          </w:tcPr>
          <w:p>
            <w:pPr>
              <w:pStyle w:val="TableContents"/>
              <w:spacing w:before="0" w:after="283"/>
              <w:rPr/>
            </w:pPr>
            <w:r>
              <w:rPr/>
              <w:t> </w:t>
            </w:r>
          </w:p>
        </w:tc>
        <w:tc>
          <w:tcPr>
            <w:tcW w:w="1413" w:type="dxa"/>
            <w:tcBorders/>
            <w:shd w:fill="CEE8F6" w:val="clear"/>
            <w:vAlign w:val="center"/>
          </w:tcPr>
          <w:p>
            <w:pPr>
              <w:pStyle w:val="TableContents"/>
              <w:spacing w:before="0" w:after="283"/>
              <w:jc w:val="right"/>
              <w:rPr/>
            </w:pPr>
            <w:r>
              <w:rPr/>
              <w:t>159,239</w:t>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before="0" w:after="283"/>
              <w:rPr/>
            </w:pPr>
            <w:r>
              <w:rPr/>
              <w:t> </w:t>
            </w:r>
          </w:p>
        </w:tc>
        <w:tc>
          <w:tcPr>
            <w:tcW w:w="85" w:type="dxa"/>
            <w:tcBorders/>
            <w:shd w:fill="CEE8F6" w:val="clear"/>
            <w:vAlign w:val="center"/>
          </w:tcPr>
          <w:p>
            <w:pPr>
              <w:pStyle w:val="TableContents"/>
              <w:spacing w:before="0" w:after="283"/>
              <w:rPr/>
            </w:pPr>
            <w:r>
              <w:rPr/>
              <w:t> </w:t>
            </w:r>
          </w:p>
        </w:tc>
        <w:tc>
          <w:tcPr>
            <w:tcW w:w="1405" w:type="dxa"/>
            <w:tcBorders/>
            <w:shd w:fill="CEE8F6" w:val="clear"/>
            <w:vAlign w:val="center"/>
          </w:tcPr>
          <w:p>
            <w:pPr>
              <w:pStyle w:val="TableContents"/>
              <w:spacing w:before="0" w:after="283"/>
              <w:jc w:val="right"/>
              <w:rPr/>
            </w:pPr>
            <w:r>
              <w:rPr/>
              <w:t>3,694,426</w:t>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before="0" w:after="283"/>
              <w:rPr/>
            </w:pPr>
            <w:r>
              <w:rPr/>
              <w:t> </w:t>
            </w:r>
          </w:p>
        </w:tc>
        <w:tc>
          <w:tcPr>
            <w:tcW w:w="85" w:type="dxa"/>
            <w:tcBorders/>
            <w:shd w:fill="CEE8F6" w:val="clear"/>
            <w:vAlign w:val="center"/>
          </w:tcPr>
          <w:p>
            <w:pPr>
              <w:pStyle w:val="TableContents"/>
              <w:spacing w:before="0" w:after="283"/>
              <w:rPr/>
            </w:pPr>
            <w:r>
              <w:rPr/>
              <w:t> </w:t>
            </w:r>
          </w:p>
        </w:tc>
        <w:tc>
          <w:tcPr>
            <w:tcW w:w="1405" w:type="dxa"/>
            <w:tcBorders/>
            <w:shd w:fill="CEE8F6" w:val="clear"/>
            <w:vAlign w:val="center"/>
          </w:tcPr>
          <w:p>
            <w:pPr>
              <w:pStyle w:val="TableContents"/>
              <w:spacing w:before="0" w:after="283"/>
              <w:jc w:val="right"/>
              <w:rPr/>
            </w:pPr>
            <w:r>
              <w:rPr/>
              <w:t>(236,524</w:t>
            </w:r>
          </w:p>
        </w:tc>
        <w:tc>
          <w:tcPr>
            <w:tcW w:w="155"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before="0" w:after="283"/>
              <w:rPr/>
            </w:pPr>
            <w:r>
              <w:rPr/>
              <w:t> </w:t>
            </w:r>
          </w:p>
        </w:tc>
        <w:tc>
          <w:tcPr>
            <w:tcW w:w="174" w:type="dxa"/>
            <w:tcBorders/>
            <w:shd w:fill="CEE8F6" w:val="clear"/>
            <w:vAlign w:val="center"/>
          </w:tcPr>
          <w:p>
            <w:pPr>
              <w:pStyle w:val="TableContents"/>
              <w:spacing w:before="0" w:after="283"/>
              <w:rPr/>
            </w:pPr>
            <w:r>
              <w:rPr/>
              <w:t> </w:t>
            </w:r>
          </w:p>
        </w:tc>
        <w:tc>
          <w:tcPr>
            <w:tcW w:w="1106" w:type="dxa"/>
            <w:tcBorders/>
            <w:shd w:fill="CEE8F6" w:val="clear"/>
            <w:vAlign w:val="center"/>
          </w:tcPr>
          <w:p>
            <w:pPr>
              <w:pStyle w:val="TableContents"/>
              <w:spacing w:before="0" w:after="283"/>
              <w:jc w:val="right"/>
              <w:rPr/>
            </w:pPr>
            <w:r>
              <w:rPr/>
              <w:t>149</w:t>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before="0" w:after="283"/>
              <w:rPr/>
            </w:pPr>
            <w:r>
              <w:rPr/>
              <w:t> </w:t>
            </w:r>
          </w:p>
        </w:tc>
        <w:tc>
          <w:tcPr>
            <w:tcW w:w="174" w:type="dxa"/>
            <w:tcBorders/>
            <w:shd w:fill="CEE8F6" w:val="clear"/>
            <w:vAlign w:val="center"/>
          </w:tcPr>
          <w:p>
            <w:pPr>
              <w:pStyle w:val="TableContents"/>
              <w:spacing w:before="0" w:after="283"/>
              <w:rPr/>
            </w:pPr>
            <w:r>
              <w:rPr/>
              <w:t> </w:t>
            </w:r>
          </w:p>
        </w:tc>
        <w:tc>
          <w:tcPr>
            <w:tcW w:w="1106" w:type="dxa"/>
            <w:tcBorders/>
            <w:shd w:fill="CEE8F6" w:val="clear"/>
            <w:vAlign w:val="center"/>
          </w:tcPr>
          <w:p>
            <w:pPr>
              <w:pStyle w:val="TableContents"/>
              <w:spacing w:before="0" w:after="283"/>
              <w:jc w:val="right"/>
              <w:rPr/>
            </w:pPr>
            <w:r>
              <w:rPr/>
              <w:t>131</w:t>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before="0" w:after="283"/>
              <w:rPr/>
            </w:pPr>
            <w:r>
              <w:rPr/>
              <w:t> </w:t>
            </w:r>
          </w:p>
        </w:tc>
        <w:tc>
          <w:tcPr>
            <w:tcW w:w="109" w:type="dxa"/>
            <w:tcBorders/>
            <w:shd w:fill="CEE8F6" w:val="clear"/>
            <w:vAlign w:val="center"/>
          </w:tcPr>
          <w:p>
            <w:pPr>
              <w:pStyle w:val="TableContents"/>
              <w:spacing w:before="0" w:after="283"/>
              <w:rPr/>
            </w:pPr>
            <w:r>
              <w:rPr/>
              <w:t> </w:t>
            </w:r>
          </w:p>
        </w:tc>
        <w:tc>
          <w:tcPr>
            <w:tcW w:w="691" w:type="dxa"/>
            <w:tcBorders/>
            <w:shd w:fill="CEE8F6" w:val="clear"/>
            <w:vAlign w:val="center"/>
          </w:tcPr>
          <w:p>
            <w:pPr>
              <w:pStyle w:val="TableContents"/>
              <w:spacing w:before="0" w:after="283"/>
              <w:jc w:val="right"/>
              <w:rPr/>
            </w:pPr>
            <w:r>
              <w:rPr/>
              <w:t>46</w:t>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before="0" w:after="283"/>
              <w:rPr/>
            </w:pPr>
            <w:r>
              <w:rPr/>
              <w:t> </w:t>
            </w:r>
          </w:p>
        </w:tc>
        <w:tc>
          <w:tcPr>
            <w:tcW w:w="93" w:type="dxa"/>
            <w:tcBorders/>
            <w:shd w:fill="CEE8F6" w:val="clear"/>
            <w:vAlign w:val="center"/>
          </w:tcPr>
          <w:p>
            <w:pPr>
              <w:pStyle w:val="TableContents"/>
              <w:spacing w:before="0" w:after="283"/>
              <w:rPr/>
            </w:pPr>
            <w:r>
              <w:rPr/>
              <w:t> </w:t>
            </w:r>
          </w:p>
        </w:tc>
        <w:tc>
          <w:tcPr>
            <w:tcW w:w="872" w:type="dxa"/>
            <w:tcBorders/>
            <w:shd w:fill="CEE8F6" w:val="clear"/>
            <w:vAlign w:val="center"/>
          </w:tcPr>
          <w:p>
            <w:pPr>
              <w:pStyle w:val="TableContents"/>
              <w:spacing w:before="0" w:after="283"/>
              <w:jc w:val="right"/>
              <w:rPr/>
            </w:pPr>
            <w:r>
              <w:rPr/>
              <w:t>1,466</w:t>
            </w:r>
          </w:p>
        </w:tc>
        <w:tc>
          <w:tcPr>
            <w:tcW w:w="75" w:type="dxa"/>
            <w:tcBorders/>
            <w:shd w:fill="CEE8F6" w:val="clear"/>
            <w:vAlign w:val="center"/>
          </w:tcPr>
          <w:p>
            <w:pPr>
              <w:pStyle w:val="TableContents"/>
              <w:spacing w:before="0" w:after="283"/>
              <w:rPr/>
            </w:pPr>
            <w:r>
              <w:rPr/>
              <w:t> </w:t>
            </w:r>
          </w:p>
        </w:tc>
      </w:tr>
      <w:tr>
        <w:trPr/>
        <w:tc>
          <w:tcPr>
            <w:tcW w:w="455" w:type="dxa"/>
            <w:tcBorders/>
            <w:shd w:fill="auto" w:val="clear"/>
            <w:vAlign w:val="center"/>
          </w:tcPr>
          <w:p>
            <w:pPr>
              <w:pStyle w:val="TableContents"/>
              <w:spacing w:before="0" w:after="0"/>
              <w:rPr>
                <w:rFonts w:ascii="ARIAL" w:hAnsi="ARIAL"/>
                <w:sz w:val="20"/>
              </w:rPr>
            </w:pPr>
            <w:r>
              <w:rPr>
                <w:rFonts w:ascii="ARIAL" w:hAnsi="ARIAL"/>
                <w:sz w:val="20"/>
              </w:rPr>
              <w:t>2021</w:t>
            </w:r>
          </w:p>
        </w:tc>
        <w:tc>
          <w:tcPr>
            <w:tcW w:w="60" w:type="dxa"/>
            <w:tcBorders/>
            <w:shd w:fill="auto" w:val="clear"/>
            <w:vAlign w:val="center"/>
          </w:tcPr>
          <w:p>
            <w:pPr>
              <w:pStyle w:val="TableContents"/>
              <w:spacing w:before="0" w:after="283"/>
              <w:rPr/>
            </w:pPr>
            <w:r>
              <w:rPr/>
              <w:t> </w:t>
            </w:r>
          </w:p>
        </w:tc>
        <w:tc>
          <w:tcPr>
            <w:tcW w:w="85" w:type="dxa"/>
            <w:tcBorders/>
            <w:shd w:fill="auto" w:val="clear"/>
            <w:vAlign w:val="center"/>
          </w:tcPr>
          <w:p>
            <w:pPr>
              <w:pStyle w:val="TableContents"/>
              <w:spacing w:before="0" w:after="283"/>
              <w:rPr/>
            </w:pPr>
            <w:r>
              <w:rPr/>
              <w:t> </w:t>
            </w:r>
          </w:p>
        </w:tc>
        <w:tc>
          <w:tcPr>
            <w:tcW w:w="1405" w:type="dxa"/>
            <w:tcBorders/>
            <w:shd w:fill="auto" w:val="clear"/>
            <w:vAlign w:val="center"/>
          </w:tcPr>
          <w:p>
            <w:pPr>
              <w:pStyle w:val="TableContents"/>
              <w:spacing w:before="0" w:after="283"/>
              <w:jc w:val="right"/>
              <w:rPr/>
            </w:pPr>
            <w:r>
              <w:rPr/>
              <w:t>9,526,625</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1413" w:type="dxa"/>
            <w:tcBorders/>
            <w:shd w:fill="auto" w:val="clear"/>
            <w:vAlign w:val="center"/>
          </w:tcPr>
          <w:p>
            <w:pPr>
              <w:pStyle w:val="TableContents"/>
              <w:spacing w:before="0" w:after="283"/>
              <w:jc w:val="right"/>
              <w:rPr/>
            </w:pPr>
            <w:r>
              <w:rPr/>
              <w:t>15,121,986</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5" w:type="dxa"/>
            <w:tcBorders/>
            <w:shd w:fill="auto" w:val="clear"/>
            <w:vAlign w:val="center"/>
          </w:tcPr>
          <w:p>
            <w:pPr>
              <w:pStyle w:val="TableContents"/>
              <w:spacing w:before="0" w:after="283"/>
              <w:rPr/>
            </w:pPr>
            <w:r>
              <w:rPr/>
              <w:t> </w:t>
            </w:r>
          </w:p>
        </w:tc>
        <w:tc>
          <w:tcPr>
            <w:tcW w:w="1405" w:type="dxa"/>
            <w:tcBorders/>
            <w:shd w:fill="auto" w:val="clear"/>
            <w:vAlign w:val="center"/>
          </w:tcPr>
          <w:p>
            <w:pPr>
              <w:pStyle w:val="TableContents"/>
              <w:spacing w:before="0" w:after="283"/>
              <w:jc w:val="right"/>
              <w:rPr/>
            </w:pPr>
            <w:r>
              <w:rPr/>
              <w:t>5,415,424</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5" w:type="dxa"/>
            <w:tcBorders/>
            <w:shd w:fill="auto" w:val="clear"/>
            <w:vAlign w:val="center"/>
          </w:tcPr>
          <w:p>
            <w:pPr>
              <w:pStyle w:val="TableContents"/>
              <w:spacing w:before="0" w:after="283"/>
              <w:rPr/>
            </w:pPr>
            <w:r>
              <w:rPr/>
              <w:t> </w:t>
            </w:r>
          </w:p>
        </w:tc>
        <w:tc>
          <w:tcPr>
            <w:tcW w:w="1405" w:type="dxa"/>
            <w:tcBorders/>
            <w:shd w:fill="auto" w:val="clear"/>
            <w:vAlign w:val="center"/>
          </w:tcPr>
          <w:p>
            <w:pPr>
              <w:pStyle w:val="TableContents"/>
              <w:spacing w:before="0" w:after="283"/>
              <w:jc w:val="right"/>
              <w:rPr/>
            </w:pPr>
            <w:r>
              <w:rPr/>
              <w:t>7,635,715</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c>
          <w:tcPr>
            <w:tcW w:w="1106" w:type="dxa"/>
            <w:tcBorders/>
            <w:shd w:fill="auto" w:val="clear"/>
            <w:vAlign w:val="center"/>
          </w:tcPr>
          <w:p>
            <w:pPr>
              <w:pStyle w:val="TableContents"/>
              <w:spacing w:before="0" w:after="283"/>
              <w:jc w:val="right"/>
              <w:rPr/>
            </w:pPr>
            <w:r>
              <w:rPr/>
              <w:t>459</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c>
          <w:tcPr>
            <w:tcW w:w="1106" w:type="dxa"/>
            <w:tcBorders/>
            <w:shd w:fill="auto" w:val="clear"/>
            <w:vAlign w:val="center"/>
          </w:tcPr>
          <w:p>
            <w:pPr>
              <w:pStyle w:val="TableContents"/>
              <w:spacing w:before="0" w:after="283"/>
              <w:jc w:val="right"/>
              <w:rPr/>
            </w:pPr>
            <w:r>
              <w:rPr/>
              <w:t>139</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9" w:type="dxa"/>
            <w:tcBorders/>
            <w:shd w:fill="auto" w:val="clear"/>
            <w:vAlign w:val="center"/>
          </w:tcPr>
          <w:p>
            <w:pPr>
              <w:pStyle w:val="TableContents"/>
              <w:spacing w:before="0" w:after="283"/>
              <w:rPr/>
            </w:pPr>
            <w:r>
              <w:rPr/>
              <w:t> </w:t>
            </w:r>
          </w:p>
        </w:tc>
        <w:tc>
          <w:tcPr>
            <w:tcW w:w="691" w:type="dxa"/>
            <w:tcBorders/>
            <w:shd w:fill="auto" w:val="clear"/>
            <w:vAlign w:val="center"/>
          </w:tcPr>
          <w:p>
            <w:pPr>
              <w:pStyle w:val="TableContents"/>
              <w:spacing w:before="0" w:after="283"/>
              <w:jc w:val="right"/>
              <w:rPr/>
            </w:pPr>
            <w:r>
              <w:rPr/>
              <w:t>230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872" w:type="dxa"/>
            <w:tcBorders/>
            <w:shd w:fill="auto" w:val="clear"/>
            <w:vAlign w:val="center"/>
          </w:tcPr>
          <w:p>
            <w:pPr>
              <w:pStyle w:val="TableContents"/>
              <w:spacing w:before="0" w:after="283"/>
              <w:jc w:val="right"/>
              <w:rPr/>
            </w:pPr>
            <w:r>
              <w:rPr/>
              <w:t>1,969</w:t>
            </w:r>
          </w:p>
        </w:tc>
        <w:tc>
          <w:tcPr>
            <w:tcW w:w="75" w:type="dxa"/>
            <w:tcBorders/>
            <w:shd w:fill="auto" w:val="clear"/>
            <w:vAlign w:val="center"/>
          </w:tcPr>
          <w:p>
            <w:pPr>
              <w:pStyle w:val="TableContents"/>
              <w:spacing w:before="0" w:after="283"/>
              <w:rPr/>
            </w:pPr>
            <w:r>
              <w:rPr/>
              <w:t> </w:t>
            </w:r>
          </w:p>
        </w:tc>
      </w:tr>
      <w:tr>
        <w:trPr/>
        <w:tc>
          <w:tcPr>
            <w:tcW w:w="455" w:type="dxa"/>
            <w:tcBorders/>
            <w:shd w:fill="CEE8F6" w:val="clear"/>
            <w:vAlign w:val="center"/>
          </w:tcPr>
          <w:p>
            <w:pPr>
              <w:pStyle w:val="TableContents"/>
              <w:spacing w:before="0" w:after="0"/>
              <w:rPr>
                <w:rFonts w:ascii="ARIAL" w:hAnsi="ARIAL"/>
                <w:sz w:val="20"/>
              </w:rPr>
            </w:pPr>
            <w:r>
              <w:rPr>
                <w:rFonts w:ascii="ARIAL" w:hAnsi="ARIAL"/>
                <w:sz w:val="20"/>
              </w:rPr>
              <w:t>2020</w:t>
            </w:r>
          </w:p>
        </w:tc>
        <w:tc>
          <w:tcPr>
            <w:tcW w:w="60" w:type="dxa"/>
            <w:tcBorders/>
            <w:shd w:fill="CEE8F6" w:val="clear"/>
            <w:vAlign w:val="center"/>
          </w:tcPr>
          <w:p>
            <w:pPr>
              <w:pStyle w:val="TableContents"/>
              <w:spacing w:before="0" w:after="283"/>
              <w:rPr/>
            </w:pPr>
            <w:r>
              <w:rPr/>
              <w:t> </w:t>
            </w:r>
          </w:p>
        </w:tc>
        <w:tc>
          <w:tcPr>
            <w:tcW w:w="85" w:type="dxa"/>
            <w:tcBorders/>
            <w:shd w:fill="CEE8F6" w:val="clear"/>
            <w:vAlign w:val="center"/>
          </w:tcPr>
          <w:p>
            <w:pPr>
              <w:pStyle w:val="TableContents"/>
              <w:spacing w:before="0" w:after="283"/>
              <w:rPr/>
            </w:pPr>
            <w:r>
              <w:rPr/>
              <w:t> </w:t>
            </w:r>
          </w:p>
        </w:tc>
        <w:tc>
          <w:tcPr>
            <w:tcW w:w="1405" w:type="dxa"/>
            <w:tcBorders/>
            <w:shd w:fill="CEE8F6" w:val="clear"/>
            <w:vAlign w:val="center"/>
          </w:tcPr>
          <w:p>
            <w:pPr>
              <w:pStyle w:val="TableContents"/>
              <w:spacing w:before="0" w:after="283"/>
              <w:jc w:val="right"/>
              <w:rPr/>
            </w:pPr>
            <w:r>
              <w:rPr/>
              <w:t>9,066,419</w:t>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before="0" w:after="283"/>
              <w:rPr/>
            </w:pPr>
            <w:r>
              <w:rPr/>
              <w:t> </w:t>
            </w:r>
          </w:p>
        </w:tc>
        <w:tc>
          <w:tcPr>
            <w:tcW w:w="77" w:type="dxa"/>
            <w:tcBorders/>
            <w:shd w:fill="CEE8F6" w:val="clear"/>
            <w:vAlign w:val="center"/>
          </w:tcPr>
          <w:p>
            <w:pPr>
              <w:pStyle w:val="TableContents"/>
              <w:spacing w:before="0" w:after="283"/>
              <w:rPr/>
            </w:pPr>
            <w:r>
              <w:rPr/>
              <w:t> </w:t>
            </w:r>
          </w:p>
        </w:tc>
        <w:tc>
          <w:tcPr>
            <w:tcW w:w="1413" w:type="dxa"/>
            <w:tcBorders/>
            <w:shd w:fill="CEE8F6" w:val="clear"/>
            <w:vAlign w:val="center"/>
          </w:tcPr>
          <w:p>
            <w:pPr>
              <w:pStyle w:val="TableContents"/>
              <w:spacing w:before="0" w:after="283"/>
              <w:jc w:val="right"/>
              <w:rPr/>
            </w:pPr>
            <w:r>
              <w:rPr/>
              <w:t>10,617,549</w:t>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before="0" w:after="283"/>
              <w:rPr/>
            </w:pPr>
            <w:r>
              <w:rPr/>
              <w:t> </w:t>
            </w:r>
          </w:p>
        </w:tc>
        <w:tc>
          <w:tcPr>
            <w:tcW w:w="85" w:type="dxa"/>
            <w:tcBorders/>
            <w:shd w:fill="CEE8F6" w:val="clear"/>
            <w:vAlign w:val="center"/>
          </w:tcPr>
          <w:p>
            <w:pPr>
              <w:pStyle w:val="TableContents"/>
              <w:spacing w:before="0" w:after="283"/>
              <w:rPr/>
            </w:pPr>
            <w:r>
              <w:rPr/>
              <w:t> </w:t>
            </w:r>
          </w:p>
        </w:tc>
        <w:tc>
          <w:tcPr>
            <w:tcW w:w="1405" w:type="dxa"/>
            <w:tcBorders/>
            <w:shd w:fill="CEE8F6" w:val="clear"/>
            <w:vAlign w:val="center"/>
          </w:tcPr>
          <w:p>
            <w:pPr>
              <w:pStyle w:val="TableContents"/>
              <w:spacing w:before="0" w:after="283"/>
              <w:jc w:val="right"/>
              <w:rPr/>
            </w:pPr>
            <w:r>
              <w:rPr/>
              <w:t>3,717,051</w:t>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before="0" w:after="283"/>
              <w:rPr/>
            </w:pPr>
            <w:r>
              <w:rPr/>
              <w:t> </w:t>
            </w:r>
          </w:p>
        </w:tc>
        <w:tc>
          <w:tcPr>
            <w:tcW w:w="85" w:type="dxa"/>
            <w:tcBorders/>
            <w:shd w:fill="CEE8F6" w:val="clear"/>
            <w:vAlign w:val="center"/>
          </w:tcPr>
          <w:p>
            <w:pPr>
              <w:pStyle w:val="TableContents"/>
              <w:spacing w:before="0" w:after="283"/>
              <w:rPr/>
            </w:pPr>
            <w:r>
              <w:rPr/>
              <w:t> </w:t>
            </w:r>
          </w:p>
        </w:tc>
        <w:tc>
          <w:tcPr>
            <w:tcW w:w="1405" w:type="dxa"/>
            <w:tcBorders/>
            <w:shd w:fill="CEE8F6" w:val="clear"/>
            <w:vAlign w:val="center"/>
          </w:tcPr>
          <w:p>
            <w:pPr>
              <w:pStyle w:val="TableContents"/>
              <w:spacing w:before="0" w:after="283"/>
              <w:jc w:val="right"/>
              <w:rPr/>
            </w:pPr>
            <w:r>
              <w:rPr/>
              <w:t>4,332,808</w:t>
            </w:r>
          </w:p>
        </w:tc>
        <w:tc>
          <w:tcPr>
            <w:tcW w:w="155"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before="0" w:after="283"/>
              <w:rPr/>
            </w:pPr>
            <w:r>
              <w:rPr/>
              <w:t> </w:t>
            </w:r>
          </w:p>
        </w:tc>
        <w:tc>
          <w:tcPr>
            <w:tcW w:w="174" w:type="dxa"/>
            <w:tcBorders/>
            <w:shd w:fill="CEE8F6" w:val="clear"/>
            <w:vAlign w:val="center"/>
          </w:tcPr>
          <w:p>
            <w:pPr>
              <w:pStyle w:val="TableContents"/>
              <w:spacing w:before="0" w:after="283"/>
              <w:rPr/>
            </w:pPr>
            <w:r>
              <w:rPr/>
              <w:t> </w:t>
            </w:r>
          </w:p>
        </w:tc>
        <w:tc>
          <w:tcPr>
            <w:tcW w:w="1106" w:type="dxa"/>
            <w:tcBorders/>
            <w:shd w:fill="CEE8F6" w:val="clear"/>
            <w:vAlign w:val="center"/>
          </w:tcPr>
          <w:p>
            <w:pPr>
              <w:pStyle w:val="TableContents"/>
              <w:spacing w:before="0" w:after="283"/>
              <w:jc w:val="right"/>
              <w:rPr/>
            </w:pPr>
            <w:r>
              <w:rPr/>
              <w:t>256</w:t>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before="0" w:after="283"/>
              <w:rPr/>
            </w:pPr>
            <w:r>
              <w:rPr/>
              <w:t> </w:t>
            </w:r>
          </w:p>
        </w:tc>
        <w:tc>
          <w:tcPr>
            <w:tcW w:w="174" w:type="dxa"/>
            <w:tcBorders/>
            <w:shd w:fill="CEE8F6" w:val="clear"/>
            <w:vAlign w:val="center"/>
          </w:tcPr>
          <w:p>
            <w:pPr>
              <w:pStyle w:val="TableContents"/>
              <w:spacing w:before="0" w:after="283"/>
              <w:rPr/>
            </w:pPr>
            <w:r>
              <w:rPr/>
              <w:t> </w:t>
            </w:r>
          </w:p>
        </w:tc>
        <w:tc>
          <w:tcPr>
            <w:tcW w:w="1106" w:type="dxa"/>
            <w:tcBorders/>
            <w:shd w:fill="CEE8F6" w:val="clear"/>
            <w:vAlign w:val="center"/>
          </w:tcPr>
          <w:p>
            <w:pPr>
              <w:pStyle w:val="TableContents"/>
              <w:spacing w:before="0" w:after="283"/>
              <w:jc w:val="right"/>
              <w:rPr/>
            </w:pPr>
            <w:r>
              <w:rPr/>
              <w:t>114</w:t>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before="0" w:after="283"/>
              <w:rPr/>
            </w:pPr>
            <w:r>
              <w:rPr/>
              <w:t> </w:t>
            </w:r>
          </w:p>
        </w:tc>
        <w:tc>
          <w:tcPr>
            <w:tcW w:w="109" w:type="dxa"/>
            <w:tcBorders/>
            <w:shd w:fill="CEE8F6" w:val="clear"/>
            <w:vAlign w:val="center"/>
          </w:tcPr>
          <w:p>
            <w:pPr>
              <w:pStyle w:val="TableContents"/>
              <w:spacing w:before="0" w:after="283"/>
              <w:rPr/>
            </w:pPr>
            <w:r>
              <w:rPr/>
              <w:t> </w:t>
            </w:r>
          </w:p>
        </w:tc>
        <w:tc>
          <w:tcPr>
            <w:tcW w:w="691" w:type="dxa"/>
            <w:tcBorders/>
            <w:shd w:fill="CEE8F6" w:val="clear"/>
            <w:vAlign w:val="center"/>
          </w:tcPr>
          <w:p>
            <w:pPr>
              <w:pStyle w:val="TableContents"/>
              <w:spacing w:before="0" w:after="283"/>
              <w:jc w:val="right"/>
              <w:rPr/>
            </w:pPr>
            <w:r>
              <w:rPr/>
              <w:t>511</w:t>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before="0" w:after="283"/>
              <w:rPr/>
            </w:pPr>
            <w:r>
              <w:rPr/>
              <w:t> </w:t>
            </w:r>
          </w:p>
        </w:tc>
        <w:tc>
          <w:tcPr>
            <w:tcW w:w="93" w:type="dxa"/>
            <w:tcBorders/>
            <w:shd w:fill="CEE8F6" w:val="clear"/>
            <w:vAlign w:val="center"/>
          </w:tcPr>
          <w:p>
            <w:pPr>
              <w:pStyle w:val="TableContents"/>
              <w:spacing w:before="0" w:after="283"/>
              <w:rPr/>
            </w:pPr>
            <w:r>
              <w:rPr/>
              <w:t> </w:t>
            </w:r>
          </w:p>
        </w:tc>
        <w:tc>
          <w:tcPr>
            <w:tcW w:w="872" w:type="dxa"/>
            <w:tcBorders/>
            <w:shd w:fill="CEE8F6" w:val="clear"/>
            <w:vAlign w:val="center"/>
          </w:tcPr>
          <w:p>
            <w:pPr>
              <w:pStyle w:val="TableContents"/>
              <w:spacing w:before="0" w:after="283"/>
              <w:jc w:val="right"/>
              <w:rPr/>
            </w:pPr>
            <w:r>
              <w:rPr/>
              <w:t>1,809</w:t>
            </w:r>
          </w:p>
        </w:tc>
        <w:tc>
          <w:tcPr>
            <w:tcW w:w="75" w:type="dxa"/>
            <w:tcBorders/>
            <w:shd w:fill="CEE8F6" w:val="clear"/>
            <w:vAlign w:val="center"/>
          </w:tcPr>
          <w:p>
            <w:pPr>
              <w:pStyle w:val="TableContents"/>
              <w:spacing w:before="0" w:after="283"/>
              <w:rPr/>
            </w:pPr>
            <w:r>
              <w:rPr/>
              <w:t> </w:t>
            </w:r>
          </w:p>
        </w:tc>
      </w:tr>
    </w:tbl>
    <w:p>
      <w:pPr>
        <w:pStyle w:val="TextBody"/>
        <w:spacing w:lineRule="atLeast" w:line="160" w:before="0" w:after="40"/>
        <w:jc w:val="left"/>
        <w:rPr>
          <w:bdr w:val="single" w:sz="2" w:space="1" w:color="000000"/>
        </w:rPr>
      </w:pPr>
      <w:r>
        <w:rPr>
          <w:bdr w:val="single" w:sz="2" w:space="1" w:color="000000"/>
        </w:rPr>
        <w:t> </w:t>
      </w:r>
    </w:p>
    <w:tbl>
      <w:tblPr>
        <w:tblW w:w="10205" w:type="dxa"/>
        <w:jc w:val="left"/>
        <w:tblInd w:w="0" w:type="dxa"/>
        <w:tblCellMar>
          <w:top w:w="0" w:type="dxa"/>
          <w:left w:w="0" w:type="dxa"/>
          <w:bottom w:w="0" w:type="dxa"/>
          <w:right w:w="0" w:type="dxa"/>
        </w:tblCellMar>
      </w:tblPr>
      <w:tblGrid>
        <w:gridCol w:w="1077"/>
        <w:gridCol w:w="60"/>
        <w:gridCol w:w="9068"/>
      </w:tblGrid>
      <w:tr>
        <w:trPr/>
        <w:tc>
          <w:tcPr>
            <w:tcW w:w="107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068" w:type="dxa"/>
            <w:tcBorders/>
            <w:shd w:fill="auto" w:val="clear"/>
            <w:vAlign w:val="center"/>
          </w:tcPr>
          <w:p>
            <w:pPr>
              <w:pStyle w:val="TableContents"/>
              <w:spacing w:before="0" w:after="283"/>
              <w:rPr>
                <w:sz w:val="4"/>
                <w:szCs w:val="4"/>
              </w:rPr>
            </w:pPr>
            <w:r>
              <w:rPr>
                <w:sz w:val="4"/>
                <w:szCs w:val="4"/>
              </w:rPr>
            </w:r>
          </w:p>
        </w:tc>
      </w:tr>
      <w:tr>
        <w:trPr/>
        <w:tc>
          <w:tcPr>
            <w:tcW w:w="1077" w:type="dxa"/>
            <w:tcBorders/>
            <w:shd w:fill="auto" w:val="clear"/>
            <w:vAlign w:val="center"/>
          </w:tcPr>
          <w:p>
            <w:pPr>
              <w:pStyle w:val="TableContents"/>
              <w:spacing w:before="0" w:after="0"/>
              <w:rPr>
                <w:i/>
                <w:caps w:val="false"/>
                <w:smallCaps w:val="false"/>
                <w:spacing w:val="0"/>
              </w:rPr>
            </w:pPr>
            <w:r>
              <w:rPr>
                <w:i/>
                <w:caps w:val="false"/>
                <w:smallCaps w:val="false"/>
                <w:spacing w:val="0"/>
              </w:rPr>
              <w:t>Column (b)</w:t>
            </w:r>
          </w:p>
        </w:tc>
        <w:tc>
          <w:tcPr>
            <w:tcW w:w="60" w:type="dxa"/>
            <w:tcBorders/>
            <w:shd w:fill="auto" w:val="clear"/>
            <w:vAlign w:val="center"/>
          </w:tcPr>
          <w:p>
            <w:pPr>
              <w:pStyle w:val="TableContents"/>
              <w:spacing w:before="0" w:after="283"/>
              <w:rPr/>
            </w:pPr>
            <w:r>
              <w:rPr/>
              <w:t> </w:t>
            </w:r>
          </w:p>
        </w:tc>
        <w:tc>
          <w:tcPr>
            <w:tcW w:w="9068" w:type="dxa"/>
            <w:tcBorders/>
            <w:shd w:fill="auto" w:val="clear"/>
            <w:vAlign w:val="center"/>
          </w:tcPr>
          <w:p>
            <w:pPr>
              <w:pStyle w:val="TableContents"/>
              <w:spacing w:before="0" w:after="0"/>
              <w:rPr>
                <w:rFonts w:ascii="ARIAL" w:hAnsi="ARIAL"/>
                <w:sz w:val="20"/>
              </w:rPr>
            </w:pPr>
            <w:r>
              <w:rPr>
                <w:rFonts w:ascii="ARIAL" w:hAnsi="ARIAL"/>
                <w:sz w:val="20"/>
              </w:rPr>
              <w:t>Reflects compensation amounts reported in the “Summary Compensation Table” (“SCT”) for Tim Hingtgen, our CEO for 2022 and 2021, and Wayne Smith, our CEO in 2020.</w:t>
            </w:r>
          </w:p>
          <w:p>
            <w:pPr>
              <w:pStyle w:val="TableContents"/>
              <w:spacing w:before="0" w:after="20"/>
              <w:rPr/>
            </w:pPr>
            <w:r>
              <w:rPr/>
              <w:t> </w:t>
            </w:r>
          </w:p>
        </w:tc>
      </w:tr>
      <w:tr>
        <w:trPr/>
        <w:tc>
          <w:tcPr>
            <w:tcW w:w="1077" w:type="dxa"/>
            <w:tcBorders/>
            <w:shd w:fill="auto" w:val="clear"/>
            <w:vAlign w:val="center"/>
          </w:tcPr>
          <w:p>
            <w:pPr>
              <w:pStyle w:val="TableContents"/>
              <w:spacing w:before="0" w:after="0"/>
              <w:rPr>
                <w:i/>
                <w:caps w:val="false"/>
                <w:smallCaps w:val="false"/>
                <w:spacing w:val="0"/>
              </w:rPr>
            </w:pPr>
            <w:r>
              <w:rPr>
                <w:i/>
                <w:caps w:val="false"/>
                <w:smallCaps w:val="false"/>
                <w:spacing w:val="0"/>
              </w:rPr>
              <w:t>Column (c)</w:t>
            </w:r>
          </w:p>
        </w:tc>
        <w:tc>
          <w:tcPr>
            <w:tcW w:w="60" w:type="dxa"/>
            <w:tcBorders/>
            <w:shd w:fill="auto" w:val="clear"/>
            <w:vAlign w:val="center"/>
          </w:tcPr>
          <w:p>
            <w:pPr>
              <w:pStyle w:val="TableContents"/>
              <w:spacing w:before="0" w:after="283"/>
              <w:rPr/>
            </w:pPr>
            <w:r>
              <w:rPr/>
              <w:t> </w:t>
            </w:r>
          </w:p>
        </w:tc>
        <w:tc>
          <w:tcPr>
            <w:tcW w:w="9068" w:type="dxa"/>
            <w:tcBorders/>
            <w:shd w:fill="auto" w:val="clear"/>
            <w:vAlign w:val="center"/>
          </w:tcPr>
          <w:p>
            <w:pPr>
              <w:pStyle w:val="TableContents"/>
              <w:spacing w:before="0" w:after="283"/>
              <w:rPr/>
            </w:pPr>
            <w:r>
              <w:rPr/>
              <w:t>“</w:t>
            </w:r>
            <w:r>
              <w:rPr/>
              <w:t>Compensation actually paid” (“CAP”) to our CEO in each of 2022, 2021 and 2020 (individually referred to as “Covered Year”) reflects the respective amounts set forth in column (b) of the table above, adjusted as set forth in the table below, as determined in accordance with SEC rules.</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5586"/>
        <w:gridCol w:w="120"/>
        <w:gridCol w:w="62"/>
        <w:gridCol w:w="1284"/>
        <w:gridCol w:w="60"/>
        <w:gridCol w:w="120"/>
        <w:gridCol w:w="62"/>
        <w:gridCol w:w="1303"/>
        <w:gridCol w:w="60"/>
        <w:gridCol w:w="120"/>
        <w:gridCol w:w="62"/>
        <w:gridCol w:w="1286"/>
        <w:gridCol w:w="80"/>
      </w:tblGrid>
      <w:tr>
        <w:trPr/>
        <w:tc>
          <w:tcPr>
            <w:tcW w:w="558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c>
          <w:tcPr>
            <w:tcW w:w="128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c>
          <w:tcPr>
            <w:tcW w:w="130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c>
          <w:tcPr>
            <w:tcW w:w="1286"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r>
      <w:tr>
        <w:trPr/>
        <w:tc>
          <w:tcPr>
            <w:tcW w:w="5586"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346" w:type="dxa"/>
            <w:gridSpan w:val="2"/>
            <w:tcBorders>
              <w:bottom w:val="single" w:sz="2" w:space="0" w:color="000000"/>
            </w:tcBorders>
            <w:shd w:fill="auto" w:val="clear"/>
            <w:tcMar>
              <w:bottom w:w="28" w:type="dxa"/>
            </w:tcMar>
            <w:vAlign w:val="center"/>
          </w:tcPr>
          <w:p>
            <w:pPr>
              <w:pStyle w:val="TableContents"/>
              <w:spacing w:before="0" w:after="0"/>
              <w:jc w:val="center"/>
              <w:rPr>
                <w:b/>
                <w:spacing w:val="0"/>
              </w:rPr>
            </w:pPr>
            <w:r>
              <w:rPr>
                <w:b/>
                <w:spacing w:val="0"/>
              </w:rPr>
              <w:t>2022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365" w:type="dxa"/>
            <w:gridSpan w:val="2"/>
            <w:tcBorders>
              <w:bottom w:val="single" w:sz="2" w:space="0" w:color="000000"/>
            </w:tcBorders>
            <w:shd w:fill="auto" w:val="clear"/>
            <w:tcMar>
              <w:bottom w:w="28" w:type="dxa"/>
            </w:tcMar>
            <w:vAlign w:val="center"/>
          </w:tcPr>
          <w:p>
            <w:pPr>
              <w:pStyle w:val="TableContents"/>
              <w:spacing w:before="0" w:after="0"/>
              <w:jc w:val="center"/>
              <w:rPr>
                <w:b/>
                <w:spacing w:val="0"/>
              </w:rPr>
            </w:pPr>
            <w:r>
              <w:rPr>
                <w:b/>
                <w:spacing w:val="0"/>
              </w:rPr>
              <w:t>2021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348" w:type="dxa"/>
            <w:gridSpan w:val="2"/>
            <w:tcBorders>
              <w:bottom w:val="single" w:sz="2" w:space="0" w:color="000000"/>
            </w:tcBorders>
            <w:shd w:fill="auto" w:val="clear"/>
            <w:tcMar>
              <w:bottom w:w="28" w:type="dxa"/>
            </w:tcMar>
            <w:vAlign w:val="center"/>
          </w:tcPr>
          <w:p>
            <w:pPr>
              <w:pStyle w:val="TableContents"/>
              <w:spacing w:before="0" w:after="0"/>
              <w:jc w:val="center"/>
              <w:rPr>
                <w:b/>
                <w:spacing w:val="0"/>
              </w:rPr>
            </w:pPr>
            <w:r>
              <w:rPr>
                <w:b/>
                <w:spacing w:val="0"/>
              </w:rPr>
              <w:t>2020</w:t>
            </w:r>
          </w:p>
        </w:tc>
        <w:tc>
          <w:tcPr>
            <w:tcW w:w="80" w:type="dxa"/>
            <w:tcBorders/>
            <w:shd w:fill="auto" w:val="clear"/>
            <w:vAlign w:val="center"/>
          </w:tcPr>
          <w:p>
            <w:pPr>
              <w:pStyle w:val="TableContents"/>
              <w:spacing w:before="0" w:after="283"/>
              <w:rPr/>
            </w:pPr>
            <w:r>
              <w:rPr/>
              <w:t> </w:t>
            </w:r>
          </w:p>
        </w:tc>
      </w:tr>
      <w:tr>
        <w:trPr/>
        <w:tc>
          <w:tcPr>
            <w:tcW w:w="5586" w:type="dxa"/>
            <w:tcBorders>
              <w:bottom w:val="single" w:sz="2" w:space="0" w:color="000000"/>
            </w:tcBorders>
            <w:shd w:fill="auto" w:val="clear"/>
            <w:tcMar>
              <w:bottom w:w="28" w:type="dxa"/>
            </w:tcMar>
            <w:vAlign w:val="center"/>
          </w:tcPr>
          <w:p>
            <w:pPr>
              <w:pStyle w:val="TableContents"/>
              <w:spacing w:before="0" w:after="20"/>
              <w:rPr>
                <w:rFonts w:ascii="ARIAL" w:hAnsi="ARIAL"/>
                <w:b/>
                <w:sz w:val="16"/>
              </w:rPr>
            </w:pPr>
            <w:r>
              <w:rPr>
                <w:rFonts w:ascii="ARIAL" w:hAnsi="ARIAL"/>
                <w:b/>
                <w:sz w:val="16"/>
              </w:rPr>
              <w:t>CEO</w:t>
            </w:r>
          </w:p>
        </w:tc>
        <w:tc>
          <w:tcPr>
            <w:tcW w:w="120" w:type="dxa"/>
            <w:tcBorders/>
            <w:shd w:fill="auto" w:val="clear"/>
            <w:vAlign w:val="center"/>
          </w:tcPr>
          <w:p>
            <w:pPr>
              <w:pStyle w:val="TableContents"/>
              <w:spacing w:before="0" w:after="283"/>
              <w:rPr/>
            </w:pPr>
            <w:r>
              <w:rPr/>
              <w:t>  </w:t>
            </w:r>
          </w:p>
        </w:tc>
        <w:tc>
          <w:tcPr>
            <w:tcW w:w="1346" w:type="dxa"/>
            <w:gridSpan w:val="2"/>
            <w:tcBorders>
              <w:bottom w:val="single" w:sz="2" w:space="0" w:color="000000"/>
            </w:tcBorders>
            <w:shd w:fill="auto" w:val="clear"/>
            <w:tcMar>
              <w:bottom w:w="28" w:type="dxa"/>
            </w:tcMar>
            <w:vAlign w:val="center"/>
          </w:tcPr>
          <w:p>
            <w:pPr>
              <w:pStyle w:val="TableContents"/>
              <w:spacing w:before="0" w:after="0"/>
              <w:jc w:val="center"/>
              <w:rPr>
                <w:b/>
                <w:spacing w:val="0"/>
              </w:rPr>
            </w:pPr>
            <w:r>
              <w:rPr>
                <w:b/>
                <w:spacing w:val="0"/>
              </w:rPr>
              <w:t>Tim Hingtgen</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365" w:type="dxa"/>
            <w:gridSpan w:val="2"/>
            <w:tcBorders>
              <w:bottom w:val="single" w:sz="2" w:space="0" w:color="000000"/>
            </w:tcBorders>
            <w:shd w:fill="auto" w:val="clear"/>
            <w:tcMar>
              <w:bottom w:w="28" w:type="dxa"/>
            </w:tcMar>
            <w:vAlign w:val="center"/>
          </w:tcPr>
          <w:p>
            <w:pPr>
              <w:pStyle w:val="TableContents"/>
              <w:spacing w:before="0" w:after="0"/>
              <w:jc w:val="center"/>
              <w:rPr>
                <w:b/>
                <w:spacing w:val="0"/>
              </w:rPr>
            </w:pPr>
            <w:r>
              <w:rPr>
                <w:b/>
                <w:spacing w:val="0"/>
              </w:rPr>
              <w:t>Tim Hingtgen</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348" w:type="dxa"/>
            <w:gridSpan w:val="2"/>
            <w:tcBorders>
              <w:bottom w:val="single" w:sz="2" w:space="0" w:color="000000"/>
            </w:tcBorders>
            <w:shd w:fill="auto" w:val="clear"/>
            <w:tcMar>
              <w:bottom w:w="28" w:type="dxa"/>
            </w:tcMar>
            <w:vAlign w:val="center"/>
          </w:tcPr>
          <w:p>
            <w:pPr>
              <w:pStyle w:val="TableContents"/>
              <w:spacing w:before="0" w:after="0"/>
              <w:jc w:val="center"/>
              <w:rPr>
                <w:b/>
                <w:spacing w:val="0"/>
              </w:rPr>
            </w:pPr>
            <w:r>
              <w:rPr>
                <w:b/>
                <w:spacing w:val="0"/>
              </w:rPr>
              <w:t>Wayne Smith</w:t>
            </w:r>
          </w:p>
        </w:tc>
        <w:tc>
          <w:tcPr>
            <w:tcW w:w="80" w:type="dxa"/>
            <w:tcBorders/>
            <w:shd w:fill="auto" w:val="clear"/>
            <w:vAlign w:val="center"/>
          </w:tcPr>
          <w:p>
            <w:pPr>
              <w:pStyle w:val="TableContents"/>
              <w:spacing w:before="0" w:after="283"/>
              <w:rPr/>
            </w:pPr>
            <w:r>
              <w:rPr/>
              <w:t> </w:t>
            </w:r>
          </w:p>
        </w:tc>
      </w:tr>
      <w:tr>
        <w:trPr/>
        <w:tc>
          <w:tcPr>
            <w:tcW w:w="5586" w:type="dxa"/>
            <w:tcBorders/>
            <w:shd w:fill="CEE8F6" w:val="clear"/>
            <w:vAlign w:val="center"/>
          </w:tcPr>
          <w:p>
            <w:pPr>
              <w:pStyle w:val="TableContents"/>
              <w:spacing w:before="0" w:after="0"/>
              <w:rPr>
                <w:rFonts w:ascii="ARIAL" w:hAnsi="ARIAL"/>
                <w:sz w:val="20"/>
              </w:rPr>
            </w:pPr>
            <w:r>
              <w:rPr>
                <w:rFonts w:ascii="ARIAL" w:hAnsi="ARIAL"/>
                <w:sz w:val="20"/>
              </w:rPr>
              <w:t>Total Compensation per the SCT</w:t>
            </w:r>
          </w:p>
        </w:tc>
        <w:tc>
          <w:tcPr>
            <w:tcW w:w="120" w:type="dxa"/>
            <w:tcBorders/>
            <w:shd w:fill="CEE8F6" w:val="clear"/>
            <w:vAlign w:val="center"/>
          </w:tcPr>
          <w:p>
            <w:pPr>
              <w:pStyle w:val="TableContents"/>
              <w:spacing w:before="0" w:after="283"/>
              <w:rPr/>
            </w:pPr>
            <w:r>
              <w:rPr/>
              <w:t>  </w:t>
            </w:r>
          </w:p>
        </w:tc>
        <w:tc>
          <w:tcPr>
            <w:tcW w:w="62" w:type="dxa"/>
            <w:tcBorders/>
            <w:shd w:fill="CEE8F6" w:val="clear"/>
            <w:vAlign w:val="center"/>
          </w:tcPr>
          <w:p>
            <w:pPr>
              <w:pStyle w:val="TableContents"/>
              <w:spacing w:before="0" w:after="283"/>
              <w:rPr/>
            </w:pPr>
            <w:r>
              <w:rPr/>
              <w:t> </w:t>
            </w:r>
          </w:p>
        </w:tc>
        <w:tc>
          <w:tcPr>
            <w:tcW w:w="1284" w:type="dxa"/>
            <w:tcBorders/>
            <w:shd w:fill="CEE8F6" w:val="clear"/>
            <w:vAlign w:val="center"/>
          </w:tcPr>
          <w:p>
            <w:pPr>
              <w:pStyle w:val="TableContents"/>
              <w:spacing w:before="0" w:after="283"/>
              <w:jc w:val="right"/>
              <w:rPr/>
            </w:pPr>
            <w:r>
              <w:rPr/>
              <w:t>$6,302,542</w:t>
            </w:r>
          </w:p>
        </w:tc>
        <w:tc>
          <w:tcPr>
            <w:tcW w:w="60" w:type="dxa"/>
            <w:tcBorders/>
            <w:shd w:fill="CEE8F6" w:val="clear"/>
            <w:vAlign w:val="center"/>
          </w:tcPr>
          <w:p>
            <w:pPr>
              <w:pStyle w:val="TableContents"/>
              <w:spacing w:before="0" w:after="283"/>
              <w:rPr/>
            </w:pPr>
            <w:r>
              <w:rPr/>
              <w:t> </w:t>
            </w:r>
          </w:p>
        </w:tc>
        <w:tc>
          <w:tcPr>
            <w:tcW w:w="120" w:type="dxa"/>
            <w:tcBorders/>
            <w:shd w:fill="CEE8F6" w:val="clear"/>
            <w:vAlign w:val="center"/>
          </w:tcPr>
          <w:p>
            <w:pPr>
              <w:pStyle w:val="TableContents"/>
              <w:spacing w:before="0" w:after="283"/>
              <w:rPr/>
            </w:pPr>
            <w:r>
              <w:rPr/>
              <w:t>  </w:t>
            </w:r>
          </w:p>
        </w:tc>
        <w:tc>
          <w:tcPr>
            <w:tcW w:w="62" w:type="dxa"/>
            <w:tcBorders/>
            <w:shd w:fill="CEE8F6" w:val="clear"/>
            <w:vAlign w:val="center"/>
          </w:tcPr>
          <w:p>
            <w:pPr>
              <w:pStyle w:val="TableContents"/>
              <w:spacing w:before="0" w:after="283"/>
              <w:rPr/>
            </w:pPr>
            <w:r>
              <w:rPr/>
              <w:t> </w:t>
            </w:r>
          </w:p>
        </w:tc>
        <w:tc>
          <w:tcPr>
            <w:tcW w:w="1303" w:type="dxa"/>
            <w:tcBorders/>
            <w:shd w:fill="CEE8F6" w:val="clear"/>
            <w:vAlign w:val="center"/>
          </w:tcPr>
          <w:p>
            <w:pPr>
              <w:pStyle w:val="TableContents"/>
              <w:spacing w:before="0" w:after="283"/>
              <w:jc w:val="right"/>
              <w:rPr/>
            </w:pPr>
            <w:r>
              <w:rPr/>
              <w:t>$9,526,625</w:t>
            </w:r>
          </w:p>
        </w:tc>
        <w:tc>
          <w:tcPr>
            <w:tcW w:w="60" w:type="dxa"/>
            <w:tcBorders/>
            <w:shd w:fill="CEE8F6" w:val="clear"/>
            <w:vAlign w:val="center"/>
          </w:tcPr>
          <w:p>
            <w:pPr>
              <w:pStyle w:val="TableContents"/>
              <w:spacing w:before="0" w:after="283"/>
              <w:rPr/>
            </w:pPr>
            <w:r>
              <w:rPr/>
              <w:t> </w:t>
            </w:r>
          </w:p>
        </w:tc>
        <w:tc>
          <w:tcPr>
            <w:tcW w:w="120" w:type="dxa"/>
            <w:tcBorders/>
            <w:shd w:fill="CEE8F6" w:val="clear"/>
            <w:vAlign w:val="center"/>
          </w:tcPr>
          <w:p>
            <w:pPr>
              <w:pStyle w:val="TableContents"/>
              <w:spacing w:before="0" w:after="283"/>
              <w:rPr/>
            </w:pPr>
            <w:r>
              <w:rPr/>
              <w:t>  </w:t>
            </w:r>
          </w:p>
        </w:tc>
        <w:tc>
          <w:tcPr>
            <w:tcW w:w="62" w:type="dxa"/>
            <w:tcBorders/>
            <w:shd w:fill="CEE8F6" w:val="clear"/>
            <w:vAlign w:val="center"/>
          </w:tcPr>
          <w:p>
            <w:pPr>
              <w:pStyle w:val="TableContents"/>
              <w:spacing w:before="0" w:after="283"/>
              <w:rPr/>
            </w:pPr>
            <w:r>
              <w:rPr/>
              <w:t> </w:t>
            </w:r>
          </w:p>
        </w:tc>
        <w:tc>
          <w:tcPr>
            <w:tcW w:w="1286" w:type="dxa"/>
            <w:tcBorders/>
            <w:shd w:fill="CEE8F6" w:val="clear"/>
            <w:vAlign w:val="center"/>
          </w:tcPr>
          <w:p>
            <w:pPr>
              <w:pStyle w:val="TableContents"/>
              <w:spacing w:before="0" w:after="283"/>
              <w:jc w:val="right"/>
              <w:rPr/>
            </w:pPr>
            <w:r>
              <w:rPr/>
              <w:t>$9,066,419</w:t>
            </w:r>
          </w:p>
        </w:tc>
        <w:tc>
          <w:tcPr>
            <w:tcW w:w="80" w:type="dxa"/>
            <w:tcBorders/>
            <w:shd w:fill="CEE8F6" w:val="clear"/>
            <w:vAlign w:val="center"/>
          </w:tcPr>
          <w:p>
            <w:pPr>
              <w:pStyle w:val="TableContents"/>
              <w:spacing w:before="0" w:after="283"/>
              <w:rPr/>
            </w:pPr>
            <w:r>
              <w:rPr/>
              <w:t> </w:t>
            </w:r>
          </w:p>
        </w:tc>
      </w:tr>
      <w:tr>
        <w:trPr/>
        <w:tc>
          <w:tcPr>
            <w:tcW w:w="5586" w:type="dxa"/>
            <w:tcBorders/>
            <w:shd w:fill="auto" w:val="clear"/>
            <w:vAlign w:val="center"/>
          </w:tcPr>
          <w:p>
            <w:pPr>
              <w:pStyle w:val="TableContents"/>
              <w:spacing w:before="0" w:after="0"/>
              <w:rPr>
                <w:rFonts w:ascii="ARIAL" w:hAnsi="ARIAL"/>
                <w:sz w:val="20"/>
              </w:rPr>
            </w:pPr>
            <w:r>
              <w:rPr>
                <w:rFonts w:ascii="ARIAL" w:hAnsi="ARIAL"/>
                <w:sz w:val="20"/>
              </w:rPr>
              <w:t>Less: Stock and Option Award values reported in the SCT</w:t>
            </w:r>
          </w:p>
        </w:tc>
        <w:tc>
          <w:tcPr>
            <w:tcW w:w="120"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1284" w:type="dxa"/>
            <w:tcBorders/>
            <w:shd w:fill="auto" w:val="clear"/>
            <w:vAlign w:val="center"/>
          </w:tcPr>
          <w:p>
            <w:pPr>
              <w:pStyle w:val="TableContents"/>
              <w:spacing w:before="0" w:after="283"/>
              <w:jc w:val="right"/>
              <w:rPr/>
            </w:pPr>
            <w:r>
              <w:rPr/>
              <w:t>($3,779,000)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1303" w:type="dxa"/>
            <w:tcBorders/>
            <w:shd w:fill="auto" w:val="clear"/>
            <w:vAlign w:val="center"/>
          </w:tcPr>
          <w:p>
            <w:pPr>
              <w:pStyle w:val="TableContents"/>
              <w:spacing w:before="0" w:after="283"/>
              <w:jc w:val="right"/>
              <w:rPr/>
            </w:pPr>
            <w:r>
              <w:rPr/>
              <w:t>($3,265,000)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1286" w:type="dxa"/>
            <w:tcBorders/>
            <w:shd w:fill="auto" w:val="clear"/>
            <w:vAlign w:val="center"/>
          </w:tcPr>
          <w:p>
            <w:pPr>
              <w:pStyle w:val="TableContents"/>
              <w:spacing w:before="0" w:after="283"/>
              <w:jc w:val="right"/>
              <w:rPr/>
            </w:pPr>
            <w:r>
              <w:rPr/>
              <w:t>($1,929,375)</w:t>
            </w:r>
          </w:p>
        </w:tc>
        <w:tc>
          <w:tcPr>
            <w:tcW w:w="80" w:type="dxa"/>
            <w:tcBorders/>
            <w:shd w:fill="auto" w:val="clear"/>
            <w:vAlign w:val="center"/>
          </w:tcPr>
          <w:p>
            <w:pPr>
              <w:pStyle w:val="TableContents"/>
              <w:spacing w:before="0" w:after="283"/>
              <w:rPr/>
            </w:pPr>
            <w:r>
              <w:rPr/>
              <w:t> </w:t>
            </w:r>
          </w:p>
        </w:tc>
      </w:tr>
      <w:tr>
        <w:trPr/>
        <w:tc>
          <w:tcPr>
            <w:tcW w:w="5586" w:type="dxa"/>
            <w:tcBorders/>
            <w:shd w:fill="CEE8F6" w:val="clear"/>
            <w:vAlign w:val="center"/>
          </w:tcPr>
          <w:p>
            <w:pPr>
              <w:pStyle w:val="TableContents"/>
              <w:spacing w:before="0" w:after="0"/>
              <w:rPr>
                <w:rFonts w:ascii="ARIAL" w:hAnsi="ARIAL"/>
                <w:sz w:val="20"/>
              </w:rPr>
            </w:pPr>
            <w:r>
              <w:rPr>
                <w:rFonts w:ascii="ARIAL" w:hAnsi="ARIAL"/>
                <w:sz w:val="20"/>
              </w:rPr>
              <w:t>Plus: Fair Value of Stock and Option Awards Granted during the Covered Year</w:t>
            </w:r>
          </w:p>
        </w:tc>
        <w:tc>
          <w:tcPr>
            <w:tcW w:w="120" w:type="dxa"/>
            <w:tcBorders/>
            <w:shd w:fill="CEE8F6" w:val="clear"/>
            <w:vAlign w:val="center"/>
          </w:tcPr>
          <w:p>
            <w:pPr>
              <w:pStyle w:val="TableContents"/>
              <w:spacing w:before="0" w:after="283"/>
              <w:rPr/>
            </w:pPr>
            <w:r>
              <w:rPr/>
              <w:t>  </w:t>
            </w:r>
          </w:p>
        </w:tc>
        <w:tc>
          <w:tcPr>
            <w:tcW w:w="62" w:type="dxa"/>
            <w:tcBorders/>
            <w:shd w:fill="CEE8F6" w:val="clear"/>
            <w:vAlign w:val="center"/>
          </w:tcPr>
          <w:p>
            <w:pPr>
              <w:pStyle w:val="TableContents"/>
              <w:spacing w:before="0" w:after="283"/>
              <w:rPr/>
            </w:pPr>
            <w:r>
              <w:rPr/>
              <w:t> </w:t>
            </w:r>
          </w:p>
        </w:tc>
        <w:tc>
          <w:tcPr>
            <w:tcW w:w="1284" w:type="dxa"/>
            <w:tcBorders/>
            <w:shd w:fill="CEE8F6" w:val="clear"/>
            <w:vAlign w:val="center"/>
          </w:tcPr>
          <w:p>
            <w:pPr>
              <w:pStyle w:val="TableContents"/>
              <w:spacing w:before="0" w:after="283"/>
              <w:jc w:val="right"/>
              <w:rPr/>
            </w:pPr>
            <w:r>
              <w:rPr/>
              <w:t>$1,620,000</w:t>
            </w:r>
          </w:p>
        </w:tc>
        <w:tc>
          <w:tcPr>
            <w:tcW w:w="60" w:type="dxa"/>
            <w:tcBorders/>
            <w:shd w:fill="CEE8F6" w:val="clear"/>
            <w:vAlign w:val="center"/>
          </w:tcPr>
          <w:p>
            <w:pPr>
              <w:pStyle w:val="TableContents"/>
              <w:spacing w:before="0" w:after="283"/>
              <w:rPr/>
            </w:pPr>
            <w:r>
              <w:rPr/>
              <w:t> </w:t>
            </w:r>
          </w:p>
        </w:tc>
        <w:tc>
          <w:tcPr>
            <w:tcW w:w="120" w:type="dxa"/>
            <w:tcBorders/>
            <w:shd w:fill="CEE8F6" w:val="clear"/>
            <w:vAlign w:val="center"/>
          </w:tcPr>
          <w:p>
            <w:pPr>
              <w:pStyle w:val="TableContents"/>
              <w:spacing w:before="0" w:after="283"/>
              <w:rPr/>
            </w:pPr>
            <w:r>
              <w:rPr/>
              <w:t>  </w:t>
            </w:r>
          </w:p>
        </w:tc>
        <w:tc>
          <w:tcPr>
            <w:tcW w:w="62" w:type="dxa"/>
            <w:tcBorders/>
            <w:shd w:fill="CEE8F6" w:val="clear"/>
            <w:vAlign w:val="center"/>
          </w:tcPr>
          <w:p>
            <w:pPr>
              <w:pStyle w:val="TableContents"/>
              <w:spacing w:before="0" w:after="283"/>
              <w:rPr/>
            </w:pPr>
            <w:r>
              <w:rPr/>
              <w:t> </w:t>
            </w:r>
          </w:p>
        </w:tc>
        <w:tc>
          <w:tcPr>
            <w:tcW w:w="1303" w:type="dxa"/>
            <w:tcBorders/>
            <w:shd w:fill="CEE8F6" w:val="clear"/>
            <w:vAlign w:val="center"/>
          </w:tcPr>
          <w:p>
            <w:pPr>
              <w:pStyle w:val="TableContents"/>
              <w:spacing w:before="0" w:after="283"/>
              <w:jc w:val="right"/>
              <w:rPr/>
            </w:pPr>
            <w:r>
              <w:rPr/>
              <w:t>$4,924,000</w:t>
            </w:r>
          </w:p>
        </w:tc>
        <w:tc>
          <w:tcPr>
            <w:tcW w:w="60" w:type="dxa"/>
            <w:tcBorders/>
            <w:shd w:fill="CEE8F6" w:val="clear"/>
            <w:vAlign w:val="center"/>
          </w:tcPr>
          <w:p>
            <w:pPr>
              <w:pStyle w:val="TableContents"/>
              <w:spacing w:before="0" w:after="283"/>
              <w:rPr/>
            </w:pPr>
            <w:r>
              <w:rPr/>
              <w:t> </w:t>
            </w:r>
          </w:p>
        </w:tc>
        <w:tc>
          <w:tcPr>
            <w:tcW w:w="120" w:type="dxa"/>
            <w:tcBorders/>
            <w:shd w:fill="CEE8F6" w:val="clear"/>
            <w:vAlign w:val="center"/>
          </w:tcPr>
          <w:p>
            <w:pPr>
              <w:pStyle w:val="TableContents"/>
              <w:spacing w:before="0" w:after="283"/>
              <w:rPr/>
            </w:pPr>
            <w:r>
              <w:rPr/>
              <w:t>  </w:t>
            </w:r>
          </w:p>
        </w:tc>
        <w:tc>
          <w:tcPr>
            <w:tcW w:w="62" w:type="dxa"/>
            <w:tcBorders/>
            <w:shd w:fill="CEE8F6" w:val="clear"/>
            <w:vAlign w:val="center"/>
          </w:tcPr>
          <w:p>
            <w:pPr>
              <w:pStyle w:val="TableContents"/>
              <w:spacing w:before="0" w:after="283"/>
              <w:rPr/>
            </w:pPr>
            <w:r>
              <w:rPr/>
              <w:t> </w:t>
            </w:r>
          </w:p>
        </w:tc>
        <w:tc>
          <w:tcPr>
            <w:tcW w:w="1286" w:type="dxa"/>
            <w:tcBorders/>
            <w:shd w:fill="CEE8F6" w:val="clear"/>
            <w:vAlign w:val="center"/>
          </w:tcPr>
          <w:p>
            <w:pPr>
              <w:pStyle w:val="TableContents"/>
              <w:spacing w:before="0" w:after="283"/>
              <w:jc w:val="right"/>
              <w:rPr/>
            </w:pPr>
            <w:r>
              <w:rPr/>
              <w:t>$2,958,750</w:t>
            </w:r>
          </w:p>
        </w:tc>
        <w:tc>
          <w:tcPr>
            <w:tcW w:w="80" w:type="dxa"/>
            <w:tcBorders/>
            <w:shd w:fill="CEE8F6" w:val="clear"/>
            <w:vAlign w:val="center"/>
          </w:tcPr>
          <w:p>
            <w:pPr>
              <w:pStyle w:val="TableContents"/>
              <w:spacing w:before="0" w:after="283"/>
              <w:rPr/>
            </w:pPr>
            <w:r>
              <w:rPr/>
              <w:t> </w:t>
            </w:r>
          </w:p>
        </w:tc>
      </w:tr>
      <w:tr>
        <w:trPr/>
        <w:tc>
          <w:tcPr>
            <w:tcW w:w="5586" w:type="dxa"/>
            <w:tcBorders/>
            <w:shd w:fill="auto" w:val="clear"/>
            <w:vAlign w:val="center"/>
          </w:tcPr>
          <w:p>
            <w:pPr>
              <w:pStyle w:val="TableContents"/>
              <w:spacing w:before="0" w:after="0"/>
              <w:rPr>
                <w:rFonts w:ascii="ARIAL" w:hAnsi="ARIAL"/>
                <w:sz w:val="20"/>
              </w:rPr>
            </w:pPr>
            <w:r>
              <w:rPr>
                <w:rFonts w:ascii="ARIAL" w:hAnsi="ARIAL"/>
                <w:sz w:val="20"/>
              </w:rPr>
              <w:t>Change in Fair Value of Outstanding Unvested Stock and Option Awards from Prior Years</w:t>
            </w:r>
          </w:p>
        </w:tc>
        <w:tc>
          <w:tcPr>
            <w:tcW w:w="120"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1284" w:type="dxa"/>
            <w:tcBorders/>
            <w:shd w:fill="auto" w:val="clear"/>
            <w:vAlign w:val="center"/>
          </w:tcPr>
          <w:p>
            <w:pPr>
              <w:pStyle w:val="TableContents"/>
              <w:spacing w:before="0" w:after="283"/>
              <w:jc w:val="right"/>
              <w:rPr/>
            </w:pPr>
            <w:r>
              <w:rPr/>
              <w:t>($4,931,670)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1303" w:type="dxa"/>
            <w:tcBorders/>
            <w:shd w:fill="auto" w:val="clear"/>
            <w:vAlign w:val="center"/>
          </w:tcPr>
          <w:p>
            <w:pPr>
              <w:pStyle w:val="TableContents"/>
              <w:spacing w:before="0" w:after="283"/>
              <w:jc w:val="right"/>
              <w:rPr/>
            </w:pPr>
            <w:r>
              <w:rPr/>
              <w:t>$2,818,729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1286" w:type="dxa"/>
            <w:tcBorders/>
            <w:shd w:fill="auto" w:val="clear"/>
            <w:vAlign w:val="center"/>
          </w:tcPr>
          <w:p>
            <w:pPr>
              <w:pStyle w:val="TableContents"/>
              <w:spacing w:before="0" w:after="283"/>
              <w:jc w:val="right"/>
              <w:rPr/>
            </w:pPr>
            <w:r>
              <w:rPr/>
              <w:t>$1,721,475</w:t>
            </w:r>
          </w:p>
        </w:tc>
        <w:tc>
          <w:tcPr>
            <w:tcW w:w="80" w:type="dxa"/>
            <w:tcBorders/>
            <w:shd w:fill="auto" w:val="clear"/>
            <w:vAlign w:val="center"/>
          </w:tcPr>
          <w:p>
            <w:pPr>
              <w:pStyle w:val="TableContents"/>
              <w:spacing w:before="0" w:after="283"/>
              <w:rPr/>
            </w:pPr>
            <w:r>
              <w:rPr/>
              <w:t> </w:t>
            </w:r>
          </w:p>
        </w:tc>
      </w:tr>
      <w:tr>
        <w:trPr/>
        <w:tc>
          <w:tcPr>
            <w:tcW w:w="5586" w:type="dxa"/>
            <w:tcBorders/>
            <w:shd w:fill="CEE8F6" w:val="clear"/>
            <w:vAlign w:val="center"/>
          </w:tcPr>
          <w:p>
            <w:pPr>
              <w:pStyle w:val="TableContents"/>
              <w:spacing w:before="0" w:after="0"/>
              <w:rPr>
                <w:rFonts w:ascii="ARIAL" w:hAnsi="ARIAL"/>
                <w:sz w:val="20"/>
              </w:rPr>
            </w:pPr>
            <w:r>
              <w:rPr>
                <w:rFonts w:ascii="ARIAL" w:hAnsi="ARIAL"/>
                <w:sz w:val="20"/>
              </w:rPr>
              <w:t>Change in Fair Value of Stock and Option Awards from Prior Years that Vested in the Covered Year</w:t>
            </w:r>
          </w:p>
        </w:tc>
        <w:tc>
          <w:tcPr>
            <w:tcW w:w="120" w:type="dxa"/>
            <w:tcBorders/>
            <w:shd w:fill="CEE8F6" w:val="clear"/>
            <w:vAlign w:val="center"/>
          </w:tcPr>
          <w:p>
            <w:pPr>
              <w:pStyle w:val="TableContents"/>
              <w:spacing w:before="0" w:after="283"/>
              <w:rPr/>
            </w:pPr>
            <w:r>
              <w:rPr/>
              <w:t>  </w:t>
            </w:r>
          </w:p>
        </w:tc>
        <w:tc>
          <w:tcPr>
            <w:tcW w:w="62" w:type="dxa"/>
            <w:tcBorders/>
            <w:shd w:fill="CEE8F6" w:val="clear"/>
            <w:vAlign w:val="center"/>
          </w:tcPr>
          <w:p>
            <w:pPr>
              <w:pStyle w:val="TableContents"/>
              <w:spacing w:before="0" w:after="283"/>
              <w:rPr/>
            </w:pPr>
            <w:r>
              <w:rPr/>
              <w:t> </w:t>
            </w:r>
          </w:p>
        </w:tc>
        <w:tc>
          <w:tcPr>
            <w:tcW w:w="1284" w:type="dxa"/>
            <w:tcBorders/>
            <w:shd w:fill="CEE8F6" w:val="clear"/>
            <w:vAlign w:val="center"/>
          </w:tcPr>
          <w:p>
            <w:pPr>
              <w:pStyle w:val="TableContents"/>
              <w:spacing w:before="0" w:after="283"/>
              <w:jc w:val="right"/>
              <w:rPr/>
            </w:pPr>
            <w:r>
              <w:rPr/>
              <w:t>($24,582)</w:t>
            </w:r>
          </w:p>
        </w:tc>
        <w:tc>
          <w:tcPr>
            <w:tcW w:w="60" w:type="dxa"/>
            <w:tcBorders/>
            <w:shd w:fill="CEE8F6" w:val="clear"/>
            <w:vAlign w:val="center"/>
          </w:tcPr>
          <w:p>
            <w:pPr>
              <w:pStyle w:val="TableContents"/>
              <w:spacing w:before="0" w:after="283"/>
              <w:rPr/>
            </w:pPr>
            <w:r>
              <w:rPr/>
              <w:t> </w:t>
            </w:r>
          </w:p>
        </w:tc>
        <w:tc>
          <w:tcPr>
            <w:tcW w:w="120" w:type="dxa"/>
            <w:tcBorders/>
            <w:shd w:fill="CEE8F6" w:val="clear"/>
            <w:vAlign w:val="center"/>
          </w:tcPr>
          <w:p>
            <w:pPr>
              <w:pStyle w:val="TableContents"/>
              <w:spacing w:before="0" w:after="283"/>
              <w:rPr/>
            </w:pPr>
            <w:r>
              <w:rPr/>
              <w:t>  </w:t>
            </w:r>
          </w:p>
        </w:tc>
        <w:tc>
          <w:tcPr>
            <w:tcW w:w="62" w:type="dxa"/>
            <w:tcBorders/>
            <w:shd w:fill="CEE8F6" w:val="clear"/>
            <w:vAlign w:val="center"/>
          </w:tcPr>
          <w:p>
            <w:pPr>
              <w:pStyle w:val="TableContents"/>
              <w:spacing w:before="0" w:after="283"/>
              <w:rPr/>
            </w:pPr>
            <w:r>
              <w:rPr/>
              <w:t> </w:t>
            </w:r>
          </w:p>
        </w:tc>
        <w:tc>
          <w:tcPr>
            <w:tcW w:w="1303" w:type="dxa"/>
            <w:tcBorders/>
            <w:shd w:fill="CEE8F6" w:val="clear"/>
            <w:vAlign w:val="center"/>
          </w:tcPr>
          <w:p>
            <w:pPr>
              <w:pStyle w:val="TableContents"/>
              <w:spacing w:before="0" w:after="283"/>
              <w:jc w:val="right"/>
              <w:rPr/>
            </w:pPr>
            <w:r>
              <w:rPr/>
              <w:t>$1,200,313</w:t>
            </w:r>
          </w:p>
        </w:tc>
        <w:tc>
          <w:tcPr>
            <w:tcW w:w="60" w:type="dxa"/>
            <w:tcBorders/>
            <w:shd w:fill="CEE8F6" w:val="clear"/>
            <w:vAlign w:val="center"/>
          </w:tcPr>
          <w:p>
            <w:pPr>
              <w:pStyle w:val="TableContents"/>
              <w:spacing w:before="0" w:after="283"/>
              <w:rPr/>
            </w:pPr>
            <w:r>
              <w:rPr/>
              <w:t> </w:t>
            </w:r>
          </w:p>
        </w:tc>
        <w:tc>
          <w:tcPr>
            <w:tcW w:w="120" w:type="dxa"/>
            <w:tcBorders/>
            <w:shd w:fill="CEE8F6" w:val="clear"/>
            <w:vAlign w:val="center"/>
          </w:tcPr>
          <w:p>
            <w:pPr>
              <w:pStyle w:val="TableContents"/>
              <w:spacing w:before="0" w:after="283"/>
              <w:rPr/>
            </w:pPr>
            <w:r>
              <w:rPr/>
              <w:t>  </w:t>
            </w:r>
          </w:p>
        </w:tc>
        <w:tc>
          <w:tcPr>
            <w:tcW w:w="62" w:type="dxa"/>
            <w:tcBorders/>
            <w:shd w:fill="CEE8F6" w:val="clear"/>
            <w:vAlign w:val="center"/>
          </w:tcPr>
          <w:p>
            <w:pPr>
              <w:pStyle w:val="TableContents"/>
              <w:spacing w:before="0" w:after="283"/>
              <w:rPr/>
            </w:pPr>
            <w:r>
              <w:rPr/>
              <w:t> </w:t>
            </w:r>
          </w:p>
        </w:tc>
        <w:tc>
          <w:tcPr>
            <w:tcW w:w="1286" w:type="dxa"/>
            <w:tcBorders/>
            <w:shd w:fill="CEE8F6" w:val="clear"/>
            <w:vAlign w:val="center"/>
          </w:tcPr>
          <w:p>
            <w:pPr>
              <w:pStyle w:val="TableContents"/>
              <w:spacing w:before="0" w:after="283"/>
              <w:jc w:val="right"/>
              <w:rPr/>
            </w:pPr>
            <w:r>
              <w:rPr/>
              <w:t>$218,400</w:t>
            </w:r>
          </w:p>
        </w:tc>
        <w:tc>
          <w:tcPr>
            <w:tcW w:w="80" w:type="dxa"/>
            <w:tcBorders/>
            <w:shd w:fill="CEE8F6" w:val="clear"/>
            <w:vAlign w:val="center"/>
          </w:tcPr>
          <w:p>
            <w:pPr>
              <w:pStyle w:val="TableContents"/>
              <w:spacing w:before="0" w:after="283"/>
              <w:rPr/>
            </w:pPr>
            <w:r>
              <w:rPr/>
              <w:t> </w:t>
            </w:r>
          </w:p>
        </w:tc>
      </w:tr>
      <w:tr>
        <w:trPr/>
        <w:tc>
          <w:tcPr>
            <w:tcW w:w="5586" w:type="dxa"/>
            <w:tcBorders/>
            <w:shd w:fill="auto" w:val="clear"/>
            <w:vAlign w:val="center"/>
          </w:tcPr>
          <w:p>
            <w:pPr>
              <w:pStyle w:val="TableContents"/>
              <w:spacing w:before="0" w:after="0"/>
              <w:rPr>
                <w:rFonts w:ascii="ARIAL" w:hAnsi="ARIAL"/>
                <w:sz w:val="20"/>
              </w:rPr>
            </w:pPr>
            <w:r>
              <w:rPr>
                <w:rFonts w:ascii="ARIAL" w:hAnsi="ARIAL"/>
                <w:sz w:val="20"/>
              </w:rPr>
              <w:t>Less: Fair Value of Stock and Option Awards Forfeited during the Covered Year</w:t>
            </w:r>
          </w:p>
        </w:tc>
        <w:tc>
          <w:tcPr>
            <w:tcW w:w="120"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1284" w:type="dxa"/>
            <w:tcBorders/>
            <w:shd w:fill="auto" w:val="clear"/>
            <w:vAlign w:val="center"/>
          </w:tcPr>
          <w:p>
            <w:pPr>
              <w:pStyle w:val="TableContents"/>
              <w:spacing w:before="0" w:after="283"/>
              <w:jc w:val="right"/>
              <w:rPr/>
            </w:pPr>
            <w:r>
              <w:rPr/>
              <w:t>($3,110)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1303" w:type="dxa"/>
            <w:tcBorders/>
            <w:shd w:fill="auto" w:val="clear"/>
            <w:vAlign w:val="center"/>
          </w:tcPr>
          <w:p>
            <w:pPr>
              <w:pStyle w:val="TableContents"/>
              <w:spacing w:before="0" w:after="283"/>
              <w:jc w:val="right"/>
              <w:rPr/>
            </w:pPr>
            <w:r>
              <w:rPr/>
              <w:t>($5,000)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1286" w:type="dxa"/>
            <w:tcBorders/>
            <w:shd w:fill="auto" w:val="clear"/>
            <w:vAlign w:val="center"/>
          </w:tcPr>
          <w:p>
            <w:pPr>
              <w:pStyle w:val="TableContents"/>
              <w:spacing w:before="0" w:after="283"/>
              <w:jc w:val="right"/>
              <w:rPr/>
            </w:pPr>
            <w:r>
              <w:rPr/>
              <w:t>($288,500)</w:t>
            </w:r>
          </w:p>
        </w:tc>
        <w:tc>
          <w:tcPr>
            <w:tcW w:w="80" w:type="dxa"/>
            <w:tcBorders/>
            <w:shd w:fill="auto" w:val="clear"/>
            <w:vAlign w:val="center"/>
          </w:tcPr>
          <w:p>
            <w:pPr>
              <w:pStyle w:val="TableContents"/>
              <w:spacing w:before="0" w:after="283"/>
              <w:rPr/>
            </w:pPr>
            <w:r>
              <w:rPr/>
              <w:t> </w:t>
            </w:r>
          </w:p>
        </w:tc>
      </w:tr>
      <w:tr>
        <w:trPr/>
        <w:tc>
          <w:tcPr>
            <w:tcW w:w="5586" w:type="dxa"/>
            <w:tcBorders/>
            <w:shd w:fill="CEE8F6" w:val="clear"/>
            <w:vAlign w:val="center"/>
          </w:tcPr>
          <w:p>
            <w:pPr>
              <w:pStyle w:val="TableContents"/>
              <w:spacing w:before="0" w:after="0"/>
              <w:rPr>
                <w:rFonts w:ascii="ARIAL" w:hAnsi="ARIAL"/>
                <w:sz w:val="20"/>
              </w:rPr>
            </w:pPr>
            <w:r>
              <w:rPr>
                <w:rFonts w:ascii="ARIAL" w:hAnsi="ARIAL"/>
                <w:sz w:val="20"/>
              </w:rPr>
              <w:t>Less: Aggregate Change in Actuarial Present Value of Defined Benefit Plans</w:t>
            </w:r>
          </w:p>
        </w:tc>
        <w:tc>
          <w:tcPr>
            <w:tcW w:w="120" w:type="dxa"/>
            <w:tcBorders/>
            <w:shd w:fill="CEE8F6" w:val="clear"/>
            <w:vAlign w:val="center"/>
          </w:tcPr>
          <w:p>
            <w:pPr>
              <w:pStyle w:val="TableContents"/>
              <w:spacing w:before="0" w:after="283"/>
              <w:rPr/>
            </w:pPr>
            <w:r>
              <w:rPr/>
              <w:t>  </w:t>
            </w:r>
          </w:p>
        </w:tc>
        <w:tc>
          <w:tcPr>
            <w:tcW w:w="62" w:type="dxa"/>
            <w:tcBorders/>
            <w:shd w:fill="CEE8F6" w:val="clear"/>
            <w:vAlign w:val="center"/>
          </w:tcPr>
          <w:p>
            <w:pPr>
              <w:pStyle w:val="TableContents"/>
              <w:spacing w:before="0" w:after="283"/>
              <w:rPr/>
            </w:pPr>
            <w:r>
              <w:rPr/>
              <w:t> </w:t>
            </w:r>
          </w:p>
        </w:tc>
        <w:tc>
          <w:tcPr>
            <w:tcW w:w="1284" w:type="dxa"/>
            <w:tcBorders/>
            <w:shd w:fill="CEE8F6" w:val="clear"/>
            <w:vAlign w:val="center"/>
          </w:tcPr>
          <w:p>
            <w:pPr>
              <w:pStyle w:val="TableContents"/>
              <w:spacing w:before="0" w:after="283"/>
              <w:jc w:val="right"/>
              <w:rPr/>
            </w:pPr>
            <w:r>
              <w:rPr/>
              <w:t>($499,859)</w:t>
            </w:r>
          </w:p>
        </w:tc>
        <w:tc>
          <w:tcPr>
            <w:tcW w:w="60" w:type="dxa"/>
            <w:tcBorders/>
            <w:shd w:fill="CEE8F6" w:val="clear"/>
            <w:vAlign w:val="center"/>
          </w:tcPr>
          <w:p>
            <w:pPr>
              <w:pStyle w:val="TableContents"/>
              <w:spacing w:before="0" w:after="283"/>
              <w:rPr/>
            </w:pPr>
            <w:r>
              <w:rPr/>
              <w:t> </w:t>
            </w:r>
          </w:p>
        </w:tc>
        <w:tc>
          <w:tcPr>
            <w:tcW w:w="120" w:type="dxa"/>
            <w:tcBorders/>
            <w:shd w:fill="CEE8F6" w:val="clear"/>
            <w:vAlign w:val="center"/>
          </w:tcPr>
          <w:p>
            <w:pPr>
              <w:pStyle w:val="TableContents"/>
              <w:spacing w:before="0" w:after="283"/>
              <w:rPr/>
            </w:pPr>
            <w:r>
              <w:rPr/>
              <w:t>  </w:t>
            </w:r>
          </w:p>
        </w:tc>
        <w:tc>
          <w:tcPr>
            <w:tcW w:w="62" w:type="dxa"/>
            <w:tcBorders/>
            <w:shd w:fill="CEE8F6" w:val="clear"/>
            <w:vAlign w:val="center"/>
          </w:tcPr>
          <w:p>
            <w:pPr>
              <w:pStyle w:val="TableContents"/>
              <w:spacing w:before="0" w:after="283"/>
              <w:rPr/>
            </w:pPr>
            <w:r>
              <w:rPr/>
              <w:t> </w:t>
            </w:r>
          </w:p>
        </w:tc>
        <w:tc>
          <w:tcPr>
            <w:tcW w:w="1303" w:type="dxa"/>
            <w:tcBorders/>
            <w:shd w:fill="CEE8F6" w:val="clear"/>
            <w:vAlign w:val="center"/>
          </w:tcPr>
          <w:p>
            <w:pPr>
              <w:pStyle w:val="TableContents"/>
              <w:spacing w:before="0" w:after="283"/>
              <w:jc w:val="right"/>
              <w:rPr/>
            </w:pPr>
            <w:r>
              <w:rPr/>
              <w:t>($1,520,328)</w:t>
            </w:r>
          </w:p>
        </w:tc>
        <w:tc>
          <w:tcPr>
            <w:tcW w:w="60" w:type="dxa"/>
            <w:tcBorders/>
            <w:shd w:fill="CEE8F6" w:val="clear"/>
            <w:vAlign w:val="center"/>
          </w:tcPr>
          <w:p>
            <w:pPr>
              <w:pStyle w:val="TableContents"/>
              <w:spacing w:before="0" w:after="283"/>
              <w:rPr/>
            </w:pPr>
            <w:r>
              <w:rPr/>
              <w:t> </w:t>
            </w:r>
          </w:p>
        </w:tc>
        <w:tc>
          <w:tcPr>
            <w:tcW w:w="120" w:type="dxa"/>
            <w:tcBorders/>
            <w:shd w:fill="CEE8F6" w:val="clear"/>
            <w:vAlign w:val="center"/>
          </w:tcPr>
          <w:p>
            <w:pPr>
              <w:pStyle w:val="TableContents"/>
              <w:spacing w:before="0" w:after="283"/>
              <w:rPr/>
            </w:pPr>
            <w:r>
              <w:rPr/>
              <w:t>  </w:t>
            </w:r>
          </w:p>
        </w:tc>
        <w:tc>
          <w:tcPr>
            <w:tcW w:w="62" w:type="dxa"/>
            <w:tcBorders/>
            <w:shd w:fill="CEE8F6" w:val="clear"/>
            <w:vAlign w:val="center"/>
          </w:tcPr>
          <w:p>
            <w:pPr>
              <w:pStyle w:val="TableContents"/>
              <w:spacing w:before="0" w:after="283"/>
              <w:rPr/>
            </w:pPr>
            <w:r>
              <w:rPr/>
              <w:t> </w:t>
            </w:r>
          </w:p>
        </w:tc>
        <w:tc>
          <w:tcPr>
            <w:tcW w:w="1286" w:type="dxa"/>
            <w:tcBorders/>
            <w:shd w:fill="CEE8F6" w:val="clear"/>
            <w:vAlign w:val="center"/>
          </w:tcPr>
          <w:p>
            <w:pPr>
              <w:pStyle w:val="TableContents"/>
              <w:spacing w:before="0" w:after="283"/>
              <w:jc w:val="right"/>
              <w:rPr/>
            </w:pPr>
            <w:r>
              <w:rPr/>
              <w:t>($1,129,620)</w:t>
            </w:r>
          </w:p>
        </w:tc>
        <w:tc>
          <w:tcPr>
            <w:tcW w:w="80" w:type="dxa"/>
            <w:tcBorders/>
            <w:shd w:fill="CEE8F6" w:val="clear"/>
            <w:vAlign w:val="center"/>
          </w:tcPr>
          <w:p>
            <w:pPr>
              <w:pStyle w:val="TableContents"/>
              <w:spacing w:before="0" w:after="283"/>
              <w:rPr/>
            </w:pPr>
            <w:r>
              <w:rPr/>
              <w:t> </w:t>
            </w:r>
          </w:p>
        </w:tc>
      </w:tr>
      <w:tr>
        <w:trPr/>
        <w:tc>
          <w:tcPr>
            <w:tcW w:w="5586" w:type="dxa"/>
            <w:tcBorders/>
            <w:shd w:fill="auto" w:val="clear"/>
            <w:vAlign w:val="center"/>
          </w:tcPr>
          <w:p>
            <w:pPr>
              <w:pStyle w:val="TableContents"/>
              <w:spacing w:before="0" w:after="0"/>
              <w:rPr>
                <w:rFonts w:ascii="ARIAL" w:hAnsi="ARIAL"/>
                <w:sz w:val="20"/>
              </w:rPr>
            </w:pPr>
            <w:r>
              <w:rPr>
                <w:rFonts w:ascii="ARIAL" w:hAnsi="ARIAL"/>
                <w:sz w:val="20"/>
              </w:rPr>
              <w:t>Plus: Aggregate Service Cost and Prior Service Cost for Pension Plans</w:t>
            </w:r>
          </w:p>
        </w:tc>
        <w:tc>
          <w:tcPr>
            <w:tcW w:w="120"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1284" w:type="dxa"/>
            <w:tcBorders/>
            <w:shd w:fill="auto" w:val="clear"/>
            <w:vAlign w:val="center"/>
          </w:tcPr>
          <w:p>
            <w:pPr>
              <w:pStyle w:val="TableContents"/>
              <w:spacing w:before="0" w:after="283"/>
              <w:jc w:val="right"/>
              <w:rPr/>
            </w:pPr>
            <w:r>
              <w:rPr/>
              <w:t>$1,474,917</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1303" w:type="dxa"/>
            <w:tcBorders/>
            <w:shd w:fill="auto" w:val="clear"/>
            <w:vAlign w:val="center"/>
          </w:tcPr>
          <w:p>
            <w:pPr>
              <w:pStyle w:val="TableContents"/>
              <w:spacing w:before="0" w:after="283"/>
              <w:jc w:val="right"/>
              <w:rPr/>
            </w:pPr>
            <w:r>
              <w:rPr/>
              <w:t>$1,442,647</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1286" w:type="dxa"/>
            <w:tcBorders/>
            <w:shd w:fill="auto" w:val="clear"/>
            <w:vAlign w:val="center"/>
          </w:tcPr>
          <w:p>
            <w:pPr>
              <w:pStyle w:val="TableContents"/>
              <w:spacing w:before="0" w:after="283"/>
              <w:jc w:val="right"/>
              <w:rPr/>
            </w:pPr>
            <w:r>
              <w:rPr/>
              <w:t>-</w:t>
            </w:r>
          </w:p>
        </w:tc>
        <w:tc>
          <w:tcPr>
            <w:tcW w:w="80" w:type="dxa"/>
            <w:tcBorders/>
            <w:shd w:fill="auto" w:val="clear"/>
            <w:vAlign w:val="center"/>
          </w:tcPr>
          <w:p>
            <w:pPr>
              <w:pStyle w:val="TableContents"/>
              <w:spacing w:before="0" w:after="283"/>
              <w:rPr/>
            </w:pPr>
            <w:r>
              <w:rPr/>
              <w:t> </w:t>
            </w:r>
          </w:p>
        </w:tc>
      </w:tr>
      <w:tr>
        <w:trPr/>
        <w:tc>
          <w:tcPr>
            <w:tcW w:w="558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0"/>
              <w:rPr>
                <w:bdr w:val="single" w:sz="2" w:space="1" w:color="000000"/>
              </w:rPr>
            </w:pPr>
            <w:r>
              <w:rPr>
                <w:bdr w:val="single" w:sz="2" w:space="1" w:color="000000"/>
              </w:rPr>
              <w:t> </w:t>
            </w:r>
          </w:p>
        </w:tc>
        <w:tc>
          <w:tcPr>
            <w:tcW w:w="1284"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0"/>
              <w:rPr>
                <w:bdr w:val="single" w:sz="2" w:space="1" w:color="000000"/>
              </w:rPr>
            </w:pPr>
            <w:r>
              <w:rPr>
                <w:bdr w:val="single" w:sz="2" w:space="1" w:color="000000"/>
              </w:rPr>
              <w:t> </w:t>
            </w:r>
          </w:p>
        </w:tc>
        <w:tc>
          <w:tcPr>
            <w:tcW w:w="1303"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0"/>
              <w:rPr>
                <w:bdr w:val="single" w:sz="2" w:space="1" w:color="000000"/>
              </w:rPr>
            </w:pPr>
            <w:r>
              <w:rPr>
                <w:bdr w:val="single" w:sz="2" w:space="1" w:color="000000"/>
              </w:rPr>
              <w:t> </w:t>
            </w:r>
          </w:p>
        </w:tc>
        <w:tc>
          <w:tcPr>
            <w:tcW w:w="1286" w:type="dxa"/>
            <w:tcBorders/>
            <w:shd w:fill="auto" w:val="clear"/>
            <w:vAlign w:val="center"/>
          </w:tcPr>
          <w:p>
            <w:pPr>
              <w:pStyle w:val="TableContents"/>
              <w:spacing w:before="0" w:after="0"/>
              <w:rPr>
                <w:bdr w:val="single" w:sz="2" w:space="1" w:color="000000"/>
              </w:rPr>
            </w:pPr>
            <w:r>
              <w:rPr>
                <w:bdr w:val="single" w:sz="2" w:space="1" w:color="000000"/>
              </w:rPr>
              <w:t> </w:t>
            </w:r>
          </w:p>
        </w:tc>
        <w:tc>
          <w:tcPr>
            <w:tcW w:w="80" w:type="dxa"/>
            <w:tcBorders/>
            <w:shd w:fill="auto" w:val="clear"/>
            <w:vAlign w:val="center"/>
          </w:tcPr>
          <w:p>
            <w:pPr>
              <w:pStyle w:val="TableContents"/>
              <w:spacing w:before="0" w:after="283"/>
              <w:rPr/>
            </w:pPr>
            <w:r>
              <w:rPr/>
              <w:t> </w:t>
            </w:r>
          </w:p>
        </w:tc>
      </w:tr>
      <w:tr>
        <w:trPr/>
        <w:tc>
          <w:tcPr>
            <w:tcW w:w="5586" w:type="dxa"/>
            <w:tcBorders/>
            <w:shd w:fill="CEE8F6" w:val="clear"/>
            <w:vAlign w:val="center"/>
          </w:tcPr>
          <w:p>
            <w:pPr>
              <w:pStyle w:val="TableContents"/>
              <w:spacing w:before="0" w:after="0"/>
              <w:rPr>
                <w:rFonts w:ascii="ARIAL" w:hAnsi="ARIAL"/>
                <w:sz w:val="20"/>
              </w:rPr>
            </w:pPr>
            <w:r>
              <w:rPr>
                <w:rFonts w:ascii="ARIAL" w:hAnsi="ARIAL"/>
                <w:sz w:val="20"/>
              </w:rPr>
              <w:t>Compensation Actually Paid</w:t>
            </w:r>
          </w:p>
        </w:tc>
        <w:tc>
          <w:tcPr>
            <w:tcW w:w="120" w:type="dxa"/>
            <w:tcBorders/>
            <w:shd w:fill="CEE8F6" w:val="clear"/>
            <w:vAlign w:val="center"/>
          </w:tcPr>
          <w:p>
            <w:pPr>
              <w:pStyle w:val="TableContents"/>
              <w:spacing w:before="0" w:after="283"/>
              <w:rPr/>
            </w:pPr>
            <w:r>
              <w:rPr/>
              <w:t>  </w:t>
            </w:r>
          </w:p>
        </w:tc>
        <w:tc>
          <w:tcPr>
            <w:tcW w:w="62" w:type="dxa"/>
            <w:tcBorders/>
            <w:shd w:fill="CEE8F6" w:val="clear"/>
            <w:vAlign w:val="center"/>
          </w:tcPr>
          <w:p>
            <w:pPr>
              <w:pStyle w:val="TableContents"/>
              <w:spacing w:before="0" w:after="283"/>
              <w:rPr/>
            </w:pPr>
            <w:r>
              <w:rPr/>
              <w:t> </w:t>
            </w:r>
          </w:p>
        </w:tc>
        <w:tc>
          <w:tcPr>
            <w:tcW w:w="1284" w:type="dxa"/>
            <w:tcBorders/>
            <w:shd w:fill="CEE8F6" w:val="clear"/>
            <w:vAlign w:val="center"/>
          </w:tcPr>
          <w:p>
            <w:pPr>
              <w:pStyle w:val="TableContents"/>
              <w:spacing w:before="0" w:after="283"/>
              <w:jc w:val="right"/>
              <w:rPr/>
            </w:pPr>
            <w:r>
              <w:rPr/>
              <w:t>$159,239</w:t>
            </w:r>
          </w:p>
        </w:tc>
        <w:tc>
          <w:tcPr>
            <w:tcW w:w="60" w:type="dxa"/>
            <w:tcBorders/>
            <w:shd w:fill="CEE8F6" w:val="clear"/>
            <w:vAlign w:val="center"/>
          </w:tcPr>
          <w:p>
            <w:pPr>
              <w:pStyle w:val="TableContents"/>
              <w:spacing w:before="0" w:after="283"/>
              <w:rPr/>
            </w:pPr>
            <w:r>
              <w:rPr/>
              <w:t> </w:t>
            </w:r>
          </w:p>
        </w:tc>
        <w:tc>
          <w:tcPr>
            <w:tcW w:w="120" w:type="dxa"/>
            <w:tcBorders/>
            <w:shd w:fill="CEE8F6" w:val="clear"/>
            <w:vAlign w:val="center"/>
          </w:tcPr>
          <w:p>
            <w:pPr>
              <w:pStyle w:val="TableContents"/>
              <w:spacing w:before="0" w:after="283"/>
              <w:rPr/>
            </w:pPr>
            <w:r>
              <w:rPr/>
              <w:t>  </w:t>
            </w:r>
          </w:p>
        </w:tc>
        <w:tc>
          <w:tcPr>
            <w:tcW w:w="62" w:type="dxa"/>
            <w:tcBorders/>
            <w:shd w:fill="CEE8F6" w:val="clear"/>
            <w:vAlign w:val="center"/>
          </w:tcPr>
          <w:p>
            <w:pPr>
              <w:pStyle w:val="TableContents"/>
              <w:spacing w:before="0" w:after="283"/>
              <w:rPr/>
            </w:pPr>
            <w:r>
              <w:rPr/>
              <w:t> </w:t>
            </w:r>
          </w:p>
        </w:tc>
        <w:tc>
          <w:tcPr>
            <w:tcW w:w="1303" w:type="dxa"/>
            <w:tcBorders/>
            <w:shd w:fill="CEE8F6" w:val="clear"/>
            <w:vAlign w:val="center"/>
          </w:tcPr>
          <w:p>
            <w:pPr>
              <w:pStyle w:val="TableContents"/>
              <w:spacing w:before="0" w:after="283"/>
              <w:jc w:val="right"/>
              <w:rPr/>
            </w:pPr>
            <w:r>
              <w:rPr/>
              <w:t>$15,121,986</w:t>
            </w:r>
          </w:p>
        </w:tc>
        <w:tc>
          <w:tcPr>
            <w:tcW w:w="60" w:type="dxa"/>
            <w:tcBorders/>
            <w:shd w:fill="CEE8F6" w:val="clear"/>
            <w:vAlign w:val="center"/>
          </w:tcPr>
          <w:p>
            <w:pPr>
              <w:pStyle w:val="TableContents"/>
              <w:spacing w:before="0" w:after="283"/>
              <w:rPr/>
            </w:pPr>
            <w:r>
              <w:rPr/>
              <w:t> </w:t>
            </w:r>
          </w:p>
        </w:tc>
        <w:tc>
          <w:tcPr>
            <w:tcW w:w="120" w:type="dxa"/>
            <w:tcBorders/>
            <w:shd w:fill="CEE8F6" w:val="clear"/>
            <w:vAlign w:val="center"/>
          </w:tcPr>
          <w:p>
            <w:pPr>
              <w:pStyle w:val="TableContents"/>
              <w:spacing w:before="0" w:after="283"/>
              <w:rPr/>
            </w:pPr>
            <w:r>
              <w:rPr/>
              <w:t>  </w:t>
            </w:r>
          </w:p>
        </w:tc>
        <w:tc>
          <w:tcPr>
            <w:tcW w:w="62" w:type="dxa"/>
            <w:tcBorders/>
            <w:shd w:fill="CEE8F6" w:val="clear"/>
            <w:vAlign w:val="center"/>
          </w:tcPr>
          <w:p>
            <w:pPr>
              <w:pStyle w:val="TableContents"/>
              <w:spacing w:before="0" w:after="283"/>
              <w:rPr/>
            </w:pPr>
            <w:r>
              <w:rPr/>
              <w:t> </w:t>
            </w:r>
          </w:p>
        </w:tc>
        <w:tc>
          <w:tcPr>
            <w:tcW w:w="1286" w:type="dxa"/>
            <w:tcBorders/>
            <w:shd w:fill="CEE8F6" w:val="clear"/>
            <w:vAlign w:val="center"/>
          </w:tcPr>
          <w:p>
            <w:pPr>
              <w:pStyle w:val="TableContents"/>
              <w:spacing w:before="0" w:after="283"/>
              <w:jc w:val="right"/>
              <w:rPr/>
            </w:pPr>
            <w:r>
              <w:rPr/>
              <w:t>$10,617,549</w:t>
            </w:r>
          </w:p>
        </w:tc>
        <w:tc>
          <w:tcPr>
            <w:tcW w:w="80" w:type="dxa"/>
            <w:tcBorders/>
            <w:shd w:fill="CEE8F6" w:val="clear"/>
            <w:vAlign w:val="center"/>
          </w:tcPr>
          <w:p>
            <w:pPr>
              <w:pStyle w:val="TableContents"/>
              <w:spacing w:before="0" w:after="283"/>
              <w:rPr/>
            </w:pPr>
            <w:r>
              <w:rPr/>
              <w:t> </w:t>
            </w:r>
          </w:p>
        </w:tc>
      </w:tr>
    </w:tbl>
    <w:p>
      <w:pPr>
        <w:pStyle w:val="TextBody"/>
        <w:spacing w:before="0" w:after="0"/>
        <w:jc w:val="left"/>
        <w:rPr/>
      </w:pPr>
      <w:r>
        <w:rPr/>
        <w:t> </w:t>
      </w:r>
    </w:p>
    <w:tbl>
      <w:tblPr>
        <w:tblW w:w="7660" w:type="dxa"/>
        <w:jc w:val="left"/>
        <w:tblInd w:w="0" w:type="dxa"/>
        <w:tblCellMar>
          <w:top w:w="0" w:type="dxa"/>
          <w:left w:w="0" w:type="dxa"/>
          <w:bottom w:w="0" w:type="dxa"/>
          <w:right w:w="0" w:type="dxa"/>
        </w:tblCellMar>
      </w:tblPr>
      <w:tblGrid>
        <w:gridCol w:w="1130"/>
        <w:gridCol w:w="60"/>
        <w:gridCol w:w="6470"/>
      </w:tblGrid>
      <w:tr>
        <w:trPr/>
        <w:tc>
          <w:tcPr>
            <w:tcW w:w="113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470" w:type="dxa"/>
            <w:tcBorders/>
            <w:shd w:fill="auto" w:val="clear"/>
            <w:vAlign w:val="center"/>
          </w:tcPr>
          <w:p>
            <w:pPr>
              <w:pStyle w:val="TableContents"/>
              <w:spacing w:before="0" w:after="283"/>
              <w:rPr>
                <w:sz w:val="4"/>
                <w:szCs w:val="4"/>
              </w:rPr>
            </w:pPr>
            <w:r>
              <w:rPr>
                <w:sz w:val="4"/>
                <w:szCs w:val="4"/>
              </w:rPr>
            </w:r>
          </w:p>
        </w:tc>
      </w:tr>
      <w:tr>
        <w:trPr/>
        <w:tc>
          <w:tcPr>
            <w:tcW w:w="1130" w:type="dxa"/>
            <w:tcBorders/>
            <w:shd w:fill="auto" w:val="clear"/>
            <w:vAlign w:val="center"/>
          </w:tcPr>
          <w:p>
            <w:pPr>
              <w:pStyle w:val="TableContents"/>
              <w:spacing w:before="0" w:after="0"/>
              <w:rPr>
                <w:i/>
                <w:caps w:val="false"/>
                <w:smallCaps w:val="false"/>
                <w:spacing w:val="0"/>
              </w:rPr>
            </w:pPr>
            <w:r>
              <w:rPr>
                <w:i/>
                <w:caps w:val="false"/>
                <w:smallCaps w:val="false"/>
                <w:spacing w:val="0"/>
              </w:rPr>
              <w:t>Column (d)</w:t>
            </w:r>
          </w:p>
        </w:tc>
        <w:tc>
          <w:tcPr>
            <w:tcW w:w="60" w:type="dxa"/>
            <w:tcBorders/>
            <w:shd w:fill="auto" w:val="clear"/>
            <w:vAlign w:val="center"/>
          </w:tcPr>
          <w:p>
            <w:pPr>
              <w:pStyle w:val="TableContents"/>
              <w:spacing w:before="0" w:after="283"/>
              <w:rPr/>
            </w:pPr>
            <w:r>
              <w:rPr/>
              <w:t> </w:t>
            </w:r>
          </w:p>
        </w:tc>
        <w:tc>
          <w:tcPr>
            <w:tcW w:w="6470" w:type="dxa"/>
            <w:tcBorders/>
            <w:shd w:fill="auto" w:val="clear"/>
            <w:vAlign w:val="center"/>
          </w:tcPr>
          <w:p>
            <w:pPr>
              <w:pStyle w:val="TableContents"/>
              <w:spacing w:before="0" w:after="0"/>
              <w:rPr>
                <w:rFonts w:ascii="ARIAL" w:hAnsi="ARIAL"/>
                <w:sz w:val="20"/>
              </w:rPr>
            </w:pPr>
            <w:r>
              <w:rPr>
                <w:rFonts w:ascii="ARIAL" w:hAnsi="ARIAL"/>
                <w:sz w:val="20"/>
              </w:rPr>
              <w:t xml:space="preserve">Reflects the average compensation amounts reported in the “SCT” for our </w:t>
            </w:r>
          </w:p>
          <w:p>
            <w:pPr>
              <w:pStyle w:val="TableContents"/>
              <w:spacing w:before="0" w:after="0"/>
              <w:rPr>
                <w:rFonts w:ascii="ARIAL" w:hAnsi="ARIAL"/>
                <w:spacing w:val="0"/>
                <w:sz w:val="20"/>
              </w:rPr>
            </w:pPr>
            <w:r>
              <w:rPr>
                <w:rFonts w:ascii="ARIAL" w:hAnsi="ARIAL"/>
                <w:spacing w:val="0"/>
                <w:sz w:val="20"/>
              </w:rPr>
              <w:t>Non-PEO</w:t>
            </w:r>
          </w:p>
          <w:p>
            <w:pPr>
              <w:pStyle w:val="TableContents"/>
              <w:spacing w:before="0" w:after="0"/>
              <w:rPr>
                <w:rFonts w:ascii="ARIAL" w:hAnsi="ARIAL"/>
                <w:sz w:val="20"/>
              </w:rPr>
            </w:pPr>
            <w:r>
              <w:rPr>
                <w:rFonts w:ascii="ARIAL" w:hAnsi="ARIAL"/>
                <w:sz w:val="20"/>
              </w:rPr>
              <w:t>NEOs.</w:t>
            </w:r>
          </w:p>
          <w:p>
            <w:pPr>
              <w:pStyle w:val="TableContents"/>
              <w:spacing w:before="0" w:after="20"/>
              <w:rPr/>
            </w:pPr>
            <w:r>
              <w:rPr/>
              <w:t> </w:t>
            </w:r>
          </w:p>
        </w:tc>
      </w:tr>
    </w:tbl>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77</w:t>
      </w:r>
    </w:p>
    <w:p>
      <w:pPr>
        <w:pStyle w:val="HorizontalLine"/>
        <w:rPr/>
      </w:pPr>
      <w:r>
        <w:rPr/>
      </w:r>
    </w:p>
    <w:p>
      <w:pPr>
        <w:pStyle w:val="TextBody"/>
        <w:spacing w:before="0" w:after="0"/>
        <w:rPr/>
      </w:pPr>
      <w:hyperlink w:anchor="toc">
        <w:r>
          <w:rPr>
            <w:rStyle w:val="InternetLink"/>
          </w:rPr>
          <w:t>Table of Contents</w:t>
        </w:r>
      </w:hyperlink>
    </w:p>
    <w:tbl>
      <w:tblPr>
        <w:tblW w:w="8050" w:type="dxa"/>
        <w:jc w:val="left"/>
        <w:tblInd w:w="0" w:type="dxa"/>
        <w:tblCellMar>
          <w:top w:w="0" w:type="dxa"/>
          <w:left w:w="0" w:type="dxa"/>
          <w:bottom w:w="0" w:type="dxa"/>
          <w:right w:w="0" w:type="dxa"/>
        </w:tblCellMar>
      </w:tblPr>
      <w:tblGrid>
        <w:gridCol w:w="1115"/>
        <w:gridCol w:w="60"/>
        <w:gridCol w:w="6875"/>
      </w:tblGrid>
      <w:tr>
        <w:trPr/>
        <w:tc>
          <w:tcPr>
            <w:tcW w:w="11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875" w:type="dxa"/>
            <w:tcBorders/>
            <w:shd w:fill="auto" w:val="clear"/>
            <w:vAlign w:val="center"/>
          </w:tcPr>
          <w:p>
            <w:pPr>
              <w:pStyle w:val="TableContents"/>
              <w:spacing w:before="0" w:after="283"/>
              <w:rPr>
                <w:sz w:val="4"/>
                <w:szCs w:val="4"/>
              </w:rPr>
            </w:pPr>
            <w:r>
              <w:rPr>
                <w:sz w:val="4"/>
                <w:szCs w:val="4"/>
              </w:rPr>
            </w:r>
          </w:p>
        </w:tc>
      </w:tr>
      <w:tr>
        <w:trPr/>
        <w:tc>
          <w:tcPr>
            <w:tcW w:w="1115" w:type="dxa"/>
            <w:tcBorders/>
            <w:shd w:fill="auto" w:val="clear"/>
            <w:vAlign w:val="center"/>
          </w:tcPr>
          <w:p>
            <w:pPr>
              <w:pStyle w:val="TableContents"/>
              <w:spacing w:before="0" w:after="0"/>
              <w:rPr>
                <w:i/>
                <w:caps w:val="false"/>
                <w:smallCaps w:val="false"/>
                <w:spacing w:val="0"/>
              </w:rPr>
            </w:pPr>
            <w:r>
              <w:rPr>
                <w:i/>
                <w:caps w:val="false"/>
                <w:smallCaps w:val="false"/>
                <w:spacing w:val="0"/>
              </w:rPr>
              <w:t>Column (e)</w:t>
            </w:r>
          </w:p>
        </w:tc>
        <w:tc>
          <w:tcPr>
            <w:tcW w:w="60" w:type="dxa"/>
            <w:tcBorders/>
            <w:shd w:fill="auto" w:val="clear"/>
            <w:vAlign w:val="center"/>
          </w:tcPr>
          <w:p>
            <w:pPr>
              <w:pStyle w:val="TableContents"/>
              <w:spacing w:before="0" w:after="283"/>
              <w:rPr/>
            </w:pPr>
            <w:r>
              <w:rPr/>
              <w:t> </w:t>
            </w:r>
          </w:p>
        </w:tc>
        <w:tc>
          <w:tcPr>
            <w:tcW w:w="6875" w:type="dxa"/>
            <w:tcBorders/>
            <w:shd w:fill="auto" w:val="clear"/>
            <w:vAlign w:val="center"/>
          </w:tcPr>
          <w:p>
            <w:pPr>
              <w:pStyle w:val="TableContents"/>
              <w:spacing w:before="0" w:after="0"/>
              <w:rPr>
                <w:rFonts w:ascii="ARIAL" w:hAnsi="ARIAL"/>
                <w:sz w:val="20"/>
              </w:rPr>
            </w:pPr>
            <w:r>
              <w:rPr>
                <w:rFonts w:ascii="ARIAL" w:hAnsi="ARIAL"/>
                <w:sz w:val="20"/>
              </w:rPr>
              <w:t xml:space="preserve">The following </w:t>
            </w:r>
          </w:p>
          <w:p>
            <w:pPr>
              <w:pStyle w:val="TableContents"/>
              <w:spacing w:before="0" w:after="0"/>
              <w:rPr>
                <w:rFonts w:ascii="ARIAL" w:hAnsi="ARIAL"/>
                <w:spacing w:val="0"/>
                <w:sz w:val="20"/>
              </w:rPr>
            </w:pPr>
            <w:r>
              <w:rPr>
                <w:rFonts w:ascii="ARIAL" w:hAnsi="ARIAL"/>
                <w:spacing w:val="0"/>
                <w:sz w:val="20"/>
              </w:rPr>
              <w:t>Non-PEO</w:t>
            </w:r>
          </w:p>
          <w:p>
            <w:pPr>
              <w:pStyle w:val="TableContents"/>
              <w:spacing w:before="0" w:after="0"/>
              <w:rPr>
                <w:rFonts w:ascii="ARIAL" w:hAnsi="ARIAL"/>
                <w:sz w:val="20"/>
              </w:rPr>
            </w:pPr>
            <w:r>
              <w:rPr>
                <w:rFonts w:ascii="ARIAL" w:hAnsi="ARIAL"/>
                <w:sz w:val="20"/>
              </w:rPr>
              <w:t>NEOs are included in the average figures shown below:</w:t>
            </w:r>
          </w:p>
          <w:p>
            <w:pPr>
              <w:pStyle w:val="TableContents"/>
              <w:spacing w:before="0" w:after="0"/>
              <w:rPr/>
            </w:pPr>
            <w:r>
              <w:rPr/>
              <w:t> </w:t>
            </w:r>
          </w:p>
          <w:p>
            <w:pPr>
              <w:pStyle w:val="TableContents"/>
              <w:spacing w:before="0" w:after="0"/>
              <w:rPr>
                <w:rFonts w:ascii="ARIAL" w:hAnsi="ARIAL"/>
                <w:sz w:val="20"/>
              </w:rPr>
            </w:pPr>
            <w:r>
              <w:rPr>
                <w:rFonts w:ascii="ARIAL" w:hAnsi="ARIAL"/>
                <w:sz w:val="20"/>
              </w:rPr>
              <w:t>2022 – Wayne T. Smith, Kevin Hammons, Lynn Simon, and Mark B. Medley</w:t>
            </w:r>
          </w:p>
          <w:p>
            <w:pPr>
              <w:pStyle w:val="TableContents"/>
              <w:spacing w:before="0" w:after="0"/>
              <w:rPr/>
            </w:pPr>
            <w:r>
              <w:rPr/>
              <w:t> </w:t>
            </w:r>
          </w:p>
          <w:p>
            <w:pPr>
              <w:pStyle w:val="TableContents"/>
              <w:spacing w:before="0" w:after="0"/>
              <w:rPr>
                <w:rFonts w:ascii="ARIAL" w:hAnsi="ARIAL"/>
                <w:sz w:val="20"/>
              </w:rPr>
            </w:pPr>
            <w:r>
              <w:rPr>
                <w:rFonts w:ascii="ARIAL" w:hAnsi="ARIAL"/>
                <w:sz w:val="20"/>
              </w:rPr>
              <w:t>2021 – Wayne T. Smith, Kevin Hammons, Lynn Simon and Benjamin Fordham</w:t>
            </w:r>
          </w:p>
          <w:p>
            <w:pPr>
              <w:pStyle w:val="TableContents"/>
              <w:spacing w:before="0" w:after="0"/>
              <w:rPr/>
            </w:pPr>
            <w:r>
              <w:rPr/>
              <w:t> </w:t>
            </w:r>
          </w:p>
          <w:p>
            <w:pPr>
              <w:pStyle w:val="TableContents"/>
              <w:spacing w:before="0" w:after="20"/>
              <w:rPr>
                <w:rFonts w:ascii="ARIAL" w:hAnsi="ARIAL"/>
                <w:sz w:val="20"/>
              </w:rPr>
            </w:pPr>
            <w:r>
              <w:rPr>
                <w:rFonts w:ascii="ARIAL" w:hAnsi="ARIAL"/>
                <w:sz w:val="20"/>
              </w:rPr>
              <w:t>2020 – Tim Hingtgen, Kevin Hammons, Lynn Simon and Benjamin Fordham</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5925"/>
        <w:gridCol w:w="120"/>
        <w:gridCol w:w="60"/>
        <w:gridCol w:w="1222"/>
        <w:gridCol w:w="60"/>
        <w:gridCol w:w="120"/>
        <w:gridCol w:w="60"/>
        <w:gridCol w:w="1222"/>
        <w:gridCol w:w="60"/>
        <w:gridCol w:w="120"/>
        <w:gridCol w:w="60"/>
        <w:gridCol w:w="1100"/>
        <w:gridCol w:w="76"/>
      </w:tblGrid>
      <w:tr>
        <w:trPr/>
        <w:tc>
          <w:tcPr>
            <w:tcW w:w="592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2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2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76" w:type="dxa"/>
            <w:tcBorders/>
            <w:shd w:fill="auto" w:val="clear"/>
            <w:vAlign w:val="center"/>
          </w:tcPr>
          <w:p>
            <w:pPr>
              <w:pStyle w:val="TableContents"/>
              <w:spacing w:before="0" w:after="283"/>
              <w:rPr>
                <w:sz w:val="4"/>
                <w:szCs w:val="4"/>
              </w:rPr>
            </w:pPr>
            <w:r>
              <w:rPr>
                <w:sz w:val="4"/>
                <w:szCs w:val="4"/>
              </w:rPr>
            </w:r>
          </w:p>
        </w:tc>
      </w:tr>
      <w:tr>
        <w:trPr/>
        <w:tc>
          <w:tcPr>
            <w:tcW w:w="592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82" w:type="dxa"/>
            <w:gridSpan w:val="2"/>
            <w:tcBorders>
              <w:bottom w:val="single" w:sz="2" w:space="0" w:color="000000"/>
            </w:tcBorders>
            <w:shd w:fill="auto" w:val="clear"/>
            <w:tcMar>
              <w:bottom w:w="28" w:type="dxa"/>
            </w:tcMar>
            <w:vAlign w:val="center"/>
          </w:tcPr>
          <w:p>
            <w:pPr>
              <w:pStyle w:val="TableContents"/>
              <w:spacing w:before="0" w:after="0"/>
              <w:jc w:val="center"/>
              <w:rPr>
                <w:b/>
                <w:spacing w:val="0"/>
              </w:rPr>
            </w:pPr>
            <w:r>
              <w:rPr>
                <w:b/>
                <w:spacing w:val="0"/>
              </w:rPr>
              <w:t>2022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82" w:type="dxa"/>
            <w:gridSpan w:val="2"/>
            <w:tcBorders>
              <w:bottom w:val="single" w:sz="2" w:space="0" w:color="000000"/>
            </w:tcBorders>
            <w:shd w:fill="auto" w:val="clear"/>
            <w:tcMar>
              <w:bottom w:w="28" w:type="dxa"/>
            </w:tcMar>
            <w:vAlign w:val="center"/>
          </w:tcPr>
          <w:p>
            <w:pPr>
              <w:pStyle w:val="TableContents"/>
              <w:spacing w:before="0" w:after="0"/>
              <w:jc w:val="center"/>
              <w:rPr>
                <w:b/>
                <w:spacing w:val="0"/>
              </w:rPr>
            </w:pPr>
            <w:r>
              <w:rPr>
                <w:b/>
                <w:spacing w:val="0"/>
              </w:rPr>
              <w:t>2021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60" w:type="dxa"/>
            <w:gridSpan w:val="2"/>
            <w:tcBorders>
              <w:bottom w:val="single" w:sz="2" w:space="0" w:color="000000"/>
            </w:tcBorders>
            <w:shd w:fill="auto" w:val="clear"/>
            <w:tcMar>
              <w:bottom w:w="28" w:type="dxa"/>
            </w:tcMar>
            <w:vAlign w:val="center"/>
          </w:tcPr>
          <w:p>
            <w:pPr>
              <w:pStyle w:val="TableContents"/>
              <w:spacing w:before="0" w:after="0"/>
              <w:jc w:val="center"/>
              <w:rPr>
                <w:b/>
                <w:spacing w:val="0"/>
              </w:rPr>
            </w:pPr>
            <w:r>
              <w:rPr>
                <w:b/>
                <w:spacing w:val="0"/>
              </w:rPr>
              <w:t>2020</w:t>
            </w:r>
          </w:p>
        </w:tc>
        <w:tc>
          <w:tcPr>
            <w:tcW w:w="76" w:type="dxa"/>
            <w:tcBorders/>
            <w:shd w:fill="auto" w:val="clear"/>
            <w:vAlign w:val="center"/>
          </w:tcPr>
          <w:p>
            <w:pPr>
              <w:pStyle w:val="TableContents"/>
              <w:spacing w:before="0" w:after="283"/>
              <w:rPr/>
            </w:pPr>
            <w:r>
              <w:rPr/>
              <w:t> </w:t>
            </w:r>
          </w:p>
        </w:tc>
      </w:tr>
      <w:tr>
        <w:trPr/>
        <w:tc>
          <w:tcPr>
            <w:tcW w:w="5925" w:type="dxa"/>
            <w:tcBorders/>
            <w:shd w:fill="CEE8F6" w:val="clear"/>
            <w:vAlign w:val="center"/>
          </w:tcPr>
          <w:p>
            <w:pPr>
              <w:pStyle w:val="TableContents"/>
              <w:spacing w:before="0" w:after="0"/>
              <w:rPr>
                <w:rFonts w:ascii="ARIAL" w:hAnsi="ARIAL"/>
                <w:sz w:val="20"/>
              </w:rPr>
            </w:pPr>
            <w:r>
              <w:rPr>
                <w:rFonts w:ascii="ARIAL" w:hAnsi="ARIAL"/>
                <w:sz w:val="20"/>
              </w:rPr>
              <w:t>Total Compensation per the SCT</w:t>
            </w:r>
          </w:p>
        </w:tc>
        <w:tc>
          <w:tcPr>
            <w:tcW w:w="12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before="0" w:after="283"/>
              <w:rPr/>
            </w:pPr>
            <w:r>
              <w:rPr/>
              <w:t> </w:t>
            </w:r>
          </w:p>
        </w:tc>
        <w:tc>
          <w:tcPr>
            <w:tcW w:w="1222" w:type="dxa"/>
            <w:tcBorders/>
            <w:shd w:fill="CEE8F6" w:val="clear"/>
            <w:vAlign w:val="center"/>
          </w:tcPr>
          <w:p>
            <w:pPr>
              <w:pStyle w:val="TableContents"/>
              <w:spacing w:before="0" w:after="283"/>
              <w:jc w:val="right"/>
              <w:rPr/>
            </w:pPr>
            <w:r>
              <w:rPr/>
              <w:t>$3,694,426</w:t>
            </w:r>
          </w:p>
        </w:tc>
        <w:tc>
          <w:tcPr>
            <w:tcW w:w="60" w:type="dxa"/>
            <w:tcBorders/>
            <w:shd w:fill="CEE8F6" w:val="clear"/>
            <w:vAlign w:val="center"/>
          </w:tcPr>
          <w:p>
            <w:pPr>
              <w:pStyle w:val="TableContents"/>
              <w:spacing w:before="0" w:after="283"/>
              <w:rPr/>
            </w:pPr>
            <w:r>
              <w:rPr/>
              <w:t> </w:t>
            </w:r>
          </w:p>
        </w:tc>
        <w:tc>
          <w:tcPr>
            <w:tcW w:w="12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before="0" w:after="283"/>
              <w:rPr/>
            </w:pPr>
            <w:r>
              <w:rPr/>
              <w:t> </w:t>
            </w:r>
          </w:p>
        </w:tc>
        <w:tc>
          <w:tcPr>
            <w:tcW w:w="1222" w:type="dxa"/>
            <w:tcBorders/>
            <w:shd w:fill="CEE8F6" w:val="clear"/>
            <w:vAlign w:val="center"/>
          </w:tcPr>
          <w:p>
            <w:pPr>
              <w:pStyle w:val="TableContents"/>
              <w:spacing w:before="0" w:after="283"/>
              <w:jc w:val="right"/>
              <w:rPr/>
            </w:pPr>
            <w:r>
              <w:rPr/>
              <w:t>$5,415,424</w:t>
            </w:r>
          </w:p>
        </w:tc>
        <w:tc>
          <w:tcPr>
            <w:tcW w:w="60" w:type="dxa"/>
            <w:tcBorders/>
            <w:shd w:fill="CEE8F6" w:val="clear"/>
            <w:vAlign w:val="center"/>
          </w:tcPr>
          <w:p>
            <w:pPr>
              <w:pStyle w:val="TableContents"/>
              <w:spacing w:before="0" w:after="283"/>
              <w:rPr/>
            </w:pPr>
            <w:r>
              <w:rPr/>
              <w:t> </w:t>
            </w:r>
          </w:p>
        </w:tc>
        <w:tc>
          <w:tcPr>
            <w:tcW w:w="12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before="0" w:after="283"/>
              <w:rPr/>
            </w:pPr>
            <w:r>
              <w:rPr/>
              <w:t> </w:t>
            </w:r>
          </w:p>
        </w:tc>
        <w:tc>
          <w:tcPr>
            <w:tcW w:w="1100" w:type="dxa"/>
            <w:tcBorders/>
            <w:shd w:fill="CEE8F6" w:val="clear"/>
            <w:vAlign w:val="center"/>
          </w:tcPr>
          <w:p>
            <w:pPr>
              <w:pStyle w:val="TableContents"/>
              <w:spacing w:before="0" w:after="283"/>
              <w:jc w:val="right"/>
              <w:rPr/>
            </w:pPr>
            <w:r>
              <w:rPr/>
              <w:t>$3,717,051</w:t>
            </w:r>
          </w:p>
        </w:tc>
        <w:tc>
          <w:tcPr>
            <w:tcW w:w="76" w:type="dxa"/>
            <w:tcBorders/>
            <w:shd w:fill="CEE8F6" w:val="clear"/>
            <w:vAlign w:val="center"/>
          </w:tcPr>
          <w:p>
            <w:pPr>
              <w:pStyle w:val="TableContents"/>
              <w:spacing w:before="0" w:after="283"/>
              <w:rPr/>
            </w:pPr>
            <w:r>
              <w:rPr/>
              <w:t> </w:t>
            </w:r>
          </w:p>
        </w:tc>
      </w:tr>
      <w:tr>
        <w:trPr/>
        <w:tc>
          <w:tcPr>
            <w:tcW w:w="5925" w:type="dxa"/>
            <w:tcBorders/>
            <w:shd w:fill="auto" w:val="clear"/>
            <w:vAlign w:val="center"/>
          </w:tcPr>
          <w:p>
            <w:pPr>
              <w:pStyle w:val="TableContents"/>
              <w:spacing w:before="0" w:after="0"/>
              <w:rPr>
                <w:rFonts w:ascii="ARIAL" w:hAnsi="ARIAL"/>
                <w:sz w:val="20"/>
              </w:rPr>
            </w:pPr>
            <w:r>
              <w:rPr>
                <w:rFonts w:ascii="ARIAL" w:hAnsi="ARIAL"/>
                <w:sz w:val="20"/>
              </w:rPr>
              <w:t>Less: Stock and Option Award values reported in the SCT</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22" w:type="dxa"/>
            <w:tcBorders/>
            <w:shd w:fill="auto" w:val="clear"/>
            <w:vAlign w:val="center"/>
          </w:tcPr>
          <w:p>
            <w:pPr>
              <w:pStyle w:val="TableContents"/>
              <w:spacing w:before="0" w:after="283"/>
              <w:jc w:val="right"/>
              <w:rPr/>
            </w:pPr>
            <w:r>
              <w:rPr/>
              <w:t>($2,138,500)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22" w:type="dxa"/>
            <w:tcBorders/>
            <w:shd w:fill="auto" w:val="clear"/>
            <w:vAlign w:val="center"/>
          </w:tcPr>
          <w:p>
            <w:pPr>
              <w:pStyle w:val="TableContents"/>
              <w:spacing w:before="0" w:after="283"/>
              <w:jc w:val="right"/>
              <w:rPr/>
            </w:pPr>
            <w:r>
              <w:rPr/>
              <w:t>($1,850,378)</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($938,934)</w:t>
            </w:r>
          </w:p>
        </w:tc>
        <w:tc>
          <w:tcPr>
            <w:tcW w:w="76" w:type="dxa"/>
            <w:tcBorders/>
            <w:shd w:fill="auto" w:val="clear"/>
            <w:vAlign w:val="center"/>
          </w:tcPr>
          <w:p>
            <w:pPr>
              <w:pStyle w:val="TableContents"/>
              <w:spacing w:before="0" w:after="283"/>
              <w:rPr/>
            </w:pPr>
            <w:r>
              <w:rPr/>
              <w:t> </w:t>
            </w:r>
          </w:p>
        </w:tc>
      </w:tr>
      <w:tr>
        <w:trPr/>
        <w:tc>
          <w:tcPr>
            <w:tcW w:w="5925" w:type="dxa"/>
            <w:tcBorders/>
            <w:shd w:fill="CEE8F6" w:val="clear"/>
            <w:vAlign w:val="center"/>
          </w:tcPr>
          <w:p>
            <w:pPr>
              <w:pStyle w:val="TableContents"/>
              <w:spacing w:before="0" w:after="0"/>
              <w:rPr>
                <w:rFonts w:ascii="ARIAL" w:hAnsi="ARIAL"/>
                <w:sz w:val="20"/>
              </w:rPr>
            </w:pPr>
            <w:r>
              <w:rPr>
                <w:rFonts w:ascii="ARIAL" w:hAnsi="ARIAL"/>
                <w:sz w:val="20"/>
              </w:rPr>
              <w:t>Plus: Fair Value of Stock and Option Awards Granted during the Covered Year</w:t>
            </w:r>
          </w:p>
        </w:tc>
        <w:tc>
          <w:tcPr>
            <w:tcW w:w="12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before="0" w:after="283"/>
              <w:rPr/>
            </w:pPr>
            <w:r>
              <w:rPr/>
              <w:t> </w:t>
            </w:r>
          </w:p>
        </w:tc>
        <w:tc>
          <w:tcPr>
            <w:tcW w:w="1222" w:type="dxa"/>
            <w:tcBorders/>
            <w:shd w:fill="CEE8F6" w:val="clear"/>
            <w:vAlign w:val="center"/>
          </w:tcPr>
          <w:p>
            <w:pPr>
              <w:pStyle w:val="TableContents"/>
              <w:spacing w:before="0" w:after="283"/>
              <w:jc w:val="right"/>
              <w:rPr/>
            </w:pPr>
            <w:r>
              <w:rPr/>
              <w:t>$917,325</w:t>
            </w:r>
          </w:p>
        </w:tc>
        <w:tc>
          <w:tcPr>
            <w:tcW w:w="60" w:type="dxa"/>
            <w:tcBorders/>
            <w:shd w:fill="CEE8F6" w:val="clear"/>
            <w:vAlign w:val="center"/>
          </w:tcPr>
          <w:p>
            <w:pPr>
              <w:pStyle w:val="TableContents"/>
              <w:spacing w:before="0" w:after="283"/>
              <w:rPr/>
            </w:pPr>
            <w:r>
              <w:rPr/>
              <w:t> </w:t>
            </w:r>
          </w:p>
        </w:tc>
        <w:tc>
          <w:tcPr>
            <w:tcW w:w="12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before="0" w:after="283"/>
              <w:rPr/>
            </w:pPr>
            <w:r>
              <w:rPr/>
              <w:t> </w:t>
            </w:r>
          </w:p>
        </w:tc>
        <w:tc>
          <w:tcPr>
            <w:tcW w:w="1222" w:type="dxa"/>
            <w:tcBorders/>
            <w:shd w:fill="CEE8F6" w:val="clear"/>
            <w:vAlign w:val="center"/>
          </w:tcPr>
          <w:p>
            <w:pPr>
              <w:pStyle w:val="TableContents"/>
              <w:spacing w:before="0" w:after="283"/>
              <w:jc w:val="right"/>
              <w:rPr/>
            </w:pPr>
            <w:r>
              <w:rPr/>
              <w:t>$2,785,947</w:t>
            </w:r>
          </w:p>
        </w:tc>
        <w:tc>
          <w:tcPr>
            <w:tcW w:w="60" w:type="dxa"/>
            <w:tcBorders/>
            <w:shd w:fill="CEE8F6" w:val="clear"/>
            <w:vAlign w:val="center"/>
          </w:tcPr>
          <w:p>
            <w:pPr>
              <w:pStyle w:val="TableContents"/>
              <w:spacing w:before="0" w:after="283"/>
              <w:rPr/>
            </w:pPr>
            <w:r>
              <w:rPr/>
              <w:t> </w:t>
            </w:r>
          </w:p>
        </w:tc>
        <w:tc>
          <w:tcPr>
            <w:tcW w:w="12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before="0" w:after="283"/>
              <w:rPr/>
            </w:pPr>
            <w:r>
              <w:rPr/>
              <w:t> </w:t>
            </w:r>
          </w:p>
        </w:tc>
        <w:tc>
          <w:tcPr>
            <w:tcW w:w="1100" w:type="dxa"/>
            <w:tcBorders/>
            <w:shd w:fill="CEE8F6" w:val="clear"/>
            <w:vAlign w:val="center"/>
          </w:tcPr>
          <w:p>
            <w:pPr>
              <w:pStyle w:val="TableContents"/>
              <w:spacing w:before="0" w:after="283"/>
              <w:jc w:val="right"/>
              <w:rPr/>
            </w:pPr>
            <w:r>
              <w:rPr/>
              <w:t>$1,437,441</w:t>
            </w:r>
          </w:p>
        </w:tc>
        <w:tc>
          <w:tcPr>
            <w:tcW w:w="76" w:type="dxa"/>
            <w:tcBorders/>
            <w:shd w:fill="CEE8F6" w:val="clear"/>
            <w:vAlign w:val="center"/>
          </w:tcPr>
          <w:p>
            <w:pPr>
              <w:pStyle w:val="TableContents"/>
              <w:spacing w:before="0" w:after="283"/>
              <w:rPr/>
            </w:pPr>
            <w:r>
              <w:rPr/>
              <w:t> </w:t>
            </w:r>
          </w:p>
        </w:tc>
      </w:tr>
      <w:tr>
        <w:trPr/>
        <w:tc>
          <w:tcPr>
            <w:tcW w:w="5925" w:type="dxa"/>
            <w:tcBorders/>
            <w:shd w:fill="auto" w:val="clear"/>
            <w:vAlign w:val="center"/>
          </w:tcPr>
          <w:p>
            <w:pPr>
              <w:pStyle w:val="TableContents"/>
              <w:spacing w:before="0" w:after="0"/>
              <w:rPr>
                <w:rFonts w:ascii="ARIAL" w:hAnsi="ARIAL"/>
                <w:sz w:val="20"/>
              </w:rPr>
            </w:pPr>
            <w:r>
              <w:rPr>
                <w:rFonts w:ascii="ARIAL" w:hAnsi="ARIAL"/>
                <w:sz w:val="20"/>
              </w:rPr>
              <w:t>Change in Fair Value of Outstanding Unvested Stock and Option Awards from Prior Years</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22" w:type="dxa"/>
            <w:tcBorders/>
            <w:shd w:fill="auto" w:val="clear"/>
            <w:vAlign w:val="center"/>
          </w:tcPr>
          <w:p>
            <w:pPr>
              <w:pStyle w:val="TableContents"/>
              <w:spacing w:before="0" w:after="283"/>
              <w:jc w:val="right"/>
              <w:rPr/>
            </w:pPr>
            <w:r>
              <w:rPr/>
              <w:t>($2,595,277)</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22" w:type="dxa"/>
            <w:tcBorders/>
            <w:shd w:fill="auto" w:val="clear"/>
            <w:vAlign w:val="center"/>
          </w:tcPr>
          <w:p>
            <w:pPr>
              <w:pStyle w:val="TableContents"/>
              <w:spacing w:before="0" w:after="283"/>
              <w:jc w:val="right"/>
              <w:rPr/>
            </w:pPr>
            <w:r>
              <w:rPr/>
              <w:t>$1,489,657</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$672,792</w:t>
            </w:r>
          </w:p>
        </w:tc>
        <w:tc>
          <w:tcPr>
            <w:tcW w:w="76" w:type="dxa"/>
            <w:tcBorders/>
            <w:shd w:fill="auto" w:val="clear"/>
            <w:vAlign w:val="center"/>
          </w:tcPr>
          <w:p>
            <w:pPr>
              <w:pStyle w:val="TableContents"/>
              <w:spacing w:before="0" w:after="283"/>
              <w:rPr/>
            </w:pPr>
            <w:r>
              <w:rPr/>
              <w:t> </w:t>
            </w:r>
          </w:p>
        </w:tc>
      </w:tr>
      <w:tr>
        <w:trPr/>
        <w:tc>
          <w:tcPr>
            <w:tcW w:w="5925" w:type="dxa"/>
            <w:tcBorders/>
            <w:shd w:fill="CEE8F6" w:val="clear"/>
            <w:vAlign w:val="center"/>
          </w:tcPr>
          <w:p>
            <w:pPr>
              <w:pStyle w:val="TableContents"/>
              <w:spacing w:before="0" w:after="0"/>
              <w:rPr>
                <w:rFonts w:ascii="ARIAL" w:hAnsi="ARIAL"/>
                <w:sz w:val="20"/>
              </w:rPr>
            </w:pPr>
            <w:r>
              <w:rPr>
                <w:rFonts w:ascii="ARIAL" w:hAnsi="ARIAL"/>
                <w:sz w:val="20"/>
              </w:rPr>
              <w:t>Change in Fair Value of Stock and Option Awards from Prior Years that Vested in the Covered Year</w:t>
            </w:r>
          </w:p>
        </w:tc>
        <w:tc>
          <w:tcPr>
            <w:tcW w:w="12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before="0" w:after="283"/>
              <w:rPr/>
            </w:pPr>
            <w:r>
              <w:rPr/>
              <w:t> </w:t>
            </w:r>
          </w:p>
        </w:tc>
        <w:tc>
          <w:tcPr>
            <w:tcW w:w="1222" w:type="dxa"/>
            <w:tcBorders/>
            <w:shd w:fill="CEE8F6" w:val="clear"/>
            <w:vAlign w:val="center"/>
          </w:tcPr>
          <w:p>
            <w:pPr>
              <w:pStyle w:val="TableContents"/>
              <w:spacing w:before="0" w:after="283"/>
              <w:jc w:val="right"/>
              <w:rPr/>
            </w:pPr>
            <w:r>
              <w:rPr/>
              <w:t>$86,796</w:t>
            </w:r>
          </w:p>
        </w:tc>
        <w:tc>
          <w:tcPr>
            <w:tcW w:w="60" w:type="dxa"/>
            <w:tcBorders/>
            <w:shd w:fill="CEE8F6" w:val="clear"/>
            <w:vAlign w:val="center"/>
          </w:tcPr>
          <w:p>
            <w:pPr>
              <w:pStyle w:val="TableContents"/>
              <w:spacing w:before="0" w:after="283"/>
              <w:rPr/>
            </w:pPr>
            <w:r>
              <w:rPr/>
              <w:t> </w:t>
            </w:r>
          </w:p>
        </w:tc>
        <w:tc>
          <w:tcPr>
            <w:tcW w:w="12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before="0" w:after="283"/>
              <w:rPr/>
            </w:pPr>
            <w:r>
              <w:rPr/>
              <w:t> </w:t>
            </w:r>
          </w:p>
        </w:tc>
        <w:tc>
          <w:tcPr>
            <w:tcW w:w="1222" w:type="dxa"/>
            <w:tcBorders/>
            <w:shd w:fill="CEE8F6" w:val="clear"/>
            <w:vAlign w:val="center"/>
          </w:tcPr>
          <w:p>
            <w:pPr>
              <w:pStyle w:val="TableContents"/>
              <w:spacing w:before="0" w:after="283"/>
              <w:jc w:val="right"/>
              <w:rPr/>
            </w:pPr>
            <w:r>
              <w:rPr/>
              <w:t>$632,161</w:t>
            </w:r>
          </w:p>
        </w:tc>
        <w:tc>
          <w:tcPr>
            <w:tcW w:w="60" w:type="dxa"/>
            <w:tcBorders/>
            <w:shd w:fill="CEE8F6" w:val="clear"/>
            <w:vAlign w:val="center"/>
          </w:tcPr>
          <w:p>
            <w:pPr>
              <w:pStyle w:val="TableContents"/>
              <w:spacing w:before="0" w:after="283"/>
              <w:rPr/>
            </w:pPr>
            <w:r>
              <w:rPr/>
              <w:t> </w:t>
            </w:r>
          </w:p>
        </w:tc>
        <w:tc>
          <w:tcPr>
            <w:tcW w:w="12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before="0" w:after="283"/>
              <w:rPr/>
            </w:pPr>
            <w:r>
              <w:rPr/>
              <w:t> </w:t>
            </w:r>
          </w:p>
        </w:tc>
        <w:tc>
          <w:tcPr>
            <w:tcW w:w="1100" w:type="dxa"/>
            <w:tcBorders/>
            <w:shd w:fill="CEE8F6" w:val="clear"/>
            <w:vAlign w:val="center"/>
          </w:tcPr>
          <w:p>
            <w:pPr>
              <w:pStyle w:val="TableContents"/>
              <w:spacing w:before="0" w:after="283"/>
              <w:jc w:val="right"/>
              <w:rPr/>
            </w:pPr>
            <w:r>
              <w:rPr/>
              <w:t>$84,144</w:t>
            </w:r>
          </w:p>
        </w:tc>
        <w:tc>
          <w:tcPr>
            <w:tcW w:w="76" w:type="dxa"/>
            <w:tcBorders/>
            <w:shd w:fill="CEE8F6" w:val="clear"/>
            <w:vAlign w:val="center"/>
          </w:tcPr>
          <w:p>
            <w:pPr>
              <w:pStyle w:val="TableContents"/>
              <w:spacing w:before="0" w:after="283"/>
              <w:rPr/>
            </w:pPr>
            <w:r>
              <w:rPr/>
              <w:t> </w:t>
            </w:r>
          </w:p>
        </w:tc>
      </w:tr>
      <w:tr>
        <w:trPr/>
        <w:tc>
          <w:tcPr>
            <w:tcW w:w="5925" w:type="dxa"/>
            <w:tcBorders/>
            <w:shd w:fill="auto" w:val="clear"/>
            <w:vAlign w:val="center"/>
          </w:tcPr>
          <w:p>
            <w:pPr>
              <w:pStyle w:val="TableContents"/>
              <w:spacing w:before="0" w:after="0"/>
              <w:rPr>
                <w:rFonts w:ascii="ARIAL" w:hAnsi="ARIAL"/>
                <w:sz w:val="20"/>
              </w:rPr>
            </w:pPr>
            <w:r>
              <w:rPr>
                <w:rFonts w:ascii="ARIAL" w:hAnsi="ARIAL"/>
                <w:sz w:val="20"/>
              </w:rPr>
              <w:t>Less: Fair Value of Stock and Option Awards Forfeited during the Covered Year</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22" w:type="dxa"/>
            <w:tcBorders/>
            <w:shd w:fill="auto" w:val="clear"/>
            <w:vAlign w:val="center"/>
          </w:tcPr>
          <w:p>
            <w:pPr>
              <w:pStyle w:val="TableContents"/>
              <w:spacing w:before="0" w:after="283"/>
              <w:jc w:val="right"/>
              <w:rPr/>
            </w:pPr>
            <w:r>
              <w:rPr/>
              <w:t>($90,820)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22" w:type="dxa"/>
            <w:tcBorders/>
            <w:shd w:fill="auto" w:val="clear"/>
            <w:vAlign w:val="center"/>
          </w:tcPr>
          <w:p>
            <w:pPr>
              <w:pStyle w:val="TableContents"/>
              <w:spacing w:before="0" w:after="283"/>
              <w:jc w:val="right"/>
              <w:rPr/>
            </w:pPr>
            <w:r>
              <w:rPr/>
              <w:t>($57,500)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($68,470)</w:t>
            </w:r>
          </w:p>
        </w:tc>
        <w:tc>
          <w:tcPr>
            <w:tcW w:w="76" w:type="dxa"/>
            <w:tcBorders/>
            <w:shd w:fill="auto" w:val="clear"/>
            <w:vAlign w:val="center"/>
          </w:tcPr>
          <w:p>
            <w:pPr>
              <w:pStyle w:val="TableContents"/>
              <w:spacing w:before="0" w:after="283"/>
              <w:rPr/>
            </w:pPr>
            <w:r>
              <w:rPr/>
              <w:t> </w:t>
            </w:r>
          </w:p>
        </w:tc>
      </w:tr>
      <w:tr>
        <w:trPr/>
        <w:tc>
          <w:tcPr>
            <w:tcW w:w="5925" w:type="dxa"/>
            <w:tcBorders/>
            <w:shd w:fill="CEE8F6" w:val="clear"/>
            <w:vAlign w:val="center"/>
          </w:tcPr>
          <w:p>
            <w:pPr>
              <w:pStyle w:val="TableContents"/>
              <w:spacing w:before="0" w:after="0"/>
              <w:rPr>
                <w:rFonts w:ascii="ARIAL" w:hAnsi="ARIAL"/>
                <w:sz w:val="20"/>
              </w:rPr>
            </w:pPr>
            <w:r>
              <w:rPr>
                <w:rFonts w:ascii="ARIAL" w:hAnsi="ARIAL"/>
                <w:sz w:val="20"/>
              </w:rPr>
              <w:t>Less: Aggregate Change in Actuarial Present Value of Defined Benefit Plans</w:t>
            </w:r>
          </w:p>
        </w:tc>
        <w:tc>
          <w:tcPr>
            <w:tcW w:w="12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before="0" w:after="283"/>
              <w:rPr/>
            </w:pPr>
            <w:r>
              <w:rPr/>
              <w:t> </w:t>
            </w:r>
          </w:p>
        </w:tc>
        <w:tc>
          <w:tcPr>
            <w:tcW w:w="1222" w:type="dxa"/>
            <w:tcBorders/>
            <w:shd w:fill="CEE8F6" w:val="clear"/>
            <w:vAlign w:val="center"/>
          </w:tcPr>
          <w:p>
            <w:pPr>
              <w:pStyle w:val="TableContents"/>
              <w:spacing w:before="0" w:after="283"/>
              <w:jc w:val="right"/>
              <w:rPr/>
            </w:pPr>
            <w:r>
              <w:rPr/>
              <w:t>($440,806)</w:t>
            </w:r>
          </w:p>
        </w:tc>
        <w:tc>
          <w:tcPr>
            <w:tcW w:w="60" w:type="dxa"/>
            <w:tcBorders/>
            <w:shd w:fill="CEE8F6" w:val="clear"/>
            <w:vAlign w:val="center"/>
          </w:tcPr>
          <w:p>
            <w:pPr>
              <w:pStyle w:val="TableContents"/>
              <w:spacing w:before="0" w:after="283"/>
              <w:rPr/>
            </w:pPr>
            <w:r>
              <w:rPr/>
              <w:t> </w:t>
            </w:r>
          </w:p>
        </w:tc>
        <w:tc>
          <w:tcPr>
            <w:tcW w:w="12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before="0" w:after="283"/>
              <w:rPr/>
            </w:pPr>
            <w:r>
              <w:rPr/>
              <w:t> </w:t>
            </w:r>
          </w:p>
        </w:tc>
        <w:tc>
          <w:tcPr>
            <w:tcW w:w="1222" w:type="dxa"/>
            <w:tcBorders/>
            <w:shd w:fill="CEE8F6" w:val="clear"/>
            <w:vAlign w:val="center"/>
          </w:tcPr>
          <w:p>
            <w:pPr>
              <w:pStyle w:val="TableContents"/>
              <w:spacing w:before="0" w:after="283"/>
              <w:jc w:val="right"/>
              <w:rPr/>
            </w:pPr>
            <w:r>
              <w:rPr/>
              <w:t>($1,002,492)</w:t>
            </w:r>
          </w:p>
        </w:tc>
        <w:tc>
          <w:tcPr>
            <w:tcW w:w="60" w:type="dxa"/>
            <w:tcBorders/>
            <w:shd w:fill="CEE8F6" w:val="clear"/>
            <w:vAlign w:val="center"/>
          </w:tcPr>
          <w:p>
            <w:pPr>
              <w:pStyle w:val="TableContents"/>
              <w:spacing w:before="0" w:after="283"/>
              <w:rPr/>
            </w:pPr>
            <w:r>
              <w:rPr/>
              <w:t> </w:t>
            </w:r>
          </w:p>
        </w:tc>
        <w:tc>
          <w:tcPr>
            <w:tcW w:w="12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before="0" w:after="283"/>
              <w:rPr/>
            </w:pPr>
            <w:r>
              <w:rPr/>
              <w:t> </w:t>
            </w:r>
          </w:p>
        </w:tc>
        <w:tc>
          <w:tcPr>
            <w:tcW w:w="1100" w:type="dxa"/>
            <w:tcBorders/>
            <w:shd w:fill="CEE8F6" w:val="clear"/>
            <w:vAlign w:val="center"/>
          </w:tcPr>
          <w:p>
            <w:pPr>
              <w:pStyle w:val="TableContents"/>
              <w:spacing w:before="0" w:after="283"/>
              <w:jc w:val="right"/>
              <w:rPr/>
            </w:pPr>
            <w:r>
              <w:rPr/>
              <w:t>($978,380)</w:t>
            </w:r>
          </w:p>
        </w:tc>
        <w:tc>
          <w:tcPr>
            <w:tcW w:w="76" w:type="dxa"/>
            <w:tcBorders/>
            <w:shd w:fill="CEE8F6" w:val="clear"/>
            <w:vAlign w:val="center"/>
          </w:tcPr>
          <w:p>
            <w:pPr>
              <w:pStyle w:val="TableContents"/>
              <w:spacing w:before="0" w:after="283"/>
              <w:rPr/>
            </w:pPr>
            <w:r>
              <w:rPr/>
              <w:t> </w:t>
            </w:r>
          </w:p>
        </w:tc>
      </w:tr>
      <w:tr>
        <w:trPr/>
        <w:tc>
          <w:tcPr>
            <w:tcW w:w="5925" w:type="dxa"/>
            <w:tcBorders/>
            <w:shd w:fill="auto" w:val="clear"/>
            <w:vAlign w:val="center"/>
          </w:tcPr>
          <w:p>
            <w:pPr>
              <w:pStyle w:val="TableContents"/>
              <w:spacing w:before="0" w:after="0"/>
              <w:rPr>
                <w:rFonts w:ascii="ARIAL" w:hAnsi="ARIAL"/>
                <w:sz w:val="20"/>
              </w:rPr>
            </w:pPr>
            <w:r>
              <w:rPr>
                <w:rFonts w:ascii="ARIAL" w:hAnsi="ARIAL"/>
                <w:sz w:val="20"/>
              </w:rPr>
              <w:t>Plus: Aggregate Service Cost and Prior Service Cost for Pension Plans</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22" w:type="dxa"/>
            <w:tcBorders/>
            <w:shd w:fill="auto" w:val="clear"/>
            <w:vAlign w:val="center"/>
          </w:tcPr>
          <w:p>
            <w:pPr>
              <w:pStyle w:val="TableContents"/>
              <w:spacing w:before="0" w:after="283"/>
              <w:jc w:val="right"/>
              <w:rPr/>
            </w:pPr>
            <w:r>
              <w:rPr/>
              <w:t>$330,333</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22" w:type="dxa"/>
            <w:tcBorders/>
            <w:shd w:fill="auto" w:val="clear"/>
            <w:vAlign w:val="center"/>
          </w:tcPr>
          <w:p>
            <w:pPr>
              <w:pStyle w:val="TableContents"/>
              <w:spacing w:before="0" w:after="283"/>
              <w:jc w:val="right"/>
              <w:rPr/>
            </w:pPr>
            <w:r>
              <w:rPr/>
              <w:t>$222,897</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$407,164</w:t>
            </w:r>
          </w:p>
        </w:tc>
        <w:tc>
          <w:tcPr>
            <w:tcW w:w="76" w:type="dxa"/>
            <w:tcBorders/>
            <w:shd w:fill="auto" w:val="clear"/>
            <w:vAlign w:val="center"/>
          </w:tcPr>
          <w:p>
            <w:pPr>
              <w:pStyle w:val="TableContents"/>
              <w:spacing w:before="0" w:after="283"/>
              <w:rPr/>
            </w:pPr>
            <w:r>
              <w:rPr/>
              <w:t> </w:t>
            </w:r>
          </w:p>
        </w:tc>
      </w:tr>
      <w:tr>
        <w:trPr/>
        <w:tc>
          <w:tcPr>
            <w:tcW w:w="592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1222"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1222"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1100" w:type="dxa"/>
            <w:tcBorders/>
            <w:shd w:fill="auto" w:val="clear"/>
            <w:vAlign w:val="center"/>
          </w:tcPr>
          <w:p>
            <w:pPr>
              <w:pStyle w:val="TableContents"/>
              <w:spacing w:before="0" w:after="0"/>
              <w:rPr>
                <w:bdr w:val="single" w:sz="2" w:space="1" w:color="000000"/>
              </w:rPr>
            </w:pPr>
            <w:r>
              <w:rPr>
                <w:bdr w:val="single" w:sz="2" w:space="1" w:color="000000"/>
              </w:rPr>
              <w:t> </w:t>
            </w:r>
          </w:p>
        </w:tc>
        <w:tc>
          <w:tcPr>
            <w:tcW w:w="76" w:type="dxa"/>
            <w:tcBorders/>
            <w:shd w:fill="auto" w:val="clear"/>
            <w:vAlign w:val="center"/>
          </w:tcPr>
          <w:p>
            <w:pPr>
              <w:pStyle w:val="TableContents"/>
              <w:spacing w:before="0" w:after="283"/>
              <w:rPr/>
            </w:pPr>
            <w:r>
              <w:rPr/>
              <w:t> </w:t>
            </w:r>
          </w:p>
        </w:tc>
      </w:tr>
      <w:tr>
        <w:trPr/>
        <w:tc>
          <w:tcPr>
            <w:tcW w:w="5925" w:type="dxa"/>
            <w:tcBorders/>
            <w:shd w:fill="CEE8F6" w:val="clear"/>
            <w:vAlign w:val="center"/>
          </w:tcPr>
          <w:p>
            <w:pPr>
              <w:pStyle w:val="TableContents"/>
              <w:spacing w:before="0" w:after="0"/>
              <w:rPr>
                <w:rFonts w:ascii="ARIAL" w:hAnsi="ARIAL"/>
                <w:sz w:val="20"/>
              </w:rPr>
            </w:pPr>
            <w:r>
              <w:rPr>
                <w:rFonts w:ascii="ARIAL" w:hAnsi="ARIAL"/>
                <w:sz w:val="20"/>
              </w:rPr>
              <w:t>Compensation Actually Paid</w:t>
            </w:r>
          </w:p>
        </w:tc>
        <w:tc>
          <w:tcPr>
            <w:tcW w:w="12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before="0" w:after="283"/>
              <w:rPr/>
            </w:pPr>
            <w:r>
              <w:rPr/>
              <w:t> </w:t>
            </w:r>
          </w:p>
        </w:tc>
        <w:tc>
          <w:tcPr>
            <w:tcW w:w="1222" w:type="dxa"/>
            <w:tcBorders/>
            <w:shd w:fill="CEE8F6" w:val="clear"/>
            <w:vAlign w:val="center"/>
          </w:tcPr>
          <w:p>
            <w:pPr>
              <w:pStyle w:val="TableContents"/>
              <w:spacing w:before="0" w:after="283"/>
              <w:jc w:val="right"/>
              <w:rPr/>
            </w:pPr>
            <w:r>
              <w:rPr/>
              <w:t>($236,524)</w:t>
            </w:r>
          </w:p>
        </w:tc>
        <w:tc>
          <w:tcPr>
            <w:tcW w:w="60" w:type="dxa"/>
            <w:tcBorders/>
            <w:shd w:fill="CEE8F6" w:val="clear"/>
            <w:vAlign w:val="center"/>
          </w:tcPr>
          <w:p>
            <w:pPr>
              <w:pStyle w:val="TableContents"/>
              <w:spacing w:before="0" w:after="283"/>
              <w:rPr/>
            </w:pPr>
            <w:r>
              <w:rPr/>
              <w:t> </w:t>
            </w:r>
          </w:p>
        </w:tc>
        <w:tc>
          <w:tcPr>
            <w:tcW w:w="12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before="0" w:after="283"/>
              <w:rPr/>
            </w:pPr>
            <w:r>
              <w:rPr/>
              <w:t> </w:t>
            </w:r>
          </w:p>
        </w:tc>
        <w:tc>
          <w:tcPr>
            <w:tcW w:w="1222" w:type="dxa"/>
            <w:tcBorders/>
            <w:shd w:fill="CEE8F6" w:val="clear"/>
            <w:vAlign w:val="center"/>
          </w:tcPr>
          <w:p>
            <w:pPr>
              <w:pStyle w:val="TableContents"/>
              <w:spacing w:before="0" w:after="283"/>
              <w:jc w:val="right"/>
              <w:rPr/>
            </w:pPr>
            <w:r>
              <w:rPr/>
              <w:t>$7,635,715</w:t>
            </w:r>
          </w:p>
        </w:tc>
        <w:tc>
          <w:tcPr>
            <w:tcW w:w="60" w:type="dxa"/>
            <w:tcBorders/>
            <w:shd w:fill="CEE8F6" w:val="clear"/>
            <w:vAlign w:val="center"/>
          </w:tcPr>
          <w:p>
            <w:pPr>
              <w:pStyle w:val="TableContents"/>
              <w:spacing w:before="0" w:after="283"/>
              <w:rPr/>
            </w:pPr>
            <w:r>
              <w:rPr/>
              <w:t> </w:t>
            </w:r>
          </w:p>
        </w:tc>
        <w:tc>
          <w:tcPr>
            <w:tcW w:w="12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before="0" w:after="283"/>
              <w:rPr/>
            </w:pPr>
            <w:r>
              <w:rPr/>
              <w:t> </w:t>
            </w:r>
          </w:p>
        </w:tc>
        <w:tc>
          <w:tcPr>
            <w:tcW w:w="1100" w:type="dxa"/>
            <w:tcBorders/>
            <w:shd w:fill="CEE8F6" w:val="clear"/>
            <w:vAlign w:val="center"/>
          </w:tcPr>
          <w:p>
            <w:pPr>
              <w:pStyle w:val="TableContents"/>
              <w:spacing w:before="0" w:after="283"/>
              <w:jc w:val="right"/>
              <w:rPr/>
            </w:pPr>
            <w:r>
              <w:rPr/>
              <w:t>$4,332,808</w:t>
            </w:r>
          </w:p>
        </w:tc>
        <w:tc>
          <w:tcPr>
            <w:tcW w:w="76" w:type="dxa"/>
            <w:tcBorders/>
            <w:shd w:fill="CEE8F6" w:val="clear"/>
            <w:vAlign w:val="center"/>
          </w:tcPr>
          <w:p>
            <w:pPr>
              <w:pStyle w:val="TableContents"/>
              <w:spacing w:before="0" w:after="283"/>
              <w:rPr/>
            </w:pPr>
            <w:r>
              <w:rPr/>
              <w: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920"/>
        <w:gridCol w:w="60"/>
        <w:gridCol w:w="9225"/>
      </w:tblGrid>
      <w:tr>
        <w:trPr/>
        <w:tc>
          <w:tcPr>
            <w:tcW w:w="9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225" w:type="dxa"/>
            <w:tcBorders/>
            <w:shd w:fill="auto" w:val="clear"/>
            <w:vAlign w:val="center"/>
          </w:tcPr>
          <w:p>
            <w:pPr>
              <w:pStyle w:val="TableContents"/>
              <w:spacing w:before="0" w:after="283"/>
              <w:rPr>
                <w:sz w:val="4"/>
                <w:szCs w:val="4"/>
              </w:rPr>
            </w:pPr>
            <w:r>
              <w:rPr>
                <w:sz w:val="4"/>
                <w:szCs w:val="4"/>
              </w:rPr>
            </w:r>
          </w:p>
        </w:tc>
      </w:tr>
      <w:tr>
        <w:trPr/>
        <w:tc>
          <w:tcPr>
            <w:tcW w:w="920" w:type="dxa"/>
            <w:tcBorders/>
            <w:shd w:fill="auto" w:val="clear"/>
            <w:vAlign w:val="center"/>
          </w:tcPr>
          <w:p>
            <w:pPr>
              <w:pStyle w:val="TableContents"/>
              <w:spacing w:before="0" w:after="0"/>
              <w:rPr>
                <w:i/>
                <w:caps w:val="false"/>
                <w:smallCaps w:val="false"/>
                <w:spacing w:val="0"/>
              </w:rPr>
            </w:pPr>
            <w:r>
              <w:rPr>
                <w:i/>
                <w:caps w:val="false"/>
                <w:smallCaps w:val="false"/>
                <w:spacing w:val="0"/>
              </w:rPr>
              <w:t>Column (f)</w:t>
            </w:r>
          </w:p>
        </w:tc>
        <w:tc>
          <w:tcPr>
            <w:tcW w:w="60" w:type="dxa"/>
            <w:tcBorders/>
            <w:shd w:fill="auto" w:val="clear"/>
            <w:vAlign w:val="center"/>
          </w:tcPr>
          <w:p>
            <w:pPr>
              <w:pStyle w:val="TableContents"/>
              <w:spacing w:before="0" w:after="283"/>
              <w:rPr/>
            </w:pPr>
            <w:r>
              <w:rPr/>
              <w:t> </w:t>
            </w:r>
          </w:p>
        </w:tc>
        <w:tc>
          <w:tcPr>
            <w:tcW w:w="9225" w:type="dxa"/>
            <w:tcBorders/>
            <w:shd w:fill="auto" w:val="clear"/>
            <w:vAlign w:val="center"/>
          </w:tcPr>
          <w:p>
            <w:pPr>
              <w:pStyle w:val="TableContents"/>
              <w:spacing w:before="0" w:after="0"/>
              <w:rPr>
                <w:rFonts w:ascii="ARIAL" w:hAnsi="ARIAL"/>
                <w:sz w:val="20"/>
              </w:rPr>
            </w:pPr>
            <w:r>
              <w:rPr>
                <w:rFonts w:ascii="ARIAL" w:hAnsi="ARIAL"/>
                <w:sz w:val="20"/>
              </w:rPr>
              <w:t>Represents the cumulative total shareholder return for the Company for the measurement periods beginning December 31, 2019 and ending on December 31, 2022, 2021 and 2020, respectively.</w:t>
            </w:r>
          </w:p>
          <w:p>
            <w:pPr>
              <w:pStyle w:val="TableContents"/>
              <w:spacing w:before="0" w:after="20"/>
              <w:rPr/>
            </w:pPr>
            <w:r>
              <w:rPr/>
              <w:t> </w:t>
            </w:r>
          </w:p>
        </w:tc>
      </w:tr>
      <w:tr>
        <w:trPr/>
        <w:tc>
          <w:tcPr>
            <w:tcW w:w="920" w:type="dxa"/>
            <w:tcBorders/>
            <w:shd w:fill="auto" w:val="clear"/>
            <w:vAlign w:val="center"/>
          </w:tcPr>
          <w:p>
            <w:pPr>
              <w:pStyle w:val="TableContents"/>
              <w:spacing w:before="0" w:after="0"/>
              <w:rPr>
                <w:i/>
                <w:caps w:val="false"/>
                <w:smallCaps w:val="false"/>
                <w:spacing w:val="0"/>
              </w:rPr>
            </w:pPr>
            <w:r>
              <w:rPr>
                <w:i/>
                <w:caps w:val="false"/>
                <w:smallCaps w:val="false"/>
                <w:spacing w:val="0"/>
              </w:rPr>
              <w:t>Column (g)</w:t>
            </w:r>
          </w:p>
        </w:tc>
        <w:tc>
          <w:tcPr>
            <w:tcW w:w="60" w:type="dxa"/>
            <w:tcBorders/>
            <w:shd w:fill="auto" w:val="clear"/>
            <w:vAlign w:val="center"/>
          </w:tcPr>
          <w:p>
            <w:pPr>
              <w:pStyle w:val="TableContents"/>
              <w:spacing w:before="0" w:after="283"/>
              <w:rPr/>
            </w:pPr>
            <w:r>
              <w:rPr/>
              <w:t> </w:t>
            </w:r>
          </w:p>
        </w:tc>
        <w:tc>
          <w:tcPr>
            <w:tcW w:w="9225" w:type="dxa"/>
            <w:tcBorders/>
            <w:shd w:fill="auto" w:val="clear"/>
            <w:vAlign w:val="center"/>
          </w:tcPr>
          <w:p>
            <w:pPr>
              <w:pStyle w:val="TableContents"/>
              <w:spacing w:before="0" w:after="0"/>
              <w:rPr>
                <w:rFonts w:ascii="ARIAL" w:hAnsi="ARIAL"/>
                <w:sz w:val="20"/>
              </w:rPr>
            </w:pPr>
            <w:r>
              <w:rPr>
                <w:rFonts w:ascii="ARIAL" w:hAnsi="ARIAL"/>
                <w:sz w:val="20"/>
              </w:rPr>
              <w:t xml:space="preserve">Represents the cumulative total shareholder return of the Dow Jones U.S. Healthcare Index (“Peer Group Total Shareholder Return”) for the measurement periods beginning December 31, 2019 and ending on December 31, 2022, 2021 and 2020, respectively. </w:t>
            </w:r>
          </w:p>
          <w:p>
            <w:pPr>
              <w:pStyle w:val="TableContents"/>
              <w:spacing w:before="0" w:after="20"/>
              <w:rPr/>
            </w:pPr>
            <w:r>
              <w:rPr/>
              <w:t> </w:t>
            </w:r>
          </w:p>
        </w:tc>
      </w:tr>
      <w:tr>
        <w:trPr/>
        <w:tc>
          <w:tcPr>
            <w:tcW w:w="920" w:type="dxa"/>
            <w:tcBorders/>
            <w:shd w:fill="auto" w:val="clear"/>
            <w:vAlign w:val="center"/>
          </w:tcPr>
          <w:p>
            <w:pPr>
              <w:pStyle w:val="TableContents"/>
              <w:spacing w:before="0" w:after="0"/>
              <w:rPr>
                <w:i/>
                <w:caps w:val="false"/>
                <w:smallCaps w:val="false"/>
                <w:spacing w:val="0"/>
              </w:rPr>
            </w:pPr>
            <w:r>
              <w:rPr>
                <w:i/>
                <w:caps w:val="false"/>
                <w:smallCaps w:val="false"/>
                <w:spacing w:val="0"/>
              </w:rPr>
              <w:t>Column (h)</w:t>
            </w:r>
          </w:p>
        </w:tc>
        <w:tc>
          <w:tcPr>
            <w:tcW w:w="60" w:type="dxa"/>
            <w:tcBorders/>
            <w:shd w:fill="auto" w:val="clear"/>
            <w:vAlign w:val="center"/>
          </w:tcPr>
          <w:p>
            <w:pPr>
              <w:pStyle w:val="TableContents"/>
              <w:spacing w:before="0" w:after="283"/>
              <w:rPr/>
            </w:pPr>
            <w:r>
              <w:rPr/>
              <w:t> </w:t>
            </w:r>
          </w:p>
        </w:tc>
        <w:tc>
          <w:tcPr>
            <w:tcW w:w="9225" w:type="dxa"/>
            <w:tcBorders/>
            <w:shd w:fill="auto" w:val="clear"/>
            <w:vAlign w:val="center"/>
          </w:tcPr>
          <w:p>
            <w:pPr>
              <w:pStyle w:val="TableContents"/>
              <w:spacing w:before="0" w:after="0"/>
              <w:rPr>
                <w:rFonts w:ascii="ARIAL" w:hAnsi="ARIAL"/>
                <w:sz w:val="20"/>
              </w:rPr>
            </w:pPr>
            <w:r>
              <w:rPr>
                <w:rFonts w:ascii="ARIAL" w:hAnsi="ARIAL"/>
                <w:sz w:val="20"/>
              </w:rPr>
              <w:t xml:space="preserve">Reflects Net Income attributable to Community Health Systems, Inc. stockholders as included in the Company’s Annual Reports on Form </w:t>
            </w:r>
          </w:p>
          <w:p>
            <w:pPr>
              <w:pStyle w:val="TableContents"/>
              <w:spacing w:before="0" w:after="0"/>
              <w:rPr>
                <w:rFonts w:ascii="ARIAL" w:hAnsi="ARIAL"/>
                <w:spacing w:val="0"/>
                <w:sz w:val="20"/>
              </w:rPr>
            </w:pPr>
            <w:r>
              <w:rPr>
                <w:rFonts w:ascii="ARIAL" w:hAnsi="ARIAL"/>
                <w:spacing w:val="0"/>
                <w:sz w:val="20"/>
              </w:rPr>
              <w:t>10-K</w:t>
            </w:r>
          </w:p>
          <w:p>
            <w:pPr>
              <w:pStyle w:val="TableContents"/>
              <w:spacing w:before="0" w:after="0"/>
              <w:rPr>
                <w:rFonts w:ascii="ARIAL" w:hAnsi="ARIAL"/>
                <w:sz w:val="20"/>
              </w:rPr>
            </w:pPr>
            <w:r>
              <w:rPr>
                <w:rFonts w:ascii="ARIAL" w:hAnsi="ARIAL"/>
                <w:sz w:val="20"/>
              </w:rPr>
              <w:t>for each of the years ended December 31, 2022, 2021 and 2020.</w:t>
            </w:r>
          </w:p>
          <w:p>
            <w:pPr>
              <w:pStyle w:val="TableContents"/>
              <w:spacing w:before="0" w:after="20"/>
              <w:rPr/>
            </w:pPr>
            <w:r>
              <w:rPr/>
              <w:t> </w:t>
            </w:r>
          </w:p>
        </w:tc>
      </w:tr>
      <w:tr>
        <w:trPr/>
        <w:tc>
          <w:tcPr>
            <w:tcW w:w="920" w:type="dxa"/>
            <w:tcBorders/>
            <w:shd w:fill="auto" w:val="clear"/>
            <w:vAlign w:val="center"/>
          </w:tcPr>
          <w:p>
            <w:pPr>
              <w:pStyle w:val="TableContents"/>
              <w:spacing w:before="0" w:after="0"/>
              <w:rPr>
                <w:i/>
                <w:caps w:val="false"/>
                <w:smallCaps w:val="false"/>
                <w:spacing w:val="0"/>
              </w:rPr>
            </w:pPr>
            <w:r>
              <w:rPr>
                <w:i/>
                <w:caps w:val="false"/>
                <w:smallCaps w:val="false"/>
                <w:spacing w:val="0"/>
              </w:rPr>
              <w:t>Column (i)</w:t>
            </w:r>
          </w:p>
        </w:tc>
        <w:tc>
          <w:tcPr>
            <w:tcW w:w="60" w:type="dxa"/>
            <w:tcBorders/>
            <w:shd w:fill="auto" w:val="clear"/>
            <w:vAlign w:val="center"/>
          </w:tcPr>
          <w:p>
            <w:pPr>
              <w:pStyle w:val="TableContents"/>
              <w:spacing w:before="0" w:after="283"/>
              <w:rPr/>
            </w:pPr>
            <w:r>
              <w:rPr/>
              <w:t> </w:t>
            </w:r>
          </w:p>
        </w:tc>
        <w:tc>
          <w:tcPr>
            <w:tcW w:w="9225" w:type="dxa"/>
            <w:tcBorders/>
            <w:shd w:fill="auto" w:val="clear"/>
            <w:vAlign w:val="center"/>
          </w:tcPr>
          <w:p>
            <w:pPr>
              <w:pStyle w:val="TableContents"/>
              <w:spacing w:before="0" w:after="0"/>
              <w:rPr>
                <w:rFonts w:ascii="ARIAL" w:hAnsi="ARIAL"/>
                <w:sz w:val="20"/>
              </w:rPr>
            </w:pPr>
            <w:r>
              <w:rPr>
                <w:rFonts w:ascii="ARIAL" w:hAnsi="ARIAL"/>
                <w:sz w:val="20"/>
              </w:rPr>
              <w:t xml:space="preserve">The Company-Selected Measure is Adjusted EBITDA, a </w:t>
            </w:r>
          </w:p>
          <w:p>
            <w:pPr>
              <w:pStyle w:val="TableContents"/>
              <w:spacing w:before="0" w:after="0"/>
              <w:rPr>
                <w:rFonts w:ascii="ARIAL" w:hAnsi="ARIAL"/>
                <w:spacing w:val="0"/>
                <w:sz w:val="20"/>
              </w:rPr>
            </w:pPr>
            <w:r>
              <w:rPr>
                <w:rFonts w:ascii="ARIAL" w:hAnsi="ARIAL"/>
                <w:spacing w:val="0"/>
                <w:sz w:val="20"/>
              </w:rPr>
              <w:t>non-GAAP</w:t>
            </w:r>
          </w:p>
          <w:p>
            <w:pPr>
              <w:pStyle w:val="TableContents"/>
              <w:spacing w:before="0" w:after="0"/>
              <w:rPr>
                <w:rFonts w:ascii="ARIAL" w:hAnsi="ARIAL"/>
                <w:sz w:val="20"/>
              </w:rPr>
            </w:pPr>
            <w:r>
              <w:rPr>
                <w:rFonts w:ascii="ARIAL" w:hAnsi="ARIAL"/>
                <w:sz w:val="20"/>
              </w:rPr>
              <w:t xml:space="preserve">financial measure. See Annex A — </w:t>
            </w:r>
          </w:p>
          <w:p>
            <w:pPr>
              <w:pStyle w:val="TableContents"/>
              <w:spacing w:before="0" w:after="0"/>
              <w:rPr>
                <w:rFonts w:ascii="ARIAL" w:hAnsi="ARIAL"/>
                <w:spacing w:val="0"/>
                <w:sz w:val="20"/>
              </w:rPr>
            </w:pPr>
            <w:r>
              <w:rPr>
                <w:rFonts w:ascii="ARIAL" w:hAnsi="ARIAL"/>
                <w:spacing w:val="0"/>
                <w:sz w:val="20"/>
              </w:rPr>
              <w:t>Non-GAAP</w:t>
            </w:r>
          </w:p>
          <w:p>
            <w:pPr>
              <w:pStyle w:val="TableContents"/>
              <w:spacing w:before="0" w:after="0"/>
              <w:rPr>
                <w:rFonts w:ascii="ARIAL" w:hAnsi="ARIAL"/>
                <w:sz w:val="20"/>
              </w:rPr>
            </w:pPr>
            <w:r>
              <w:rPr>
                <w:rFonts w:ascii="ARIAL" w:hAnsi="ARIAL"/>
                <w:sz w:val="20"/>
              </w:rPr>
              <w:t>Financial Measures for additional information regarding Adjusted EBITDA, including how Adjusted EBITDA is calculated from the Company’s financial statements.</w:t>
            </w:r>
          </w:p>
          <w:p>
            <w:pPr>
              <w:pStyle w:val="TableContents"/>
              <w:spacing w:before="0" w:after="20"/>
              <w:rPr/>
            </w:pPr>
            <w:r>
              <w:rPr/>
              <w:t> </w:t>
            </w:r>
          </w:p>
        </w:tc>
      </w:tr>
    </w:tbl>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78</w:t>
      </w:r>
    </w:p>
    <w:p>
      <w:pPr>
        <w:pStyle w:val="HorizontalLine"/>
        <w:rPr/>
      </w:pPr>
      <w:r>
        <w:rPr/>
      </w:r>
    </w:p>
    <w:p>
      <w:pPr>
        <w:pStyle w:val="TextBody"/>
        <w:spacing w:before="0" w:after="0"/>
        <w:rPr/>
      </w:pPr>
      <w:hyperlink w:anchor="toc">
        <w:r>
          <w:rPr>
            <w:rStyle w:val="InternetLink"/>
          </w:rPr>
          <w:t>Table of Contents</w:t>
        </w:r>
      </w:hyperlink>
    </w:p>
    <w:p>
      <w:pPr>
        <w:pStyle w:val="TextBody"/>
        <w:spacing w:before="0" w:after="0"/>
        <w:jc w:val="left"/>
        <w:rPr>
          <w:rFonts w:ascii="ARIAL" w:hAnsi="ARIAL"/>
          <w:b/>
          <w:i/>
          <w:sz w:val="20"/>
        </w:rPr>
      </w:pPr>
      <w:r>
        <w:rPr>
          <w:rFonts w:ascii="ARIAL" w:hAnsi="ARIAL"/>
          <w:b/>
          <w:i/>
          <w:sz w:val="20"/>
        </w:rPr>
        <w:t xml:space="preserve">Relationship between Pay and Performance </w:t>
      </w:r>
    </w:p>
    <w:p>
      <w:pPr>
        <w:pStyle w:val="TextBody"/>
        <w:spacing w:before="120" w:after="0"/>
        <w:jc w:val="left"/>
        <w:rPr>
          <w:rFonts w:ascii="ARIAL" w:hAnsi="ARIAL"/>
          <w:sz w:val="20"/>
        </w:rPr>
      </w:pPr>
      <w:r>
        <w:rPr>
          <w:rFonts w:ascii="ARIAL" w:hAnsi="ARIAL"/>
          <w:sz w:val="20"/>
        </w:rPr>
        <w:t xml:space="preserve">The following graphs illustrate the relationship of CAP to our PEO and </w:t>
      </w:r>
    </w:p>
    <w:p>
      <w:pPr>
        <w:pStyle w:val="TextBody"/>
        <w:spacing w:before="120" w:after="0"/>
        <w:jc w:val="left"/>
        <w:rPr>
          <w:rFonts w:ascii="ARIAL" w:hAnsi="ARIAL"/>
          <w:sz w:val="20"/>
        </w:rPr>
      </w:pPr>
      <w:r>
        <w:rPr>
          <w:rFonts w:ascii="ARIAL" w:hAnsi="ARIAL"/>
          <w:sz w:val="20"/>
        </w:rPr>
        <w:t>non-PEO</w:t>
      </w:r>
    </w:p>
    <w:p>
      <w:pPr>
        <w:pStyle w:val="TextBody"/>
        <w:spacing w:before="120" w:after="0"/>
        <w:jc w:val="left"/>
        <w:rPr>
          <w:rFonts w:ascii="ARIAL" w:hAnsi="ARIAL"/>
          <w:sz w:val="20"/>
        </w:rPr>
      </w:pPr>
      <w:r>
        <w:rPr>
          <w:rFonts w:ascii="ARIAL" w:hAnsi="ARIAL"/>
          <w:sz w:val="20"/>
        </w:rPr>
        <w:t xml:space="preserve">NEOs in 2020, 2021 and 2022 to (1) total shareholder return of both the Company and the Dow Jones U.S. Healthcare Index, (2) net income attributable to Community Health Systems, Inc. stockholders, and (3) the Company’s Adjusted EBITDA. For additional information illustrating the Company relationship between the pay for our PEO and </w:t>
      </w:r>
    </w:p>
    <w:p>
      <w:pPr>
        <w:pStyle w:val="TextBody"/>
        <w:spacing w:before="120" w:after="0"/>
        <w:jc w:val="left"/>
        <w:rPr>
          <w:rFonts w:ascii="ARIAL" w:hAnsi="ARIAL"/>
          <w:sz w:val="20"/>
        </w:rPr>
      </w:pPr>
      <w:r>
        <w:rPr>
          <w:rFonts w:ascii="ARIAL" w:hAnsi="ARIAL"/>
          <w:sz w:val="20"/>
        </w:rPr>
        <w:t>non-PEO</w:t>
      </w:r>
    </w:p>
    <w:p>
      <w:pPr>
        <w:pStyle w:val="TextBody"/>
        <w:spacing w:before="120" w:after="0"/>
        <w:jc w:val="left"/>
        <w:rPr>
          <w:rFonts w:ascii="ARIAL" w:hAnsi="ARIAL"/>
          <w:sz w:val="20"/>
        </w:rPr>
      </w:pPr>
      <w:r>
        <w:rPr>
          <w:rFonts w:ascii="ARIAL" w:hAnsi="ARIAL"/>
          <w:sz w:val="20"/>
        </w:rPr>
        <w:t xml:space="preserve">NEOs and our overall company performance, please see the Compensation Discussion and Analysis beginning on page 40. </w:t>
      </w:r>
    </w:p>
    <w:p>
      <w:pPr>
        <w:pStyle w:val="TextBody"/>
        <w:spacing w:before="0" w:after="0"/>
        <w:jc w:val="left"/>
        <w:rPr/>
      </w:pPr>
      <w:r>
        <w:rPr/>
        <w:t> </w:t>
      </w:r>
    </w:p>
    <w:p>
      <w:pPr>
        <w:pStyle w:val="TextBody"/>
        <w:spacing w:before="0" w:after="0"/>
        <w:jc w:val="center"/>
        <w:rPr/>
      </w:pPr>
      <w:r>
        <w:rPr/>
        <w:drawing>
          <wp:inline distT="0" distB="0" distL="0" distR="0">
            <wp:extent cx="380365" cy="254000"/>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embed="rId56"/>
                    <a:stretch>
                      <a:fillRect/>
                    </a:stretch>
                  </pic:blipFill>
                  <pic:spPr bwMode="auto">
                    <a:xfrm>
                      <a:off x="0" y="0"/>
                      <a:ext cx="380365" cy="254000"/>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pPr>
      <w:r>
        <w:rPr/>
        <w:drawing>
          <wp:inline distT="0" distB="0" distL="0" distR="0">
            <wp:extent cx="380365" cy="254000"/>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embed="rId57"/>
                    <a:stretch>
                      <a:fillRect/>
                    </a:stretch>
                  </pic:blipFill>
                  <pic:spPr bwMode="auto">
                    <a:xfrm>
                      <a:off x="0" y="0"/>
                      <a:ext cx="380365" cy="254000"/>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79</w:t>
      </w:r>
    </w:p>
    <w:p>
      <w:pPr>
        <w:pStyle w:val="HorizontalLine"/>
        <w:rPr/>
      </w:pPr>
      <w:r>
        <w:rPr/>
      </w:r>
    </w:p>
    <w:p>
      <w:pPr>
        <w:pStyle w:val="TextBody"/>
        <w:spacing w:before="0" w:after="0"/>
        <w:rPr/>
      </w:pPr>
      <w:hyperlink w:anchor="toc">
        <w:r>
          <w:rPr>
            <w:rStyle w:val="InternetLink"/>
          </w:rPr>
          <w:t>Table of Contents</w:t>
        </w:r>
      </w:hyperlink>
    </w:p>
    <w:p>
      <w:pPr>
        <w:pStyle w:val="TextBody"/>
        <w:spacing w:before="0" w:after="0"/>
        <w:jc w:val="center"/>
        <w:rPr/>
      </w:pPr>
      <w:r>
        <w:rPr/>
        <w:drawing>
          <wp:inline distT="0" distB="0" distL="0" distR="0">
            <wp:extent cx="377190" cy="25209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embed="rId58"/>
                    <a:stretch>
                      <a:fillRect/>
                    </a:stretch>
                  </pic:blipFill>
                  <pic:spPr bwMode="auto">
                    <a:xfrm>
                      <a:off x="0" y="0"/>
                      <a:ext cx="377190" cy="252095"/>
                    </a:xfrm>
                    <a:prstGeom prst="rect">
                      <a:avLst/>
                    </a:prstGeom>
                  </pic:spPr>
                </pic:pic>
              </a:graphicData>
            </a:graphic>
          </wp:inline>
        </w:drawing>
      </w:r>
      <w:r>
        <w:rPr/>
        <w:t xml:space="preserve"> </w:t>
      </w:r>
    </w:p>
    <w:p>
      <w:pPr>
        <w:pStyle w:val="TextBody"/>
        <w:spacing w:before="240" w:after="0"/>
        <w:jc w:val="left"/>
        <w:rPr>
          <w:rFonts w:ascii="ARIAL" w:hAnsi="ARIAL"/>
          <w:sz w:val="20"/>
        </w:rPr>
      </w:pPr>
      <w:r>
        <w:rPr>
          <w:rFonts w:ascii="ARIAL" w:hAnsi="ARIAL"/>
          <w:sz w:val="20"/>
        </w:rPr>
        <w:t xml:space="preserve">Listed below, in no specific order, are the performance measures which in our assessment represent the most important measures we use to link compensation actually paid to our NEOs for 2022 to the Company’s performance: </w:t>
      </w:r>
    </w:p>
    <w:p>
      <w:pPr>
        <w:pStyle w:val="TextBody"/>
        <w:spacing w:before="240" w:after="0"/>
        <w:jc w:val="center"/>
        <w:rPr>
          <w:rFonts w:ascii="ARIAL" w:hAnsi="ARIAL"/>
          <w:sz w:val="20"/>
        </w:rPr>
      </w:pPr>
      <w:r>
        <w:rPr>
          <w:rFonts w:ascii="ARIAL" w:hAnsi="ARIAL"/>
          <w:sz w:val="20"/>
        </w:rPr>
        <w:t xml:space="preserve">Adjusted EBITDA </w:t>
      </w:r>
    </w:p>
    <w:p>
      <w:pPr>
        <w:pStyle w:val="TextBody"/>
        <w:spacing w:before="240" w:after="0"/>
        <w:jc w:val="center"/>
        <w:rPr/>
      </w:pPr>
      <w:r>
        <w:rPr/>
        <w:t> </w:t>
      </w:r>
      <w:r>
        <w:rPr>
          <w:rFonts w:ascii="ARIAL" w:hAnsi="ARIAL"/>
          <w:sz w:val="20"/>
        </w:rPr>
        <w:t xml:space="preserve">- - - - -  </w:t>
      </w:r>
    </w:p>
    <w:p>
      <w:pPr>
        <w:pStyle w:val="TextBody"/>
        <w:spacing w:before="240" w:after="0"/>
        <w:jc w:val="center"/>
        <w:rPr>
          <w:rFonts w:ascii="ARIAL" w:hAnsi="ARIAL"/>
          <w:sz w:val="20"/>
        </w:rPr>
      </w:pPr>
      <w:r>
        <w:rPr>
          <w:rFonts w:ascii="ARIAL" w:hAnsi="ARIAL"/>
          <w:sz w:val="20"/>
        </w:rPr>
        <w:t xml:space="preserve">Cumulative Consolidated Adjusted EBITDA Growth </w:t>
      </w:r>
    </w:p>
    <w:p>
      <w:pPr>
        <w:pStyle w:val="TextBody"/>
        <w:spacing w:before="240" w:after="0"/>
        <w:jc w:val="center"/>
        <w:rPr/>
      </w:pPr>
      <w:r>
        <w:rPr/>
        <w:t> </w:t>
      </w:r>
      <w:r>
        <w:rPr>
          <w:rFonts w:ascii="ARIAL" w:hAnsi="ARIAL"/>
          <w:sz w:val="20"/>
        </w:rPr>
        <w:t xml:space="preserve">- - - - -  </w:t>
      </w:r>
    </w:p>
    <w:p>
      <w:pPr>
        <w:pStyle w:val="TextBody"/>
        <w:spacing w:before="240" w:after="0"/>
        <w:jc w:val="center"/>
        <w:rPr>
          <w:rFonts w:ascii="ARIAL" w:hAnsi="ARIAL"/>
          <w:sz w:val="20"/>
        </w:rPr>
      </w:pPr>
      <w:r>
        <w:rPr>
          <w:rFonts w:ascii="ARIAL" w:hAnsi="ARIAL"/>
          <w:sz w:val="20"/>
        </w:rPr>
        <w:t xml:space="preserve">Net Revenues </w:t>
      </w:r>
    </w:p>
    <w:p>
      <w:pPr>
        <w:pStyle w:val="TextBody"/>
        <w:spacing w:before="240" w:after="0"/>
        <w:jc w:val="center"/>
        <w:rPr/>
      </w:pPr>
      <w:r>
        <w:rPr/>
        <w:t> </w:t>
      </w:r>
      <w:r>
        <w:rPr>
          <w:rFonts w:ascii="ARIAL" w:hAnsi="ARIAL"/>
          <w:sz w:val="20"/>
        </w:rPr>
        <w:t xml:space="preserve">- - - - -  </w:t>
      </w:r>
    </w:p>
    <w:p>
      <w:pPr>
        <w:pStyle w:val="TextBody"/>
        <w:spacing w:before="240" w:after="0"/>
        <w:jc w:val="center"/>
        <w:rPr>
          <w:rFonts w:ascii="ARIAL" w:hAnsi="ARIAL"/>
          <w:sz w:val="20"/>
        </w:rPr>
      </w:pPr>
      <w:r>
        <w:rPr>
          <w:rFonts w:ascii="ARIAL" w:hAnsi="ARIAL"/>
          <w:sz w:val="20"/>
        </w:rPr>
        <w:t xml:space="preserve">Consolidated Adjusted EBITDA Margin Improvement </w:t>
      </w:r>
    </w:p>
    <w:p>
      <w:pPr>
        <w:pStyle w:val="TextBody"/>
        <w:spacing w:before="240" w:after="0"/>
        <w:jc w:val="center"/>
        <w:rPr/>
      </w:pPr>
      <w:r>
        <w:rPr/>
        <w:t> </w:t>
      </w:r>
      <w:r>
        <w:rPr>
          <w:rFonts w:ascii="ARIAL" w:hAnsi="ARIAL"/>
          <w:sz w:val="20"/>
        </w:rPr>
        <w:t xml:space="preserve">- - - - -  </w:t>
      </w:r>
    </w:p>
    <w:p>
      <w:pPr>
        <w:pStyle w:val="TextBody"/>
        <w:spacing w:before="240" w:after="0"/>
        <w:jc w:val="center"/>
        <w:rPr>
          <w:rFonts w:ascii="ARIAL" w:hAnsi="ARIAL"/>
          <w:sz w:val="20"/>
        </w:rPr>
      </w:pPr>
      <w:r>
        <w:rPr>
          <w:rFonts w:ascii="ARIAL" w:hAnsi="ARIAL"/>
          <w:sz w:val="20"/>
        </w:rPr>
        <w:t xml:space="preserve">Adjusted Earnings per Share </w:t>
      </w:r>
    </w:p>
    <w:p>
      <w:pPr>
        <w:pStyle w:val="TextBody"/>
        <w:spacing w:before="240" w:after="0"/>
        <w:jc w:val="left"/>
        <w:rPr>
          <w:rFonts w:ascii="ARIAL" w:hAnsi="ARIAL"/>
          <w:spacing w:val="0"/>
          <w:sz w:val="20"/>
        </w:rPr>
      </w:pPr>
      <w:r>
        <w:rPr>
          <w:rFonts w:ascii="ARIAL" w:hAnsi="ARIAL"/>
          <w:spacing w:val="0"/>
          <w:sz w:val="20"/>
        </w:rPr>
        <w:t>See</w:t>
      </w:r>
    </w:p>
    <w:p>
      <w:pPr>
        <w:pStyle w:val="TextBody"/>
        <w:spacing w:before="240" w:after="0"/>
        <w:jc w:val="left"/>
        <w:rPr>
          <w:rFonts w:ascii="ARIAL" w:hAnsi="ARIAL"/>
          <w:sz w:val="20"/>
        </w:rPr>
      </w:pPr>
      <w:r>
        <w:rPr>
          <w:rFonts w:ascii="ARIAL" w:hAnsi="ARIAL"/>
          <w:sz w:val="20"/>
        </w:rPr>
        <w:t xml:space="preserve">the Compensation Discussion and Analysis above, including under “Annual Cash Incentive Compensation” and “Long-Term Incentives,” for additional information regarding how we utilized these performance measures in connection with determining compensation paid to our NEOs in 2022. In addition, Adjusted EBITDA, Cumulative Consolidated Adjusted EBITDA Growth, Consolidated Adjusted EBITDA Margin Improvement and Adjusted Earnings per Share are </w:t>
      </w:r>
    </w:p>
    <w:p>
      <w:pPr>
        <w:pStyle w:val="TextBody"/>
        <w:spacing w:before="240" w:after="0"/>
        <w:jc w:val="left"/>
        <w:rPr>
          <w:rFonts w:ascii="ARIAL" w:hAnsi="ARIAL"/>
          <w:spacing w:val="0"/>
          <w:sz w:val="20"/>
        </w:rPr>
      </w:pPr>
      <w:r>
        <w:rPr>
          <w:rFonts w:ascii="ARIAL" w:hAnsi="ARIAL"/>
          <w:spacing w:val="0"/>
          <w:sz w:val="20"/>
        </w:rPr>
        <w:t>non-GAAP</w:t>
      </w:r>
    </w:p>
    <w:p>
      <w:pPr>
        <w:pStyle w:val="TextBody"/>
        <w:spacing w:before="240" w:after="0"/>
        <w:jc w:val="left"/>
        <w:rPr>
          <w:rFonts w:ascii="ARIAL" w:hAnsi="ARIAL"/>
          <w:sz w:val="20"/>
        </w:rPr>
      </w:pPr>
      <w:r>
        <w:rPr>
          <w:rFonts w:ascii="ARIAL" w:hAnsi="ARIAL"/>
          <w:sz w:val="20"/>
        </w:rPr>
        <w:t xml:space="preserve">financial measures. For additional information regarding Adjusted EBITDA and Adjusted Earnings per Share, see Annex A. </w:t>
      </w:r>
    </w:p>
    <w:p>
      <w:pPr>
        <w:pStyle w:val="TextBody"/>
        <w:spacing w:before="0" w:after="0"/>
        <w:jc w:val="left"/>
        <w:rPr/>
      </w:pPr>
      <w:r>
        <w:rPr/>
        <w:t> </w:t>
      </w:r>
    </w:p>
    <w:p>
      <w:pPr>
        <w:pStyle w:val="TextBody"/>
        <w:spacing w:lineRule="atLeast" w:line="141" w:before="0" w:after="40"/>
        <w:jc w:val="center"/>
        <w:rPr>
          <w:bdr w:val="single" w:sz="8" w:space="1" w:color="000000"/>
        </w:rPr>
      </w:pPr>
      <w:r>
        <w:rPr>
          <w:bdr w:val="single" w:sz="8" w:space="1" w:color="000000"/>
        </w:rPr>
        <w:t> </w:t>
      </w:r>
    </w:p>
    <w:p>
      <w:pPr>
        <w:pStyle w:val="TextBody"/>
        <w:spacing w:before="0" w:after="0"/>
        <w:jc w:val="left"/>
        <w:rPr/>
      </w:pPr>
      <w:r>
        <w:rPr/>
        <w:t> </w:t>
      </w:r>
    </w:p>
    <w:p>
      <w:pPr>
        <w:pStyle w:val="TextBody"/>
        <w:spacing w:before="0" w:after="0"/>
        <w:jc w:val="left"/>
        <w:rPr/>
      </w:pPr>
      <w:r>
        <w:rPr/>
        <w:t> </w:t>
      </w:r>
    </w:p>
    <w:p>
      <w:pPr>
        <w:pStyle w:val="TextBody"/>
        <w:jc w:val="center"/>
        <w:rPr>
          <w:rFonts w:ascii="ARIAL" w:hAnsi="ARIAL"/>
          <w:sz w:val="20"/>
        </w:rPr>
      </w:pPr>
      <w:r>
        <w:rPr>
          <w:rFonts w:ascii="ARIAL" w:hAnsi="ARIAL"/>
          <w:sz w:val="20"/>
        </w:rPr>
        <w:t xml:space="preserve">80 </w:t>
      </w:r>
      <w:r>
        <w:br w:type="page"/>
      </w:r>
    </w:p>
    <w:p>
      <w:pPr>
        <w:pStyle w:val="HorizontalLine"/>
        <w:rPr/>
      </w:pPr>
      <w:r>
        <w:rPr/>
      </w:r>
    </w:p>
    <w:p>
      <w:pPr>
        <w:pStyle w:val="TextBody"/>
        <w:spacing w:before="0" w:after="0"/>
        <w:jc w:val="left"/>
        <w:rPr>
          <w:rFonts w:ascii="ARIAL" w:hAnsi="ARIAL"/>
          <w:b/>
          <w:i/>
          <w:sz w:val="20"/>
        </w:rPr>
      </w:pPr>
      <w:bookmarkStart w:id="26" w:name="toc360141_23"/>
      <w:bookmarkEnd w:id="26"/>
      <w:r>
        <w:rPr>
          <w:rFonts w:ascii="ARIAL" w:hAnsi="ARIAL"/>
          <w:b/>
          <w:i/>
          <w:sz w:val="20"/>
        </w:rPr>
        <w:t xml:space="preserve">PROPOSAL 4 — APPROVAL OF THE AMENDMENT AND RESTATEMENT OF THE COMMUNITY HEALTH SYSTEMS, INC. 2009 STOCK OPTION AND AWARD PLAN (AS PREVIOUSLY AMENDED AND RESTATED), WHICH WAS APPROVED BY THE BOARD ON MARCH 22, 2023 (SUBJECT TO STOCKHOLDER APPROVAL) </w:t>
      </w:r>
    </w:p>
    <w:p>
      <w:pPr>
        <w:pStyle w:val="TextBody"/>
        <w:spacing w:before="240" w:after="0"/>
        <w:jc w:val="left"/>
        <w:rPr>
          <w:rFonts w:ascii="ARIAL" w:hAnsi="ARIAL"/>
          <w:b/>
          <w:sz w:val="20"/>
        </w:rPr>
      </w:pPr>
      <w:r>
        <w:rPr>
          <w:rFonts w:ascii="ARIAL" w:hAnsi="ARIAL"/>
          <w:b/>
          <w:sz w:val="20"/>
        </w:rPr>
        <w:t xml:space="preserve">General </w:t>
      </w:r>
    </w:p>
    <w:p>
      <w:pPr>
        <w:pStyle w:val="TextBody"/>
        <w:spacing w:before="240" w:after="0"/>
        <w:jc w:val="left"/>
        <w:rPr>
          <w:rFonts w:ascii="ARIAL" w:hAnsi="ARIAL"/>
          <w:sz w:val="20"/>
        </w:rPr>
      </w:pPr>
      <w:r>
        <w:rPr>
          <w:rFonts w:ascii="ARIAL" w:hAnsi="ARIAL"/>
          <w:sz w:val="20"/>
        </w:rPr>
        <w:t xml:space="preserve">The Board proposes that the stockholders approve the amendment and restatement of our 2009 Stock Option and Award Plan as previously amended and restated (the “2009 Plan”) which, upon recommendation of the Compensation Committee, was approved by the Board on March 22, 2023, subject to stockholder approval at the Annual Meeting. Our Board is seeking stockholder approval of the amendment and restatement of the 2009 Plan in accordance with the rules of the New York Stock Exchange. </w:t>
      </w:r>
    </w:p>
    <w:p>
      <w:pPr>
        <w:pStyle w:val="TextBody"/>
        <w:spacing w:before="240" w:after="0"/>
        <w:jc w:val="left"/>
        <w:rPr>
          <w:rFonts w:ascii="ARIAL" w:hAnsi="ARIAL"/>
          <w:sz w:val="20"/>
        </w:rPr>
      </w:pPr>
      <w:r>
        <w:rPr>
          <w:rFonts w:ascii="ARIAL" w:hAnsi="ARIAL"/>
          <w:sz w:val="20"/>
        </w:rPr>
        <w:t xml:space="preserve">This proposed amendment and restatement of the 2009 Plan (the “Amended and Restated 2009 Plan”) would increase the number of shares available for options and awards by 7,500,000. Prior to giving effect to this amendment and restatement, 1,539,421 shares of our Common Stock were available for issuance as of March 1, 2023 under the 2009 Plan (after giving effect to the grant of awards as part of our annual equity grant process which were approved by the Board and/or the Compensation Committee on February 15, 2023, with a grant date of March 1, 2023 (the “2023 Annual Equity Grants”)). Accordingly, if this proposal is approved by our stockholders, there would be 9,039,421 shares of our Common Stock available for issuance under the Amended and Restated 2009 Plan, less any shares subject to awards granted after March 1, 2023. The Amended and Restated 2009 Plan provides that in the event any awards are made in the form of “full-value awards” (including restricted stock, restricted stock units, share-settled performance awards, and other share awards), such awards will reduce the number of shares available under the Amended and Restated 2009 Plan by 1.20 shares for each share awarded (under the 2009 Plan, prior to giving effect to this amendment and restatement, in the event that awards are made in the form of full-value awards, such awards will reduce the number of shares available under the 2009 Plan by 1.52 shares for each share awarded). For a summary of significant terms of the Amended and Restated 2009 Plan, see below under “Summary of Amended and Restated 2009 Plan.” Our Board of Directors initially adopted the 2009 Plan in March 2009, and our stockholders approved the 2009 Plan in May 2009, at the 2009 annual meeting of stockholders. Our Board of Directors subsequently adopted an amended and restated 2009 Plan in each of March 2011, 2013, 2014, 2016, 2018, 2020 and 2021. In each case, the stockholders approved the amended and restated 2009 Plan at the next annual meeting of stockholders the following May. The 2009 Plan provides, and the Amended and Restated 2009 Plan would provide, for the grant of incentive stock options intended to qualify under Section 422 of the IRC and for the grant of stock options which do not so qualify, stock appreciation rights, restricted stock, restricted stock units, performance-based shares or units, and other share awards. </w:t>
      </w:r>
    </w:p>
    <w:p>
      <w:pPr>
        <w:pStyle w:val="TextBody"/>
        <w:spacing w:before="240" w:after="0"/>
        <w:jc w:val="left"/>
        <w:rPr>
          <w:rFonts w:ascii="ARIAL" w:hAnsi="ARIAL"/>
          <w:sz w:val="20"/>
        </w:rPr>
      </w:pPr>
      <w:r>
        <w:rPr>
          <w:rFonts w:ascii="ARIAL" w:hAnsi="ARIAL"/>
          <w:sz w:val="20"/>
        </w:rPr>
        <w:t xml:space="preserve">The Board believes that the Amended and Restated 2009 Plan is necessary to continue to enable the Company to attract, motivate and retain officers, employees, directors and consultants with appropriate experience and to increase the grantees’ alignment of interest with the stockholders. Based on the Company’s recent grant practices, the requested increase in the number of shares available for options and awards under the Amended and Restated 2009 Plan is expected to provide the Company with enough shares to make equity grants to its officers, employees and directors of the Company through our annual equity grants anticipated to be made or around March 2025. However, the requested increase in the number of shares available for options and awards under the Amended and Restated 2009 Plan may last for a shorter or longer period of time depending on various factors, such as the number of grant recipients, future grant practices, our stock price, and forfeiture rates. </w:t>
      </w:r>
    </w:p>
    <w:p>
      <w:pPr>
        <w:pStyle w:val="TextBody"/>
        <w:spacing w:before="240" w:after="0"/>
        <w:jc w:val="left"/>
        <w:rPr>
          <w:rFonts w:ascii="ARIAL" w:hAnsi="ARIAL"/>
          <w:sz w:val="20"/>
        </w:rPr>
      </w:pPr>
      <w:r>
        <w:rPr>
          <w:rFonts w:ascii="ARIAL" w:hAnsi="ARIAL"/>
          <w:sz w:val="20"/>
        </w:rPr>
        <w:t xml:space="preserve">Unless the Amended and Restated 2009 Plan is approved by the stockholders of the Company, the remaining shares available for grant under the 2009 Plan may be significantly less than what will be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81 </w:t>
      </w:r>
      <w:r>
        <w:br w:type="page"/>
      </w:r>
    </w:p>
    <w:p>
      <w:pPr>
        <w:pStyle w:val="HorizontalLine"/>
        <w:rPr/>
      </w:pPr>
      <w:r>
        <w:rPr/>
      </w:r>
    </w:p>
    <w:p>
      <w:pPr>
        <w:pStyle w:val="TextBody"/>
        <w:spacing w:before="0" w:after="0"/>
        <w:jc w:val="left"/>
        <w:rPr>
          <w:rFonts w:ascii="ARIAL" w:hAnsi="ARIAL"/>
          <w:sz w:val="20"/>
        </w:rPr>
      </w:pPr>
      <w:r>
        <w:rPr>
          <w:rFonts w:ascii="ARIAL" w:hAnsi="ARIAL"/>
          <w:sz w:val="20"/>
        </w:rPr>
        <w:t xml:space="preserve">needed to grant awards in connection with our annual equity grants anticipated to be made on or around March 2024 to officers, employees and directors of the Company consistent with our compensation philosophy and historic grant practices. If the Company’s stockholders do not approve the Amended and Restated 2009 Plan, compensatory grants may continue to be made under the 2009 Plan only to the extent that shares of Common Stock remain available for grant under the 2009 Plan. The 2009 Plan is the only plan under which we are currently authorized to make equity awards. </w:t>
      </w:r>
    </w:p>
    <w:p>
      <w:pPr>
        <w:pStyle w:val="TextBody"/>
        <w:spacing w:before="240" w:after="0"/>
        <w:jc w:val="left"/>
        <w:rPr>
          <w:rFonts w:ascii="ARIAL" w:hAnsi="ARIAL"/>
          <w:b/>
          <w:sz w:val="20"/>
        </w:rPr>
      </w:pPr>
      <w:r>
        <w:rPr>
          <w:rFonts w:ascii="ARIAL" w:hAnsi="ARIAL"/>
          <w:b/>
          <w:sz w:val="20"/>
        </w:rPr>
        <w:t xml:space="preserve">Historical Share Usage and Overhang </w:t>
      </w:r>
    </w:p>
    <w:p>
      <w:pPr>
        <w:pStyle w:val="TextBody"/>
        <w:spacing w:before="240" w:after="0"/>
        <w:jc w:val="left"/>
        <w:rPr>
          <w:rFonts w:ascii="ARIAL" w:hAnsi="ARIAL"/>
          <w:sz w:val="20"/>
        </w:rPr>
      </w:pPr>
      <w:r>
        <w:rPr>
          <w:rFonts w:ascii="ARIAL" w:hAnsi="ARIAL"/>
          <w:sz w:val="20"/>
        </w:rPr>
        <w:t xml:space="preserve">We manage our long-term dilution by considering the number of shares subject to equity awards that we grant annually in proportion to the Company’s outstanding shares, referred to as burn rate. Burn rate is a key measure of dilution that shows the percentage of a company’s outstanding shares that are granted pursuant to equity awards in a given year; it does not take into account cancellations and other shares returned to the reserve. We believe our historical share utilization rate has been prudent and mindful of stockholder interests. </w:t>
      </w:r>
    </w:p>
    <w:p>
      <w:pPr>
        <w:pStyle w:val="TextBody"/>
        <w:spacing w:before="240" w:after="0"/>
        <w:jc w:val="left"/>
        <w:rPr>
          <w:rFonts w:ascii="ARIAL" w:hAnsi="ARIAL"/>
          <w:sz w:val="20"/>
        </w:rPr>
      </w:pPr>
      <w:r>
        <w:rPr>
          <w:rFonts w:ascii="ARIAL" w:hAnsi="ARIAL"/>
          <w:sz w:val="20"/>
        </w:rPr>
        <w:t xml:space="preserve">The following table sets forth information regarding awards granted in each of the years ended December 31, 2022, 2021 and 2020, respectively, and the corresponding gross burn rate (which does not take into account award cancellations under the 2009 Plan). </w:t>
      </w:r>
    </w:p>
    <w:p>
      <w:pPr>
        <w:pStyle w:val="TextBody"/>
        <w:spacing w:before="0" w:after="0"/>
        <w:jc w:val="left"/>
        <w:rPr/>
      </w:pPr>
      <w:r>
        <w:rPr/>
        <w:t> </w:t>
      </w:r>
    </w:p>
    <w:tbl>
      <w:tblPr>
        <w:tblW w:w="9863" w:type="dxa"/>
        <w:jc w:val="left"/>
        <w:tblInd w:w="0" w:type="dxa"/>
        <w:tblCellMar>
          <w:top w:w="0" w:type="dxa"/>
          <w:left w:w="0" w:type="dxa"/>
          <w:bottom w:w="0" w:type="dxa"/>
          <w:right w:w="0" w:type="dxa"/>
        </w:tblCellMar>
      </w:tblPr>
      <w:tblGrid>
        <w:gridCol w:w="1190"/>
        <w:gridCol w:w="60"/>
        <w:gridCol w:w="61"/>
        <w:gridCol w:w="814"/>
        <w:gridCol w:w="60"/>
        <w:gridCol w:w="60"/>
        <w:gridCol w:w="81"/>
        <w:gridCol w:w="1334"/>
        <w:gridCol w:w="60"/>
        <w:gridCol w:w="60"/>
        <w:gridCol w:w="69"/>
        <w:gridCol w:w="1135"/>
        <w:gridCol w:w="60"/>
        <w:gridCol w:w="60"/>
        <w:gridCol w:w="60"/>
        <w:gridCol w:w="980"/>
        <w:gridCol w:w="60"/>
        <w:gridCol w:w="60"/>
        <w:gridCol w:w="80"/>
        <w:gridCol w:w="1635"/>
        <w:gridCol w:w="60"/>
        <w:gridCol w:w="60"/>
        <w:gridCol w:w="170"/>
        <w:gridCol w:w="1259"/>
        <w:gridCol w:w="335"/>
      </w:tblGrid>
      <w:tr>
        <w:trPr/>
        <w:tc>
          <w:tcPr>
            <w:tcW w:w="11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center"/>
          </w:tcPr>
          <w:p>
            <w:pPr>
              <w:pStyle w:val="TableContents"/>
              <w:spacing w:before="0" w:after="283"/>
              <w:rPr>
                <w:sz w:val="4"/>
                <w:szCs w:val="4"/>
              </w:rPr>
            </w:pPr>
            <w:r>
              <w:rPr>
                <w:sz w:val="4"/>
                <w:szCs w:val="4"/>
              </w:rPr>
            </w:r>
          </w:p>
        </w:tc>
        <w:tc>
          <w:tcPr>
            <w:tcW w:w="81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1" w:type="dxa"/>
            <w:tcBorders/>
            <w:shd w:fill="auto" w:val="clear"/>
            <w:vAlign w:val="center"/>
          </w:tcPr>
          <w:p>
            <w:pPr>
              <w:pStyle w:val="TableContents"/>
              <w:spacing w:before="0" w:after="283"/>
              <w:rPr>
                <w:sz w:val="4"/>
                <w:szCs w:val="4"/>
              </w:rPr>
            </w:pPr>
            <w:r>
              <w:rPr>
                <w:sz w:val="4"/>
                <w:szCs w:val="4"/>
              </w:rPr>
            </w:r>
          </w:p>
        </w:tc>
        <w:tc>
          <w:tcPr>
            <w:tcW w:w="133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9" w:type="dxa"/>
            <w:tcBorders/>
            <w:shd w:fill="auto" w:val="clear"/>
            <w:vAlign w:val="center"/>
          </w:tcPr>
          <w:p>
            <w:pPr>
              <w:pStyle w:val="TableContents"/>
              <w:spacing w:before="0" w:after="283"/>
              <w:rPr>
                <w:sz w:val="4"/>
                <w:szCs w:val="4"/>
              </w:rPr>
            </w:pPr>
            <w:r>
              <w:rPr>
                <w:sz w:val="4"/>
                <w:szCs w:val="4"/>
              </w:rPr>
            </w:r>
          </w:p>
        </w:tc>
        <w:tc>
          <w:tcPr>
            <w:tcW w:w="11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16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259"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r>
      <w:tr>
        <w:trPr/>
        <w:tc>
          <w:tcPr>
            <w:tcW w:w="1190" w:type="dxa"/>
            <w:tcBorders>
              <w:top w:val="single" w:sz="6" w:space="0" w:color="000000"/>
              <w:left w:val="single" w:sz="6" w:space="0" w:color="000000"/>
              <w:right w:val="single" w:sz="6" w:space="0" w:color="000000"/>
            </w:tcBorders>
            <w:shd w:fill="auto" w:val="clear"/>
            <w:tcMar>
              <w:top w:w="28" w:type="dxa"/>
              <w:left w:w="160" w:type="dxa"/>
              <w:right w:w="28" w:type="dxa"/>
            </w:tcMar>
            <w:vAlign w:val="center"/>
          </w:tcPr>
          <w:p>
            <w:pPr>
              <w:pStyle w:val="TableContents"/>
              <w:spacing w:before="0" w:after="283"/>
              <w:rPr/>
            </w:pPr>
            <w:r>
              <w:rPr/>
              <w:t> </w:t>
            </w:r>
          </w:p>
        </w:tc>
        <w:tc>
          <w:tcPr>
            <w:tcW w:w="995" w:type="dxa"/>
            <w:gridSpan w:val="4"/>
            <w:tcBorders>
              <w:top w:val="single" w:sz="6" w:space="0" w:color="000000"/>
              <w:left w:val="single" w:sz="6" w:space="0" w:color="000000"/>
              <w:right w:val="single" w:sz="6" w:space="0" w:color="000000"/>
            </w:tcBorders>
            <w:shd w:fill="auto" w:val="clear"/>
            <w:tcMar>
              <w:top w:w="28" w:type="dxa"/>
              <w:left w:w="28" w:type="dxa"/>
              <w:right w:w="28" w:type="dxa"/>
            </w:tcMar>
            <w:vAlign w:val="center"/>
          </w:tcPr>
          <w:p>
            <w:pPr>
              <w:pStyle w:val="TableContents"/>
              <w:spacing w:before="0" w:after="283"/>
              <w:rPr/>
            </w:pPr>
            <w:r>
              <w:rPr/>
              <w:t> </w:t>
            </w:r>
          </w:p>
        </w:tc>
        <w:tc>
          <w:tcPr>
            <w:tcW w:w="1535" w:type="dxa"/>
            <w:gridSpan w:val="4"/>
            <w:tcBorders>
              <w:top w:val="single" w:sz="6" w:space="0" w:color="000000"/>
              <w:left w:val="single" w:sz="6" w:space="0" w:color="000000"/>
              <w:right w:val="single" w:sz="6" w:space="0" w:color="000000"/>
            </w:tcBorders>
            <w:shd w:fill="auto" w:val="clear"/>
            <w:tcMar>
              <w:top w:w="28" w:type="dxa"/>
              <w:left w:w="28" w:type="dxa"/>
              <w:right w:w="28" w:type="dxa"/>
            </w:tcMar>
            <w:vAlign w:val="center"/>
          </w:tcPr>
          <w:p>
            <w:pPr>
              <w:pStyle w:val="TableContents"/>
              <w:spacing w:before="0" w:after="283"/>
              <w:rPr/>
            </w:pPr>
            <w:r>
              <w:rPr/>
              <w:t> </w:t>
            </w:r>
          </w:p>
        </w:tc>
        <w:tc>
          <w:tcPr>
            <w:tcW w:w="1324" w:type="dxa"/>
            <w:gridSpan w:val="4"/>
            <w:tcBorders>
              <w:top w:val="single" w:sz="6" w:space="0" w:color="000000"/>
              <w:left w:val="single" w:sz="6" w:space="0" w:color="000000"/>
              <w:right w:val="single" w:sz="6" w:space="0" w:color="000000"/>
            </w:tcBorders>
            <w:shd w:fill="auto" w:val="clear"/>
            <w:tcMar>
              <w:top w:w="28" w:type="dxa"/>
              <w:left w:w="28" w:type="dxa"/>
              <w:right w:w="28" w:type="dxa"/>
            </w:tcMar>
            <w:vAlign w:val="center"/>
          </w:tcPr>
          <w:p>
            <w:pPr>
              <w:pStyle w:val="TableContents"/>
              <w:spacing w:before="0" w:after="283"/>
              <w:rPr/>
            </w:pPr>
            <w:r>
              <w:rPr/>
              <w:t> </w:t>
            </w:r>
          </w:p>
        </w:tc>
        <w:tc>
          <w:tcPr>
            <w:tcW w:w="1160" w:type="dxa"/>
            <w:gridSpan w:val="4"/>
            <w:tcBorders>
              <w:top w:val="single" w:sz="6" w:space="0" w:color="000000"/>
              <w:left w:val="single" w:sz="6" w:space="0" w:color="000000"/>
              <w:right w:val="single" w:sz="6" w:space="0" w:color="000000"/>
            </w:tcBorders>
            <w:shd w:fill="auto" w:val="clear"/>
            <w:tcMar>
              <w:top w:w="28" w:type="dxa"/>
              <w:left w:w="28" w:type="dxa"/>
              <w:right w:w="28" w:type="dxa"/>
            </w:tcMar>
            <w:vAlign w:val="center"/>
          </w:tcPr>
          <w:p>
            <w:pPr>
              <w:pStyle w:val="TableContents"/>
              <w:spacing w:before="0" w:after="283"/>
              <w:rPr/>
            </w:pPr>
            <w:r>
              <w:rPr/>
              <w:t> </w:t>
            </w:r>
          </w:p>
        </w:tc>
        <w:tc>
          <w:tcPr>
            <w:tcW w:w="1835" w:type="dxa"/>
            <w:gridSpan w:val="4"/>
            <w:tcBorders>
              <w:top w:val="single" w:sz="6" w:space="0" w:color="000000"/>
              <w:left w:val="single" w:sz="6" w:space="0" w:color="000000"/>
              <w:right w:val="single" w:sz="6" w:space="0" w:color="000000"/>
            </w:tcBorders>
            <w:shd w:fill="auto" w:val="clear"/>
            <w:tcMar>
              <w:top w:w="28" w:type="dxa"/>
              <w:left w:w="28" w:type="dxa"/>
              <w:right w:w="28" w:type="dxa"/>
            </w:tcMar>
            <w:vAlign w:val="center"/>
          </w:tcPr>
          <w:p>
            <w:pPr>
              <w:pStyle w:val="TableContents"/>
              <w:spacing w:before="0" w:after="283"/>
              <w:rPr/>
            </w:pPr>
            <w:r>
              <w:rPr/>
              <w:t> </w:t>
            </w:r>
          </w:p>
        </w:tc>
        <w:tc>
          <w:tcPr>
            <w:tcW w:w="1824" w:type="dxa"/>
            <w:gridSpan w:val="4"/>
            <w:tcBorders>
              <w:top w:val="single" w:sz="6" w:space="0" w:color="000000"/>
              <w:left w:val="single" w:sz="6" w:space="0" w:color="000000"/>
              <w:right w:val="single" w:sz="6" w:space="0" w:color="000000"/>
            </w:tcBorders>
            <w:shd w:fill="auto" w:val="clear"/>
            <w:tcMar>
              <w:top w:w="28" w:type="dxa"/>
              <w:left w:w="28" w:type="dxa"/>
              <w:right w:w="28" w:type="dxa"/>
            </w:tcMar>
            <w:vAlign w:val="center"/>
          </w:tcPr>
          <w:p>
            <w:pPr>
              <w:pStyle w:val="TableContents"/>
              <w:spacing w:before="0" w:after="283"/>
              <w:rPr/>
            </w:pPr>
            <w:r>
              <w:rPr/>
              <w:t> </w:t>
            </w:r>
          </w:p>
        </w:tc>
      </w:tr>
      <w:tr>
        <w:trPr/>
        <w:tc>
          <w:tcPr>
            <w:tcW w:w="1190" w:type="dxa"/>
            <w:tcBorders>
              <w:left w:val="single" w:sz="6" w:space="0" w:color="000000"/>
              <w:bottom w:val="single" w:sz="6" w:space="0" w:color="000000"/>
              <w:right w:val="single" w:sz="6" w:space="0" w:color="000000"/>
            </w:tcBorders>
            <w:shd w:fill="auto" w:val="clear"/>
            <w:tcMar>
              <w:left w:w="160" w:type="dxa"/>
              <w:bottom w:w="28" w:type="dxa"/>
              <w:right w:w="28" w:type="dxa"/>
            </w:tcMar>
            <w:vAlign w:val="center"/>
          </w:tcPr>
          <w:p>
            <w:pPr>
              <w:pStyle w:val="TableContents"/>
              <w:spacing w:before="0" w:after="283"/>
              <w:rPr>
                <w:b/>
              </w:rPr>
            </w:pPr>
            <w:r>
              <w:rPr>
                <w:b/>
              </w:rPr>
              <w:t>Fiscal Year</w:t>
            </w:r>
          </w:p>
        </w:tc>
        <w:tc>
          <w:tcPr>
            <w:tcW w:w="60" w:type="dxa"/>
            <w:tcBorders>
              <w:left w:val="single" w:sz="6" w:space="0" w:color="000000"/>
              <w:bottom w:val="single" w:sz="6" w:space="0" w:color="000000"/>
            </w:tcBorders>
            <w:shd w:fill="auto" w:val="clear"/>
            <w:tcMar>
              <w:left w:w="28" w:type="dxa"/>
              <w:bottom w:w="28" w:type="dxa"/>
            </w:tcMar>
            <w:vAlign w:val="center"/>
          </w:tcPr>
          <w:p>
            <w:pPr>
              <w:pStyle w:val="TableContents"/>
              <w:spacing w:before="0" w:after="283"/>
              <w:rPr/>
            </w:pPr>
            <w:r>
              <w:rPr/>
              <w:t> </w:t>
            </w:r>
          </w:p>
        </w:tc>
        <w:tc>
          <w:tcPr>
            <w:tcW w:w="875" w:type="dxa"/>
            <w:gridSpan w:val="2"/>
            <w:tcBorders>
              <w:bottom w:val="single" w:sz="6" w:space="0" w:color="000000"/>
            </w:tcBorders>
            <w:shd w:fill="auto" w:val="clear"/>
            <w:tcMar>
              <w:bottom w:w="28" w:type="dxa"/>
            </w:tcMar>
            <w:vAlign w:val="center"/>
          </w:tcPr>
          <w:p>
            <w:pPr>
              <w:pStyle w:val="TableContents"/>
              <w:spacing w:before="0" w:after="283"/>
              <w:jc w:val="center"/>
              <w:rPr>
                <w:b/>
              </w:rPr>
            </w:pPr>
            <w:r>
              <w:rPr>
                <w:b/>
              </w:rPr>
              <w:t>Options</w:t>
              <w:br/>
              <w:t>Granted</w:t>
            </w:r>
          </w:p>
        </w:tc>
        <w:tc>
          <w:tcPr>
            <w:tcW w:w="60" w:type="dxa"/>
            <w:tcBorders>
              <w:bottom w:val="single" w:sz="6" w:space="0" w:color="000000"/>
              <w:right w:val="single" w:sz="6" w:space="0" w:color="000000"/>
            </w:tcBorders>
            <w:shd w:fill="auto" w:val="clear"/>
            <w:tcMar>
              <w:bottom w:w="28" w:type="dxa"/>
              <w:right w:w="28" w:type="dxa"/>
            </w:tcMar>
            <w:vAlign w:val="center"/>
          </w:tcPr>
          <w:p>
            <w:pPr>
              <w:pStyle w:val="TableContents"/>
              <w:spacing w:before="0" w:after="283"/>
              <w:rPr/>
            </w:pPr>
            <w:r>
              <w:rPr/>
              <w:t> </w:t>
            </w:r>
          </w:p>
        </w:tc>
        <w:tc>
          <w:tcPr>
            <w:tcW w:w="60" w:type="dxa"/>
            <w:tcBorders>
              <w:left w:val="single" w:sz="6" w:space="0" w:color="000000"/>
              <w:bottom w:val="single" w:sz="6" w:space="0" w:color="000000"/>
            </w:tcBorders>
            <w:shd w:fill="auto" w:val="clear"/>
            <w:tcMar>
              <w:left w:w="28" w:type="dxa"/>
              <w:bottom w:w="28" w:type="dxa"/>
            </w:tcMar>
            <w:vAlign w:val="center"/>
          </w:tcPr>
          <w:p>
            <w:pPr>
              <w:pStyle w:val="TableContents"/>
              <w:spacing w:before="0" w:after="283"/>
              <w:rPr/>
            </w:pPr>
            <w:r>
              <w:rPr/>
              <w:t> </w:t>
            </w:r>
          </w:p>
        </w:tc>
        <w:tc>
          <w:tcPr>
            <w:tcW w:w="1415" w:type="dxa"/>
            <w:gridSpan w:val="2"/>
            <w:tcBorders>
              <w:bottom w:val="single" w:sz="6" w:space="0" w:color="000000"/>
            </w:tcBorders>
            <w:shd w:fill="auto" w:val="clear"/>
            <w:tcMar>
              <w:bottom w:w="28" w:type="dxa"/>
            </w:tcMar>
            <w:vAlign w:val="center"/>
          </w:tcPr>
          <w:p>
            <w:pPr>
              <w:pStyle w:val="TableContents"/>
              <w:spacing w:before="0" w:after="283"/>
              <w:jc w:val="center"/>
              <w:rPr>
                <w:b/>
              </w:rPr>
            </w:pPr>
            <w:r>
              <w:rPr>
                <w:b/>
              </w:rPr>
              <w:t>Full-Value</w:t>
              <w:br/>
              <w:t>Performance-</w:t>
              <w:br/>
              <w:t>Based</w:t>
              <w:br/>
              <w:t>Awards</w:t>
              <w:br/>
              <w:t>Granted (1)</w:t>
            </w:r>
          </w:p>
        </w:tc>
        <w:tc>
          <w:tcPr>
            <w:tcW w:w="60" w:type="dxa"/>
            <w:tcBorders>
              <w:bottom w:val="single" w:sz="6" w:space="0" w:color="000000"/>
              <w:right w:val="single" w:sz="6" w:space="0" w:color="000000"/>
            </w:tcBorders>
            <w:shd w:fill="auto" w:val="clear"/>
            <w:tcMar>
              <w:bottom w:w="28" w:type="dxa"/>
              <w:right w:w="28" w:type="dxa"/>
            </w:tcMar>
            <w:vAlign w:val="center"/>
          </w:tcPr>
          <w:p>
            <w:pPr>
              <w:pStyle w:val="TableContents"/>
              <w:spacing w:before="0" w:after="283"/>
              <w:rPr/>
            </w:pPr>
            <w:r>
              <w:rPr/>
              <w:t> </w:t>
            </w:r>
          </w:p>
        </w:tc>
        <w:tc>
          <w:tcPr>
            <w:tcW w:w="60" w:type="dxa"/>
            <w:tcBorders>
              <w:left w:val="single" w:sz="6" w:space="0" w:color="000000"/>
              <w:bottom w:val="single" w:sz="6" w:space="0" w:color="000000"/>
            </w:tcBorders>
            <w:shd w:fill="auto" w:val="clear"/>
            <w:tcMar>
              <w:left w:w="28" w:type="dxa"/>
              <w:bottom w:w="28" w:type="dxa"/>
            </w:tcMar>
            <w:vAlign w:val="center"/>
          </w:tcPr>
          <w:p>
            <w:pPr>
              <w:pStyle w:val="TableContents"/>
              <w:spacing w:before="0" w:after="283"/>
              <w:rPr/>
            </w:pPr>
            <w:r>
              <w:rPr/>
              <w:t> </w:t>
            </w:r>
          </w:p>
        </w:tc>
        <w:tc>
          <w:tcPr>
            <w:tcW w:w="1204" w:type="dxa"/>
            <w:gridSpan w:val="2"/>
            <w:tcBorders>
              <w:bottom w:val="single" w:sz="6" w:space="0" w:color="000000"/>
            </w:tcBorders>
            <w:shd w:fill="auto" w:val="clear"/>
            <w:tcMar>
              <w:bottom w:w="28" w:type="dxa"/>
            </w:tcMar>
            <w:vAlign w:val="center"/>
          </w:tcPr>
          <w:p>
            <w:pPr>
              <w:pStyle w:val="TableContents"/>
              <w:spacing w:before="0" w:after="283"/>
              <w:jc w:val="center"/>
              <w:rPr>
                <w:b/>
              </w:rPr>
            </w:pPr>
            <w:r>
              <w:rPr>
                <w:b/>
              </w:rPr>
              <w:t>Full-Value</w:t>
              <w:br/>
              <w:t>Time-</w:t>
              <w:br/>
              <w:t>Based</w:t>
              <w:br/>
              <w:t>Awards</w:t>
              <w:br/>
              <w:t>Granted (2)</w:t>
            </w:r>
          </w:p>
        </w:tc>
        <w:tc>
          <w:tcPr>
            <w:tcW w:w="60" w:type="dxa"/>
            <w:tcBorders>
              <w:bottom w:val="single" w:sz="6" w:space="0" w:color="000000"/>
              <w:right w:val="single" w:sz="6" w:space="0" w:color="000000"/>
            </w:tcBorders>
            <w:shd w:fill="auto" w:val="clear"/>
            <w:tcMar>
              <w:bottom w:w="28" w:type="dxa"/>
              <w:right w:w="28" w:type="dxa"/>
            </w:tcMar>
            <w:vAlign w:val="center"/>
          </w:tcPr>
          <w:p>
            <w:pPr>
              <w:pStyle w:val="TableContents"/>
              <w:spacing w:before="0" w:after="283"/>
              <w:rPr/>
            </w:pPr>
            <w:r>
              <w:rPr/>
              <w:t> </w:t>
            </w:r>
          </w:p>
        </w:tc>
        <w:tc>
          <w:tcPr>
            <w:tcW w:w="60" w:type="dxa"/>
            <w:tcBorders>
              <w:left w:val="single" w:sz="6" w:space="0" w:color="000000"/>
              <w:bottom w:val="single" w:sz="6" w:space="0" w:color="000000"/>
            </w:tcBorders>
            <w:shd w:fill="auto" w:val="clear"/>
            <w:tcMar>
              <w:left w:w="28" w:type="dxa"/>
              <w:bottom w:w="28" w:type="dxa"/>
            </w:tcMar>
            <w:vAlign w:val="center"/>
          </w:tcPr>
          <w:p>
            <w:pPr>
              <w:pStyle w:val="TableContents"/>
              <w:spacing w:before="0" w:after="283"/>
              <w:rPr/>
            </w:pPr>
            <w:r>
              <w:rPr/>
              <w:t> </w:t>
            </w:r>
          </w:p>
        </w:tc>
        <w:tc>
          <w:tcPr>
            <w:tcW w:w="1040" w:type="dxa"/>
            <w:gridSpan w:val="2"/>
            <w:tcBorders>
              <w:bottom w:val="single" w:sz="6" w:space="0" w:color="000000"/>
            </w:tcBorders>
            <w:shd w:fill="auto" w:val="clear"/>
            <w:tcMar>
              <w:bottom w:w="28" w:type="dxa"/>
            </w:tcMar>
            <w:vAlign w:val="center"/>
          </w:tcPr>
          <w:p>
            <w:pPr>
              <w:pStyle w:val="TableContents"/>
              <w:spacing w:before="0" w:after="283"/>
              <w:jc w:val="center"/>
              <w:rPr>
                <w:b/>
              </w:rPr>
            </w:pPr>
            <w:r>
              <w:rPr>
                <w:b/>
              </w:rPr>
              <w:t>Total</w:t>
              <w:br/>
              <w:t>Granted</w:t>
            </w:r>
          </w:p>
        </w:tc>
        <w:tc>
          <w:tcPr>
            <w:tcW w:w="60" w:type="dxa"/>
            <w:tcBorders>
              <w:bottom w:val="single" w:sz="6" w:space="0" w:color="000000"/>
              <w:right w:val="single" w:sz="6" w:space="0" w:color="000000"/>
            </w:tcBorders>
            <w:shd w:fill="auto" w:val="clear"/>
            <w:tcMar>
              <w:bottom w:w="28" w:type="dxa"/>
              <w:right w:w="28" w:type="dxa"/>
            </w:tcMar>
            <w:vAlign w:val="center"/>
          </w:tcPr>
          <w:p>
            <w:pPr>
              <w:pStyle w:val="TableContents"/>
              <w:spacing w:before="0" w:after="283"/>
              <w:rPr/>
            </w:pPr>
            <w:r>
              <w:rPr/>
              <w:t> </w:t>
            </w:r>
          </w:p>
        </w:tc>
        <w:tc>
          <w:tcPr>
            <w:tcW w:w="60" w:type="dxa"/>
            <w:tcBorders>
              <w:left w:val="single" w:sz="6" w:space="0" w:color="000000"/>
              <w:bottom w:val="single" w:sz="6" w:space="0" w:color="000000"/>
            </w:tcBorders>
            <w:shd w:fill="auto" w:val="clear"/>
            <w:tcMar>
              <w:left w:w="28" w:type="dxa"/>
              <w:bottom w:w="28" w:type="dxa"/>
            </w:tcMar>
            <w:vAlign w:val="center"/>
          </w:tcPr>
          <w:p>
            <w:pPr>
              <w:pStyle w:val="TableContents"/>
              <w:spacing w:before="0" w:after="283"/>
              <w:rPr/>
            </w:pPr>
            <w:r>
              <w:rPr/>
              <w:t> </w:t>
            </w:r>
          </w:p>
        </w:tc>
        <w:tc>
          <w:tcPr>
            <w:tcW w:w="1715" w:type="dxa"/>
            <w:gridSpan w:val="2"/>
            <w:tcBorders>
              <w:bottom w:val="single" w:sz="6" w:space="0" w:color="000000"/>
            </w:tcBorders>
            <w:shd w:fill="auto" w:val="clear"/>
            <w:tcMar>
              <w:bottom w:w="28" w:type="dxa"/>
            </w:tcMar>
            <w:vAlign w:val="center"/>
          </w:tcPr>
          <w:p>
            <w:pPr>
              <w:pStyle w:val="TableContents"/>
              <w:spacing w:before="0" w:after="283"/>
              <w:jc w:val="center"/>
              <w:rPr>
                <w:b/>
              </w:rPr>
            </w:pPr>
            <w:r>
              <w:rPr>
                <w:b/>
              </w:rPr>
              <w:t>Weighted</w:t>
              <w:br/>
              <w:t>Average # of</w:t>
              <w:br/>
              <w:t>Common Shares</w:t>
              <w:br/>
              <w:t>Outstanding</w:t>
            </w:r>
          </w:p>
        </w:tc>
        <w:tc>
          <w:tcPr>
            <w:tcW w:w="60" w:type="dxa"/>
            <w:tcBorders>
              <w:bottom w:val="single" w:sz="6" w:space="0" w:color="000000"/>
              <w:right w:val="single" w:sz="6" w:space="0" w:color="000000"/>
            </w:tcBorders>
            <w:shd w:fill="auto" w:val="clear"/>
            <w:tcMar>
              <w:bottom w:w="28" w:type="dxa"/>
              <w:right w:w="28" w:type="dxa"/>
            </w:tcMar>
            <w:vAlign w:val="center"/>
          </w:tcPr>
          <w:p>
            <w:pPr>
              <w:pStyle w:val="TableContents"/>
              <w:spacing w:before="0" w:after="283"/>
              <w:rPr/>
            </w:pPr>
            <w:r>
              <w:rPr/>
              <w:t> </w:t>
            </w:r>
          </w:p>
        </w:tc>
        <w:tc>
          <w:tcPr>
            <w:tcW w:w="60" w:type="dxa"/>
            <w:tcBorders>
              <w:left w:val="single" w:sz="6" w:space="0" w:color="000000"/>
              <w:bottom w:val="single" w:sz="6" w:space="0" w:color="000000"/>
            </w:tcBorders>
            <w:shd w:fill="auto" w:val="clear"/>
            <w:tcMar>
              <w:left w:w="28" w:type="dxa"/>
              <w:bottom w:w="28" w:type="dxa"/>
            </w:tcMar>
            <w:vAlign w:val="center"/>
          </w:tcPr>
          <w:p>
            <w:pPr>
              <w:pStyle w:val="TableContents"/>
              <w:spacing w:before="0" w:after="283"/>
              <w:rPr/>
            </w:pPr>
            <w:r>
              <w:rPr/>
              <w:t> </w:t>
            </w:r>
          </w:p>
        </w:tc>
        <w:tc>
          <w:tcPr>
            <w:tcW w:w="1429" w:type="dxa"/>
            <w:gridSpan w:val="2"/>
            <w:tcBorders>
              <w:bottom w:val="single" w:sz="6" w:space="0" w:color="000000"/>
            </w:tcBorders>
            <w:shd w:fill="auto" w:val="clear"/>
            <w:tcMar>
              <w:bottom w:w="28" w:type="dxa"/>
            </w:tcMar>
            <w:vAlign w:val="center"/>
          </w:tcPr>
          <w:p>
            <w:pPr>
              <w:pStyle w:val="TableContents"/>
              <w:spacing w:before="0" w:after="283"/>
              <w:jc w:val="center"/>
              <w:rPr>
                <w:b/>
              </w:rPr>
            </w:pPr>
            <w:r>
              <w:rPr>
                <w:b/>
              </w:rPr>
              <w:t>Burn Rate (3)</w:t>
            </w:r>
          </w:p>
        </w:tc>
        <w:tc>
          <w:tcPr>
            <w:tcW w:w="335" w:type="dxa"/>
            <w:tcBorders>
              <w:bottom w:val="single" w:sz="6" w:space="0" w:color="000000"/>
              <w:right w:val="single" w:sz="6" w:space="0" w:color="000000"/>
            </w:tcBorders>
            <w:shd w:fill="auto" w:val="clear"/>
            <w:tcMar>
              <w:bottom w:w="28" w:type="dxa"/>
              <w:right w:w="40" w:type="dxa"/>
            </w:tcMar>
            <w:vAlign w:val="center"/>
          </w:tcPr>
          <w:p>
            <w:pPr>
              <w:pStyle w:val="TableContents"/>
              <w:spacing w:before="0" w:after="283"/>
              <w:rPr/>
            </w:pPr>
            <w:r>
              <w:rPr/>
              <w:t> </w:t>
            </w:r>
          </w:p>
        </w:tc>
      </w:tr>
      <w:tr>
        <w:trPr/>
        <w:tc>
          <w:tcPr>
            <w:tcW w:w="1190" w:type="dxa"/>
            <w:tcBorders>
              <w:top w:val="single" w:sz="6" w:space="0" w:color="000000"/>
              <w:left w:val="single" w:sz="6" w:space="0" w:color="000000"/>
              <w:right w:val="single" w:sz="6" w:space="0" w:color="000000"/>
            </w:tcBorders>
            <w:shd w:fill="auto" w:val="clear"/>
            <w:tcMar>
              <w:top w:w="28" w:type="dxa"/>
              <w:left w:w="160" w:type="dxa"/>
              <w:right w:w="28" w:type="dxa"/>
            </w:tcMar>
            <w:vAlign w:val="center"/>
          </w:tcPr>
          <w:p>
            <w:pPr>
              <w:pStyle w:val="TableContents"/>
              <w:spacing w:before="0" w:after="283"/>
              <w:rPr/>
            </w:pPr>
            <w:r>
              <w:rPr/>
              <w:t> </w:t>
            </w:r>
          </w:p>
        </w:tc>
        <w:tc>
          <w:tcPr>
            <w:tcW w:w="995" w:type="dxa"/>
            <w:gridSpan w:val="4"/>
            <w:tcBorders>
              <w:top w:val="single" w:sz="6" w:space="0" w:color="000000"/>
              <w:left w:val="single" w:sz="6" w:space="0" w:color="000000"/>
              <w:right w:val="single" w:sz="6" w:space="0" w:color="000000"/>
            </w:tcBorders>
            <w:shd w:fill="auto" w:val="clear"/>
            <w:tcMar>
              <w:top w:w="28" w:type="dxa"/>
              <w:left w:w="28" w:type="dxa"/>
              <w:right w:w="28" w:type="dxa"/>
            </w:tcMar>
            <w:vAlign w:val="center"/>
          </w:tcPr>
          <w:p>
            <w:pPr>
              <w:pStyle w:val="TableContents"/>
              <w:spacing w:before="0" w:after="283"/>
              <w:rPr/>
            </w:pPr>
            <w:r>
              <w:rPr/>
              <w:t> </w:t>
            </w:r>
          </w:p>
        </w:tc>
        <w:tc>
          <w:tcPr>
            <w:tcW w:w="1535" w:type="dxa"/>
            <w:gridSpan w:val="4"/>
            <w:tcBorders>
              <w:top w:val="single" w:sz="6" w:space="0" w:color="000000"/>
              <w:left w:val="single" w:sz="6" w:space="0" w:color="000000"/>
              <w:right w:val="single" w:sz="6" w:space="0" w:color="000000"/>
            </w:tcBorders>
            <w:shd w:fill="auto" w:val="clear"/>
            <w:tcMar>
              <w:top w:w="28" w:type="dxa"/>
              <w:left w:w="28" w:type="dxa"/>
              <w:right w:w="28" w:type="dxa"/>
            </w:tcMar>
            <w:vAlign w:val="center"/>
          </w:tcPr>
          <w:p>
            <w:pPr>
              <w:pStyle w:val="TableContents"/>
              <w:spacing w:before="0" w:after="283"/>
              <w:rPr/>
            </w:pPr>
            <w:r>
              <w:rPr/>
              <w:t> </w:t>
            </w:r>
          </w:p>
        </w:tc>
        <w:tc>
          <w:tcPr>
            <w:tcW w:w="1324" w:type="dxa"/>
            <w:gridSpan w:val="4"/>
            <w:tcBorders>
              <w:top w:val="single" w:sz="6" w:space="0" w:color="000000"/>
              <w:left w:val="single" w:sz="6" w:space="0" w:color="000000"/>
              <w:right w:val="single" w:sz="6" w:space="0" w:color="000000"/>
            </w:tcBorders>
            <w:shd w:fill="auto" w:val="clear"/>
            <w:tcMar>
              <w:top w:w="28" w:type="dxa"/>
              <w:left w:w="28" w:type="dxa"/>
              <w:right w:w="28" w:type="dxa"/>
            </w:tcMar>
            <w:vAlign w:val="center"/>
          </w:tcPr>
          <w:p>
            <w:pPr>
              <w:pStyle w:val="TableContents"/>
              <w:spacing w:before="0" w:after="283"/>
              <w:rPr/>
            </w:pPr>
            <w:r>
              <w:rPr/>
              <w:t> </w:t>
            </w:r>
          </w:p>
        </w:tc>
        <w:tc>
          <w:tcPr>
            <w:tcW w:w="1160" w:type="dxa"/>
            <w:gridSpan w:val="4"/>
            <w:tcBorders>
              <w:top w:val="single" w:sz="6" w:space="0" w:color="000000"/>
              <w:left w:val="single" w:sz="6" w:space="0" w:color="000000"/>
              <w:right w:val="single" w:sz="6" w:space="0" w:color="000000"/>
            </w:tcBorders>
            <w:shd w:fill="auto" w:val="clear"/>
            <w:tcMar>
              <w:top w:w="28" w:type="dxa"/>
              <w:left w:w="28" w:type="dxa"/>
              <w:right w:w="28" w:type="dxa"/>
            </w:tcMar>
            <w:vAlign w:val="center"/>
          </w:tcPr>
          <w:p>
            <w:pPr>
              <w:pStyle w:val="TableContents"/>
              <w:spacing w:before="0" w:after="283"/>
              <w:rPr/>
            </w:pPr>
            <w:r>
              <w:rPr/>
              <w:t> </w:t>
            </w:r>
          </w:p>
        </w:tc>
        <w:tc>
          <w:tcPr>
            <w:tcW w:w="1835" w:type="dxa"/>
            <w:gridSpan w:val="4"/>
            <w:tcBorders>
              <w:top w:val="single" w:sz="6" w:space="0" w:color="000000"/>
              <w:left w:val="single" w:sz="6" w:space="0" w:color="000000"/>
              <w:right w:val="single" w:sz="6" w:space="0" w:color="000000"/>
            </w:tcBorders>
            <w:shd w:fill="auto" w:val="clear"/>
            <w:tcMar>
              <w:top w:w="28" w:type="dxa"/>
              <w:left w:w="28" w:type="dxa"/>
              <w:right w:w="28" w:type="dxa"/>
            </w:tcMar>
            <w:vAlign w:val="center"/>
          </w:tcPr>
          <w:p>
            <w:pPr>
              <w:pStyle w:val="TableContents"/>
              <w:spacing w:before="0" w:after="283"/>
              <w:rPr/>
            </w:pPr>
            <w:r>
              <w:rPr/>
              <w:t> </w:t>
            </w:r>
          </w:p>
        </w:tc>
        <w:tc>
          <w:tcPr>
            <w:tcW w:w="1824" w:type="dxa"/>
            <w:gridSpan w:val="4"/>
            <w:tcBorders>
              <w:top w:val="single" w:sz="6" w:space="0" w:color="000000"/>
              <w:left w:val="single" w:sz="6" w:space="0" w:color="000000"/>
              <w:right w:val="single" w:sz="6" w:space="0" w:color="000000"/>
            </w:tcBorders>
            <w:shd w:fill="auto" w:val="clear"/>
            <w:tcMar>
              <w:top w:w="28" w:type="dxa"/>
              <w:left w:w="28" w:type="dxa"/>
              <w:right w:w="28" w:type="dxa"/>
            </w:tcMar>
            <w:vAlign w:val="center"/>
          </w:tcPr>
          <w:p>
            <w:pPr>
              <w:pStyle w:val="TableContents"/>
              <w:spacing w:before="0" w:after="283"/>
              <w:rPr/>
            </w:pPr>
            <w:r>
              <w:rPr/>
              <w:t> </w:t>
            </w:r>
          </w:p>
        </w:tc>
      </w:tr>
      <w:tr>
        <w:trPr/>
        <w:tc>
          <w:tcPr>
            <w:tcW w:w="1190" w:type="dxa"/>
            <w:tcBorders>
              <w:left w:val="single" w:sz="6" w:space="0" w:color="000000"/>
              <w:bottom w:val="single" w:sz="6" w:space="0" w:color="000000"/>
              <w:right w:val="single" w:sz="6" w:space="0" w:color="000000"/>
            </w:tcBorders>
            <w:shd w:fill="auto" w:val="clear"/>
            <w:tcMar>
              <w:left w:w="160" w:type="dxa"/>
              <w:bottom w:w="28" w:type="dxa"/>
              <w:right w:w="28" w:type="dxa"/>
            </w:tcMar>
            <w:vAlign w:val="center"/>
          </w:tcPr>
          <w:p>
            <w:pPr>
              <w:pStyle w:val="TableContents"/>
              <w:spacing w:before="0" w:after="0"/>
              <w:rPr>
                <w:rFonts w:ascii="ARIAL" w:hAnsi="ARIAL"/>
                <w:sz w:val="20"/>
              </w:rPr>
            </w:pPr>
            <w:r>
              <w:rPr>
                <w:rFonts w:ascii="ARIAL" w:hAnsi="ARIAL"/>
                <w:sz w:val="20"/>
              </w:rPr>
              <w:t>2022</w:t>
            </w:r>
          </w:p>
        </w:tc>
        <w:tc>
          <w:tcPr>
            <w:tcW w:w="60" w:type="dxa"/>
            <w:tcBorders>
              <w:left w:val="single" w:sz="6" w:space="0" w:color="000000"/>
              <w:bottom w:val="single" w:sz="6" w:space="0" w:color="000000"/>
            </w:tcBorders>
            <w:shd w:fill="auto" w:val="clear"/>
            <w:tcMar>
              <w:left w:w="28" w:type="dxa"/>
              <w:bottom w:w="28" w:type="dxa"/>
            </w:tcMar>
            <w:vAlign w:val="center"/>
          </w:tcPr>
          <w:p>
            <w:pPr>
              <w:pStyle w:val="TableContents"/>
              <w:spacing w:before="0" w:after="283"/>
              <w:rPr/>
            </w:pPr>
            <w:r>
              <w:rPr/>
              <w:t> </w:t>
            </w:r>
          </w:p>
        </w:tc>
        <w:tc>
          <w:tcPr>
            <w:tcW w:w="61" w:type="dxa"/>
            <w:tcBorders>
              <w:bottom w:val="single" w:sz="6" w:space="0" w:color="000000"/>
            </w:tcBorders>
            <w:shd w:fill="auto" w:val="clear"/>
            <w:tcMar>
              <w:bottom w:w="28" w:type="dxa"/>
            </w:tcMar>
            <w:vAlign w:val="center"/>
          </w:tcPr>
          <w:p>
            <w:pPr>
              <w:pStyle w:val="TableContents"/>
              <w:spacing w:before="0" w:after="283"/>
              <w:rPr/>
            </w:pPr>
            <w:r>
              <w:rPr/>
              <w:t> </w:t>
            </w:r>
          </w:p>
        </w:tc>
        <w:tc>
          <w:tcPr>
            <w:tcW w:w="814" w:type="dxa"/>
            <w:tcBorders>
              <w:bottom w:val="single" w:sz="6" w:space="0" w:color="000000"/>
            </w:tcBorders>
            <w:shd w:fill="auto" w:val="clear"/>
            <w:tcMar>
              <w:bottom w:w="28" w:type="dxa"/>
            </w:tcMar>
            <w:vAlign w:val="center"/>
          </w:tcPr>
          <w:p>
            <w:pPr>
              <w:pStyle w:val="TableContents"/>
              <w:spacing w:before="0" w:after="283"/>
              <w:jc w:val="right"/>
              <w:rPr/>
            </w:pPr>
            <w:r>
              <w:rPr/>
              <w:t>760,000</w:t>
            </w:r>
          </w:p>
        </w:tc>
        <w:tc>
          <w:tcPr>
            <w:tcW w:w="60" w:type="dxa"/>
            <w:tcBorders>
              <w:bottom w:val="single" w:sz="6" w:space="0" w:color="000000"/>
              <w:right w:val="single" w:sz="6" w:space="0" w:color="000000"/>
            </w:tcBorders>
            <w:shd w:fill="auto" w:val="clear"/>
            <w:tcMar>
              <w:bottom w:w="28" w:type="dxa"/>
              <w:right w:w="28" w:type="dxa"/>
            </w:tcMar>
            <w:vAlign w:val="center"/>
          </w:tcPr>
          <w:p>
            <w:pPr>
              <w:pStyle w:val="TableContents"/>
              <w:spacing w:before="0" w:after="283"/>
              <w:rPr/>
            </w:pPr>
            <w:r>
              <w:rPr/>
              <w:t> </w:t>
            </w:r>
          </w:p>
        </w:tc>
        <w:tc>
          <w:tcPr>
            <w:tcW w:w="60" w:type="dxa"/>
            <w:tcBorders>
              <w:left w:val="single" w:sz="6" w:space="0" w:color="000000"/>
              <w:bottom w:val="single" w:sz="6" w:space="0" w:color="000000"/>
            </w:tcBorders>
            <w:shd w:fill="auto" w:val="clear"/>
            <w:tcMar>
              <w:left w:w="28" w:type="dxa"/>
              <w:bottom w:w="28" w:type="dxa"/>
            </w:tcMar>
            <w:vAlign w:val="center"/>
          </w:tcPr>
          <w:p>
            <w:pPr>
              <w:pStyle w:val="TableContents"/>
              <w:spacing w:before="0" w:after="283"/>
              <w:rPr/>
            </w:pPr>
            <w:r>
              <w:rPr/>
              <w:t> </w:t>
            </w:r>
          </w:p>
        </w:tc>
        <w:tc>
          <w:tcPr>
            <w:tcW w:w="81" w:type="dxa"/>
            <w:tcBorders>
              <w:bottom w:val="single" w:sz="6" w:space="0" w:color="000000"/>
            </w:tcBorders>
            <w:shd w:fill="auto" w:val="clear"/>
            <w:tcMar>
              <w:bottom w:w="28" w:type="dxa"/>
            </w:tcMar>
            <w:vAlign w:val="center"/>
          </w:tcPr>
          <w:p>
            <w:pPr>
              <w:pStyle w:val="TableContents"/>
              <w:spacing w:before="0" w:after="283"/>
              <w:rPr/>
            </w:pPr>
            <w:r>
              <w:rPr/>
              <w:t> </w:t>
            </w:r>
          </w:p>
        </w:tc>
        <w:tc>
          <w:tcPr>
            <w:tcW w:w="1334" w:type="dxa"/>
            <w:tcBorders>
              <w:bottom w:val="single" w:sz="6" w:space="0" w:color="000000"/>
            </w:tcBorders>
            <w:shd w:fill="auto" w:val="clear"/>
            <w:tcMar>
              <w:bottom w:w="28" w:type="dxa"/>
            </w:tcMar>
            <w:vAlign w:val="center"/>
          </w:tcPr>
          <w:p>
            <w:pPr>
              <w:pStyle w:val="TableContents"/>
              <w:spacing w:before="0" w:after="283"/>
              <w:jc w:val="right"/>
              <w:rPr/>
            </w:pPr>
            <w:r>
              <w:rPr/>
              <w:t>1,824,500</w:t>
            </w:r>
          </w:p>
        </w:tc>
        <w:tc>
          <w:tcPr>
            <w:tcW w:w="60" w:type="dxa"/>
            <w:tcBorders>
              <w:bottom w:val="single" w:sz="6" w:space="0" w:color="000000"/>
              <w:right w:val="single" w:sz="6" w:space="0" w:color="000000"/>
            </w:tcBorders>
            <w:shd w:fill="auto" w:val="clear"/>
            <w:tcMar>
              <w:bottom w:w="28" w:type="dxa"/>
              <w:right w:w="28" w:type="dxa"/>
            </w:tcMar>
            <w:vAlign w:val="center"/>
          </w:tcPr>
          <w:p>
            <w:pPr>
              <w:pStyle w:val="TableContents"/>
              <w:spacing w:before="0" w:after="283"/>
              <w:rPr/>
            </w:pPr>
            <w:r>
              <w:rPr/>
              <w:t> </w:t>
            </w:r>
          </w:p>
        </w:tc>
        <w:tc>
          <w:tcPr>
            <w:tcW w:w="60" w:type="dxa"/>
            <w:tcBorders>
              <w:left w:val="single" w:sz="6" w:space="0" w:color="000000"/>
              <w:bottom w:val="single" w:sz="6" w:space="0" w:color="000000"/>
            </w:tcBorders>
            <w:shd w:fill="auto" w:val="clear"/>
            <w:tcMar>
              <w:left w:w="28" w:type="dxa"/>
              <w:bottom w:w="28" w:type="dxa"/>
            </w:tcMar>
            <w:vAlign w:val="center"/>
          </w:tcPr>
          <w:p>
            <w:pPr>
              <w:pStyle w:val="TableContents"/>
              <w:spacing w:before="0" w:after="283"/>
              <w:rPr/>
            </w:pPr>
            <w:r>
              <w:rPr/>
              <w:t> </w:t>
            </w:r>
          </w:p>
        </w:tc>
        <w:tc>
          <w:tcPr>
            <w:tcW w:w="69" w:type="dxa"/>
            <w:tcBorders>
              <w:bottom w:val="single" w:sz="6" w:space="0" w:color="000000"/>
            </w:tcBorders>
            <w:shd w:fill="auto" w:val="clear"/>
            <w:tcMar>
              <w:bottom w:w="28" w:type="dxa"/>
            </w:tcMar>
            <w:vAlign w:val="center"/>
          </w:tcPr>
          <w:p>
            <w:pPr>
              <w:pStyle w:val="TableContents"/>
              <w:spacing w:before="0" w:after="283"/>
              <w:rPr/>
            </w:pPr>
            <w:r>
              <w:rPr/>
              <w:t> </w:t>
            </w:r>
          </w:p>
        </w:tc>
        <w:tc>
          <w:tcPr>
            <w:tcW w:w="1135" w:type="dxa"/>
            <w:tcBorders>
              <w:bottom w:val="single" w:sz="6" w:space="0" w:color="000000"/>
            </w:tcBorders>
            <w:shd w:fill="auto" w:val="clear"/>
            <w:tcMar>
              <w:bottom w:w="28" w:type="dxa"/>
            </w:tcMar>
            <w:vAlign w:val="center"/>
          </w:tcPr>
          <w:p>
            <w:pPr>
              <w:pStyle w:val="TableContents"/>
              <w:spacing w:before="0" w:after="283"/>
              <w:jc w:val="right"/>
              <w:rPr/>
            </w:pPr>
            <w:r>
              <w:rPr/>
              <w:t>1,428,500</w:t>
            </w:r>
          </w:p>
        </w:tc>
        <w:tc>
          <w:tcPr>
            <w:tcW w:w="60" w:type="dxa"/>
            <w:tcBorders>
              <w:bottom w:val="single" w:sz="6" w:space="0" w:color="000000"/>
              <w:right w:val="single" w:sz="6" w:space="0" w:color="000000"/>
            </w:tcBorders>
            <w:shd w:fill="auto" w:val="clear"/>
            <w:tcMar>
              <w:bottom w:w="28" w:type="dxa"/>
              <w:right w:w="28" w:type="dxa"/>
            </w:tcMar>
            <w:vAlign w:val="center"/>
          </w:tcPr>
          <w:p>
            <w:pPr>
              <w:pStyle w:val="TableContents"/>
              <w:spacing w:before="0" w:after="283"/>
              <w:rPr/>
            </w:pPr>
            <w:r>
              <w:rPr/>
              <w:t> </w:t>
            </w:r>
          </w:p>
        </w:tc>
        <w:tc>
          <w:tcPr>
            <w:tcW w:w="60" w:type="dxa"/>
            <w:tcBorders>
              <w:left w:val="single" w:sz="6" w:space="0" w:color="000000"/>
              <w:bottom w:val="single" w:sz="6" w:space="0" w:color="000000"/>
            </w:tcBorders>
            <w:shd w:fill="auto" w:val="clear"/>
            <w:tcMar>
              <w:left w:w="28" w:type="dxa"/>
              <w:bottom w:w="28" w:type="dxa"/>
            </w:tcMar>
            <w:vAlign w:val="center"/>
          </w:tcPr>
          <w:p>
            <w:pPr>
              <w:pStyle w:val="TableContents"/>
              <w:spacing w:before="0" w:after="283"/>
              <w:rPr/>
            </w:pPr>
            <w:r>
              <w:rPr/>
              <w:t> </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980" w:type="dxa"/>
            <w:tcBorders>
              <w:bottom w:val="single" w:sz="6" w:space="0" w:color="000000"/>
            </w:tcBorders>
            <w:shd w:fill="auto" w:val="clear"/>
            <w:tcMar>
              <w:bottom w:w="28" w:type="dxa"/>
            </w:tcMar>
            <w:vAlign w:val="center"/>
          </w:tcPr>
          <w:p>
            <w:pPr>
              <w:pStyle w:val="TableContents"/>
              <w:spacing w:before="0" w:after="283"/>
              <w:jc w:val="right"/>
              <w:rPr/>
            </w:pPr>
            <w:r>
              <w:rPr/>
              <w:t>4,013,000</w:t>
            </w:r>
          </w:p>
        </w:tc>
        <w:tc>
          <w:tcPr>
            <w:tcW w:w="60" w:type="dxa"/>
            <w:tcBorders>
              <w:bottom w:val="single" w:sz="6" w:space="0" w:color="000000"/>
              <w:right w:val="single" w:sz="6" w:space="0" w:color="000000"/>
            </w:tcBorders>
            <w:shd w:fill="auto" w:val="clear"/>
            <w:tcMar>
              <w:bottom w:w="28" w:type="dxa"/>
              <w:right w:w="28" w:type="dxa"/>
            </w:tcMar>
            <w:vAlign w:val="center"/>
          </w:tcPr>
          <w:p>
            <w:pPr>
              <w:pStyle w:val="TableContents"/>
              <w:spacing w:before="0" w:after="283"/>
              <w:rPr/>
            </w:pPr>
            <w:r>
              <w:rPr/>
              <w:t> </w:t>
            </w:r>
          </w:p>
        </w:tc>
        <w:tc>
          <w:tcPr>
            <w:tcW w:w="60" w:type="dxa"/>
            <w:tcBorders>
              <w:left w:val="single" w:sz="6" w:space="0" w:color="000000"/>
              <w:bottom w:val="single" w:sz="6" w:space="0" w:color="000000"/>
            </w:tcBorders>
            <w:shd w:fill="auto" w:val="clear"/>
            <w:tcMar>
              <w:left w:w="28" w:type="dxa"/>
              <w:bottom w:w="28" w:type="dxa"/>
            </w:tcMar>
            <w:vAlign w:val="center"/>
          </w:tcPr>
          <w:p>
            <w:pPr>
              <w:pStyle w:val="TableContents"/>
              <w:spacing w:before="0" w:after="283"/>
              <w:rPr/>
            </w:pPr>
            <w:r>
              <w:rPr/>
              <w:t> </w:t>
            </w:r>
          </w:p>
        </w:tc>
        <w:tc>
          <w:tcPr>
            <w:tcW w:w="80" w:type="dxa"/>
            <w:tcBorders>
              <w:bottom w:val="single" w:sz="6" w:space="0" w:color="000000"/>
            </w:tcBorders>
            <w:shd w:fill="auto" w:val="clear"/>
            <w:tcMar>
              <w:bottom w:w="28" w:type="dxa"/>
            </w:tcMar>
            <w:vAlign w:val="center"/>
          </w:tcPr>
          <w:p>
            <w:pPr>
              <w:pStyle w:val="TableContents"/>
              <w:spacing w:before="0" w:after="283"/>
              <w:rPr/>
            </w:pPr>
            <w:r>
              <w:rPr/>
              <w:t> </w:t>
            </w:r>
          </w:p>
        </w:tc>
        <w:tc>
          <w:tcPr>
            <w:tcW w:w="1635" w:type="dxa"/>
            <w:tcBorders>
              <w:bottom w:val="single" w:sz="6" w:space="0" w:color="000000"/>
            </w:tcBorders>
            <w:shd w:fill="auto" w:val="clear"/>
            <w:tcMar>
              <w:bottom w:w="28" w:type="dxa"/>
            </w:tcMar>
            <w:vAlign w:val="center"/>
          </w:tcPr>
          <w:p>
            <w:pPr>
              <w:pStyle w:val="TableContents"/>
              <w:spacing w:before="0" w:after="283"/>
              <w:jc w:val="right"/>
              <w:rPr/>
            </w:pPr>
            <w:r>
              <w:rPr/>
              <w:t>128,808,387</w:t>
            </w:r>
          </w:p>
        </w:tc>
        <w:tc>
          <w:tcPr>
            <w:tcW w:w="60" w:type="dxa"/>
            <w:tcBorders>
              <w:bottom w:val="single" w:sz="6" w:space="0" w:color="000000"/>
              <w:right w:val="single" w:sz="6" w:space="0" w:color="000000"/>
            </w:tcBorders>
            <w:shd w:fill="auto" w:val="clear"/>
            <w:tcMar>
              <w:bottom w:w="28" w:type="dxa"/>
              <w:right w:w="28" w:type="dxa"/>
            </w:tcMar>
            <w:vAlign w:val="center"/>
          </w:tcPr>
          <w:p>
            <w:pPr>
              <w:pStyle w:val="TableContents"/>
              <w:spacing w:before="0" w:after="283"/>
              <w:rPr/>
            </w:pPr>
            <w:r>
              <w:rPr/>
              <w:t> </w:t>
            </w:r>
          </w:p>
        </w:tc>
        <w:tc>
          <w:tcPr>
            <w:tcW w:w="60" w:type="dxa"/>
            <w:tcBorders>
              <w:left w:val="single" w:sz="6" w:space="0" w:color="000000"/>
              <w:bottom w:val="single" w:sz="6" w:space="0" w:color="000000"/>
            </w:tcBorders>
            <w:shd w:fill="auto" w:val="clear"/>
            <w:tcMar>
              <w:left w:w="28" w:type="dxa"/>
              <w:bottom w:w="28" w:type="dxa"/>
            </w:tcMar>
            <w:vAlign w:val="center"/>
          </w:tcPr>
          <w:p>
            <w:pPr>
              <w:pStyle w:val="TableContents"/>
              <w:spacing w:before="0" w:after="283"/>
              <w:rPr/>
            </w:pPr>
            <w:r>
              <w:rPr/>
              <w:t> </w:t>
            </w:r>
          </w:p>
        </w:tc>
        <w:tc>
          <w:tcPr>
            <w:tcW w:w="170" w:type="dxa"/>
            <w:tcBorders>
              <w:bottom w:val="single" w:sz="6" w:space="0" w:color="000000"/>
            </w:tcBorders>
            <w:shd w:fill="auto" w:val="clear"/>
            <w:tcMar>
              <w:bottom w:w="28" w:type="dxa"/>
            </w:tcMar>
            <w:vAlign w:val="center"/>
          </w:tcPr>
          <w:p>
            <w:pPr>
              <w:pStyle w:val="TableContents"/>
              <w:spacing w:before="0" w:after="283"/>
              <w:rPr/>
            </w:pPr>
            <w:r>
              <w:rPr/>
              <w:t> </w:t>
            </w:r>
          </w:p>
        </w:tc>
        <w:tc>
          <w:tcPr>
            <w:tcW w:w="1259" w:type="dxa"/>
            <w:tcBorders>
              <w:bottom w:val="single" w:sz="6" w:space="0" w:color="000000"/>
            </w:tcBorders>
            <w:shd w:fill="auto" w:val="clear"/>
            <w:tcMar>
              <w:bottom w:w="28" w:type="dxa"/>
            </w:tcMar>
            <w:vAlign w:val="center"/>
          </w:tcPr>
          <w:p>
            <w:pPr>
              <w:pStyle w:val="TableContents"/>
              <w:spacing w:before="0" w:after="283"/>
              <w:jc w:val="right"/>
              <w:rPr/>
            </w:pPr>
            <w:r>
              <w:rPr/>
              <w:t>3.12</w:t>
            </w:r>
          </w:p>
        </w:tc>
        <w:tc>
          <w:tcPr>
            <w:tcW w:w="335" w:type="dxa"/>
            <w:tcBorders>
              <w:bottom w:val="single" w:sz="6" w:space="0" w:color="000000"/>
              <w:right w:val="single" w:sz="6" w:space="0" w:color="000000"/>
            </w:tcBorders>
            <w:shd w:fill="auto" w:val="clear"/>
            <w:tcMar>
              <w:bottom w:w="28" w:type="dxa"/>
              <w:right w:w="40" w:type="dxa"/>
            </w:tcMar>
            <w:vAlign w:val="center"/>
          </w:tcPr>
          <w:p>
            <w:pPr>
              <w:pStyle w:val="TableContents"/>
              <w:spacing w:before="0" w:after="283"/>
              <w:rPr/>
            </w:pPr>
            <w:r>
              <w:rPr/>
              <w:t>% </w:t>
            </w:r>
          </w:p>
        </w:tc>
      </w:tr>
      <w:tr>
        <w:trPr/>
        <w:tc>
          <w:tcPr>
            <w:tcW w:w="1190" w:type="dxa"/>
            <w:tcBorders>
              <w:top w:val="single" w:sz="6" w:space="0" w:color="000000"/>
              <w:left w:val="single" w:sz="6" w:space="0" w:color="000000"/>
              <w:right w:val="single" w:sz="6" w:space="0" w:color="000000"/>
            </w:tcBorders>
            <w:shd w:fill="auto" w:val="clear"/>
            <w:tcMar>
              <w:top w:w="28" w:type="dxa"/>
              <w:left w:w="160" w:type="dxa"/>
              <w:right w:w="28" w:type="dxa"/>
            </w:tcMar>
            <w:vAlign w:val="center"/>
          </w:tcPr>
          <w:p>
            <w:pPr>
              <w:pStyle w:val="TableContents"/>
              <w:spacing w:before="0" w:after="283"/>
              <w:rPr/>
            </w:pPr>
            <w:r>
              <w:rPr/>
              <w:t> </w:t>
            </w:r>
          </w:p>
        </w:tc>
        <w:tc>
          <w:tcPr>
            <w:tcW w:w="995" w:type="dxa"/>
            <w:gridSpan w:val="4"/>
            <w:tcBorders>
              <w:top w:val="single" w:sz="6" w:space="0" w:color="000000"/>
              <w:left w:val="single" w:sz="6" w:space="0" w:color="000000"/>
              <w:right w:val="single" w:sz="6" w:space="0" w:color="000000"/>
            </w:tcBorders>
            <w:shd w:fill="auto" w:val="clear"/>
            <w:tcMar>
              <w:top w:w="28" w:type="dxa"/>
              <w:left w:w="28" w:type="dxa"/>
              <w:right w:w="28" w:type="dxa"/>
            </w:tcMar>
            <w:vAlign w:val="center"/>
          </w:tcPr>
          <w:p>
            <w:pPr>
              <w:pStyle w:val="TableContents"/>
              <w:spacing w:before="0" w:after="283"/>
              <w:rPr/>
            </w:pPr>
            <w:r>
              <w:rPr/>
              <w:t> </w:t>
            </w:r>
          </w:p>
        </w:tc>
        <w:tc>
          <w:tcPr>
            <w:tcW w:w="1535" w:type="dxa"/>
            <w:gridSpan w:val="4"/>
            <w:tcBorders>
              <w:top w:val="single" w:sz="6" w:space="0" w:color="000000"/>
              <w:left w:val="single" w:sz="6" w:space="0" w:color="000000"/>
              <w:right w:val="single" w:sz="6" w:space="0" w:color="000000"/>
            </w:tcBorders>
            <w:shd w:fill="auto" w:val="clear"/>
            <w:tcMar>
              <w:top w:w="28" w:type="dxa"/>
              <w:left w:w="28" w:type="dxa"/>
              <w:right w:w="28" w:type="dxa"/>
            </w:tcMar>
            <w:vAlign w:val="center"/>
          </w:tcPr>
          <w:p>
            <w:pPr>
              <w:pStyle w:val="TableContents"/>
              <w:spacing w:before="0" w:after="283"/>
              <w:rPr/>
            </w:pPr>
            <w:r>
              <w:rPr/>
              <w:t> </w:t>
            </w:r>
          </w:p>
        </w:tc>
        <w:tc>
          <w:tcPr>
            <w:tcW w:w="1324" w:type="dxa"/>
            <w:gridSpan w:val="4"/>
            <w:tcBorders>
              <w:top w:val="single" w:sz="6" w:space="0" w:color="000000"/>
              <w:left w:val="single" w:sz="6" w:space="0" w:color="000000"/>
              <w:right w:val="single" w:sz="6" w:space="0" w:color="000000"/>
            </w:tcBorders>
            <w:shd w:fill="auto" w:val="clear"/>
            <w:tcMar>
              <w:top w:w="28" w:type="dxa"/>
              <w:left w:w="28" w:type="dxa"/>
              <w:right w:w="28" w:type="dxa"/>
            </w:tcMar>
            <w:vAlign w:val="center"/>
          </w:tcPr>
          <w:p>
            <w:pPr>
              <w:pStyle w:val="TableContents"/>
              <w:spacing w:before="0" w:after="283"/>
              <w:rPr/>
            </w:pPr>
            <w:r>
              <w:rPr/>
              <w:t> </w:t>
            </w:r>
          </w:p>
        </w:tc>
        <w:tc>
          <w:tcPr>
            <w:tcW w:w="1160" w:type="dxa"/>
            <w:gridSpan w:val="4"/>
            <w:tcBorders>
              <w:top w:val="single" w:sz="6" w:space="0" w:color="000000"/>
              <w:left w:val="single" w:sz="6" w:space="0" w:color="000000"/>
              <w:right w:val="single" w:sz="6" w:space="0" w:color="000000"/>
            </w:tcBorders>
            <w:shd w:fill="auto" w:val="clear"/>
            <w:tcMar>
              <w:top w:w="28" w:type="dxa"/>
              <w:left w:w="28" w:type="dxa"/>
              <w:right w:w="28" w:type="dxa"/>
            </w:tcMar>
            <w:vAlign w:val="center"/>
          </w:tcPr>
          <w:p>
            <w:pPr>
              <w:pStyle w:val="TableContents"/>
              <w:spacing w:before="0" w:after="283"/>
              <w:rPr/>
            </w:pPr>
            <w:r>
              <w:rPr/>
              <w:t> </w:t>
            </w:r>
          </w:p>
        </w:tc>
        <w:tc>
          <w:tcPr>
            <w:tcW w:w="1835" w:type="dxa"/>
            <w:gridSpan w:val="4"/>
            <w:tcBorders>
              <w:top w:val="single" w:sz="6" w:space="0" w:color="000000"/>
              <w:left w:val="single" w:sz="6" w:space="0" w:color="000000"/>
              <w:right w:val="single" w:sz="6" w:space="0" w:color="000000"/>
            </w:tcBorders>
            <w:shd w:fill="auto" w:val="clear"/>
            <w:tcMar>
              <w:top w:w="28" w:type="dxa"/>
              <w:left w:w="28" w:type="dxa"/>
              <w:right w:w="28" w:type="dxa"/>
            </w:tcMar>
            <w:vAlign w:val="center"/>
          </w:tcPr>
          <w:p>
            <w:pPr>
              <w:pStyle w:val="TableContents"/>
              <w:spacing w:before="0" w:after="283"/>
              <w:rPr/>
            </w:pPr>
            <w:r>
              <w:rPr/>
              <w:t> </w:t>
            </w:r>
          </w:p>
        </w:tc>
        <w:tc>
          <w:tcPr>
            <w:tcW w:w="1824" w:type="dxa"/>
            <w:gridSpan w:val="4"/>
            <w:tcBorders>
              <w:top w:val="single" w:sz="6" w:space="0" w:color="000000"/>
              <w:left w:val="single" w:sz="6" w:space="0" w:color="000000"/>
              <w:right w:val="single" w:sz="6" w:space="0" w:color="000000"/>
            </w:tcBorders>
            <w:shd w:fill="auto" w:val="clear"/>
            <w:tcMar>
              <w:top w:w="28" w:type="dxa"/>
              <w:left w:w="28" w:type="dxa"/>
              <w:right w:w="28" w:type="dxa"/>
            </w:tcMar>
            <w:vAlign w:val="center"/>
          </w:tcPr>
          <w:p>
            <w:pPr>
              <w:pStyle w:val="TableContents"/>
              <w:spacing w:before="0" w:after="283"/>
              <w:rPr/>
            </w:pPr>
            <w:r>
              <w:rPr/>
              <w:t> </w:t>
            </w:r>
          </w:p>
        </w:tc>
      </w:tr>
      <w:tr>
        <w:trPr/>
        <w:tc>
          <w:tcPr>
            <w:tcW w:w="1190" w:type="dxa"/>
            <w:tcBorders>
              <w:left w:val="single" w:sz="6" w:space="0" w:color="000000"/>
              <w:bottom w:val="single" w:sz="6" w:space="0" w:color="000000"/>
              <w:right w:val="single" w:sz="6" w:space="0" w:color="000000"/>
            </w:tcBorders>
            <w:shd w:fill="auto" w:val="clear"/>
            <w:tcMar>
              <w:left w:w="160" w:type="dxa"/>
              <w:bottom w:w="28" w:type="dxa"/>
              <w:right w:w="28" w:type="dxa"/>
            </w:tcMar>
            <w:vAlign w:val="center"/>
          </w:tcPr>
          <w:p>
            <w:pPr>
              <w:pStyle w:val="TableContents"/>
              <w:spacing w:before="0" w:after="0"/>
              <w:rPr>
                <w:rFonts w:ascii="ARIAL" w:hAnsi="ARIAL"/>
                <w:sz w:val="20"/>
              </w:rPr>
            </w:pPr>
            <w:r>
              <w:rPr>
                <w:rFonts w:ascii="ARIAL" w:hAnsi="ARIAL"/>
                <w:sz w:val="20"/>
              </w:rPr>
              <w:t>2021</w:t>
            </w:r>
          </w:p>
        </w:tc>
        <w:tc>
          <w:tcPr>
            <w:tcW w:w="60" w:type="dxa"/>
            <w:tcBorders>
              <w:left w:val="single" w:sz="6" w:space="0" w:color="000000"/>
              <w:bottom w:val="single" w:sz="6" w:space="0" w:color="000000"/>
            </w:tcBorders>
            <w:shd w:fill="auto" w:val="clear"/>
            <w:tcMar>
              <w:left w:w="28" w:type="dxa"/>
              <w:bottom w:w="28" w:type="dxa"/>
            </w:tcMar>
            <w:vAlign w:val="center"/>
          </w:tcPr>
          <w:p>
            <w:pPr>
              <w:pStyle w:val="TableContents"/>
              <w:spacing w:before="0" w:after="283"/>
              <w:rPr/>
            </w:pPr>
            <w:r>
              <w:rPr/>
              <w:t> </w:t>
            </w:r>
          </w:p>
        </w:tc>
        <w:tc>
          <w:tcPr>
            <w:tcW w:w="61" w:type="dxa"/>
            <w:tcBorders>
              <w:bottom w:val="single" w:sz="6" w:space="0" w:color="000000"/>
            </w:tcBorders>
            <w:shd w:fill="auto" w:val="clear"/>
            <w:tcMar>
              <w:bottom w:w="28" w:type="dxa"/>
            </w:tcMar>
            <w:vAlign w:val="center"/>
          </w:tcPr>
          <w:p>
            <w:pPr>
              <w:pStyle w:val="TableContents"/>
              <w:spacing w:before="0" w:after="283"/>
              <w:rPr/>
            </w:pPr>
            <w:r>
              <w:rPr/>
              <w:t> </w:t>
            </w:r>
          </w:p>
        </w:tc>
        <w:tc>
          <w:tcPr>
            <w:tcW w:w="814" w:type="dxa"/>
            <w:tcBorders>
              <w:bottom w:val="single" w:sz="6" w:space="0" w:color="000000"/>
            </w:tcBorders>
            <w:shd w:fill="auto" w:val="clear"/>
            <w:tcMar>
              <w:bottom w:w="28" w:type="dxa"/>
            </w:tcMar>
            <w:vAlign w:val="center"/>
          </w:tcPr>
          <w:p>
            <w:pPr>
              <w:pStyle w:val="TableContents"/>
              <w:spacing w:before="0" w:after="283"/>
              <w:jc w:val="right"/>
              <w:rPr/>
            </w:pPr>
            <w:r>
              <w:rPr/>
              <w:t>749,250</w:t>
            </w:r>
          </w:p>
        </w:tc>
        <w:tc>
          <w:tcPr>
            <w:tcW w:w="60" w:type="dxa"/>
            <w:tcBorders>
              <w:bottom w:val="single" w:sz="6" w:space="0" w:color="000000"/>
              <w:right w:val="single" w:sz="6" w:space="0" w:color="000000"/>
            </w:tcBorders>
            <w:shd w:fill="auto" w:val="clear"/>
            <w:tcMar>
              <w:bottom w:w="28" w:type="dxa"/>
              <w:right w:w="28" w:type="dxa"/>
            </w:tcMar>
            <w:vAlign w:val="center"/>
          </w:tcPr>
          <w:p>
            <w:pPr>
              <w:pStyle w:val="TableContents"/>
              <w:spacing w:before="0" w:after="283"/>
              <w:rPr/>
            </w:pPr>
            <w:r>
              <w:rPr/>
              <w:t> </w:t>
            </w:r>
          </w:p>
        </w:tc>
        <w:tc>
          <w:tcPr>
            <w:tcW w:w="60" w:type="dxa"/>
            <w:tcBorders>
              <w:left w:val="single" w:sz="6" w:space="0" w:color="000000"/>
              <w:bottom w:val="single" w:sz="6" w:space="0" w:color="000000"/>
            </w:tcBorders>
            <w:shd w:fill="auto" w:val="clear"/>
            <w:tcMar>
              <w:left w:w="28" w:type="dxa"/>
              <w:bottom w:w="28" w:type="dxa"/>
            </w:tcMar>
            <w:vAlign w:val="center"/>
          </w:tcPr>
          <w:p>
            <w:pPr>
              <w:pStyle w:val="TableContents"/>
              <w:spacing w:before="0" w:after="283"/>
              <w:rPr/>
            </w:pPr>
            <w:r>
              <w:rPr/>
              <w:t> </w:t>
            </w:r>
          </w:p>
        </w:tc>
        <w:tc>
          <w:tcPr>
            <w:tcW w:w="81" w:type="dxa"/>
            <w:tcBorders>
              <w:bottom w:val="single" w:sz="6" w:space="0" w:color="000000"/>
            </w:tcBorders>
            <w:shd w:fill="auto" w:val="clear"/>
            <w:tcMar>
              <w:bottom w:w="28" w:type="dxa"/>
            </w:tcMar>
            <w:vAlign w:val="center"/>
          </w:tcPr>
          <w:p>
            <w:pPr>
              <w:pStyle w:val="TableContents"/>
              <w:spacing w:before="0" w:after="283"/>
              <w:rPr/>
            </w:pPr>
            <w:r>
              <w:rPr/>
              <w:t> </w:t>
            </w:r>
          </w:p>
        </w:tc>
        <w:tc>
          <w:tcPr>
            <w:tcW w:w="1334" w:type="dxa"/>
            <w:tcBorders>
              <w:bottom w:val="single" w:sz="6" w:space="0" w:color="000000"/>
            </w:tcBorders>
            <w:shd w:fill="auto" w:val="clear"/>
            <w:tcMar>
              <w:bottom w:w="28" w:type="dxa"/>
            </w:tcMar>
            <w:vAlign w:val="center"/>
          </w:tcPr>
          <w:p>
            <w:pPr>
              <w:pStyle w:val="TableContents"/>
              <w:spacing w:before="0" w:after="283"/>
              <w:jc w:val="right"/>
              <w:rPr/>
            </w:pPr>
            <w:r>
              <w:rPr/>
              <w:t>1,572,000</w:t>
            </w:r>
          </w:p>
        </w:tc>
        <w:tc>
          <w:tcPr>
            <w:tcW w:w="60" w:type="dxa"/>
            <w:tcBorders>
              <w:bottom w:val="single" w:sz="6" w:space="0" w:color="000000"/>
              <w:right w:val="single" w:sz="6" w:space="0" w:color="000000"/>
            </w:tcBorders>
            <w:shd w:fill="auto" w:val="clear"/>
            <w:tcMar>
              <w:bottom w:w="28" w:type="dxa"/>
              <w:right w:w="28" w:type="dxa"/>
            </w:tcMar>
            <w:vAlign w:val="center"/>
          </w:tcPr>
          <w:p>
            <w:pPr>
              <w:pStyle w:val="TableContents"/>
              <w:spacing w:before="0" w:after="283"/>
              <w:rPr/>
            </w:pPr>
            <w:r>
              <w:rPr/>
              <w:t> </w:t>
            </w:r>
          </w:p>
        </w:tc>
        <w:tc>
          <w:tcPr>
            <w:tcW w:w="60" w:type="dxa"/>
            <w:tcBorders>
              <w:left w:val="single" w:sz="6" w:space="0" w:color="000000"/>
              <w:bottom w:val="single" w:sz="6" w:space="0" w:color="000000"/>
            </w:tcBorders>
            <w:shd w:fill="auto" w:val="clear"/>
            <w:tcMar>
              <w:left w:w="28" w:type="dxa"/>
              <w:bottom w:w="28" w:type="dxa"/>
            </w:tcMar>
            <w:vAlign w:val="center"/>
          </w:tcPr>
          <w:p>
            <w:pPr>
              <w:pStyle w:val="TableContents"/>
              <w:spacing w:before="0" w:after="283"/>
              <w:rPr/>
            </w:pPr>
            <w:r>
              <w:rPr/>
              <w:t> </w:t>
            </w:r>
          </w:p>
        </w:tc>
        <w:tc>
          <w:tcPr>
            <w:tcW w:w="69" w:type="dxa"/>
            <w:tcBorders>
              <w:bottom w:val="single" w:sz="6" w:space="0" w:color="000000"/>
            </w:tcBorders>
            <w:shd w:fill="auto" w:val="clear"/>
            <w:tcMar>
              <w:bottom w:w="28" w:type="dxa"/>
            </w:tcMar>
            <w:vAlign w:val="center"/>
          </w:tcPr>
          <w:p>
            <w:pPr>
              <w:pStyle w:val="TableContents"/>
              <w:spacing w:before="0" w:after="283"/>
              <w:rPr/>
            </w:pPr>
            <w:r>
              <w:rPr/>
              <w:t> </w:t>
            </w:r>
          </w:p>
        </w:tc>
        <w:tc>
          <w:tcPr>
            <w:tcW w:w="1135" w:type="dxa"/>
            <w:tcBorders>
              <w:bottom w:val="single" w:sz="6" w:space="0" w:color="000000"/>
            </w:tcBorders>
            <w:shd w:fill="auto" w:val="clear"/>
            <w:tcMar>
              <w:bottom w:w="28" w:type="dxa"/>
            </w:tcMar>
            <w:vAlign w:val="center"/>
          </w:tcPr>
          <w:p>
            <w:pPr>
              <w:pStyle w:val="TableContents"/>
              <w:spacing w:before="0" w:after="283"/>
              <w:jc w:val="right"/>
              <w:rPr/>
            </w:pPr>
            <w:r>
              <w:rPr/>
              <w:t>1,357,250</w:t>
            </w:r>
          </w:p>
        </w:tc>
        <w:tc>
          <w:tcPr>
            <w:tcW w:w="60" w:type="dxa"/>
            <w:tcBorders>
              <w:bottom w:val="single" w:sz="6" w:space="0" w:color="000000"/>
              <w:right w:val="single" w:sz="6" w:space="0" w:color="000000"/>
            </w:tcBorders>
            <w:shd w:fill="auto" w:val="clear"/>
            <w:tcMar>
              <w:bottom w:w="28" w:type="dxa"/>
              <w:right w:w="28" w:type="dxa"/>
            </w:tcMar>
            <w:vAlign w:val="center"/>
          </w:tcPr>
          <w:p>
            <w:pPr>
              <w:pStyle w:val="TableContents"/>
              <w:spacing w:before="0" w:after="283"/>
              <w:rPr/>
            </w:pPr>
            <w:r>
              <w:rPr/>
              <w:t> </w:t>
            </w:r>
          </w:p>
        </w:tc>
        <w:tc>
          <w:tcPr>
            <w:tcW w:w="60" w:type="dxa"/>
            <w:tcBorders>
              <w:left w:val="single" w:sz="6" w:space="0" w:color="000000"/>
              <w:bottom w:val="single" w:sz="6" w:space="0" w:color="000000"/>
            </w:tcBorders>
            <w:shd w:fill="auto" w:val="clear"/>
            <w:tcMar>
              <w:left w:w="28" w:type="dxa"/>
              <w:bottom w:w="28" w:type="dxa"/>
            </w:tcMar>
            <w:vAlign w:val="center"/>
          </w:tcPr>
          <w:p>
            <w:pPr>
              <w:pStyle w:val="TableContents"/>
              <w:spacing w:before="0" w:after="283"/>
              <w:rPr/>
            </w:pPr>
            <w:r>
              <w:rPr/>
              <w:t> </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980" w:type="dxa"/>
            <w:tcBorders>
              <w:bottom w:val="single" w:sz="6" w:space="0" w:color="000000"/>
            </w:tcBorders>
            <w:shd w:fill="auto" w:val="clear"/>
            <w:tcMar>
              <w:bottom w:w="28" w:type="dxa"/>
            </w:tcMar>
            <w:vAlign w:val="center"/>
          </w:tcPr>
          <w:p>
            <w:pPr>
              <w:pStyle w:val="TableContents"/>
              <w:spacing w:before="0" w:after="283"/>
              <w:jc w:val="right"/>
              <w:rPr/>
            </w:pPr>
            <w:r>
              <w:rPr/>
              <w:t>3,678,500</w:t>
            </w:r>
          </w:p>
        </w:tc>
        <w:tc>
          <w:tcPr>
            <w:tcW w:w="60" w:type="dxa"/>
            <w:tcBorders>
              <w:bottom w:val="single" w:sz="6" w:space="0" w:color="000000"/>
              <w:right w:val="single" w:sz="6" w:space="0" w:color="000000"/>
            </w:tcBorders>
            <w:shd w:fill="auto" w:val="clear"/>
            <w:tcMar>
              <w:bottom w:w="28" w:type="dxa"/>
              <w:right w:w="28" w:type="dxa"/>
            </w:tcMar>
            <w:vAlign w:val="center"/>
          </w:tcPr>
          <w:p>
            <w:pPr>
              <w:pStyle w:val="TableContents"/>
              <w:spacing w:before="0" w:after="283"/>
              <w:rPr/>
            </w:pPr>
            <w:r>
              <w:rPr/>
              <w:t> </w:t>
            </w:r>
          </w:p>
        </w:tc>
        <w:tc>
          <w:tcPr>
            <w:tcW w:w="60" w:type="dxa"/>
            <w:tcBorders>
              <w:left w:val="single" w:sz="6" w:space="0" w:color="000000"/>
              <w:bottom w:val="single" w:sz="6" w:space="0" w:color="000000"/>
            </w:tcBorders>
            <w:shd w:fill="auto" w:val="clear"/>
            <w:tcMar>
              <w:left w:w="28" w:type="dxa"/>
              <w:bottom w:w="28" w:type="dxa"/>
            </w:tcMar>
            <w:vAlign w:val="center"/>
          </w:tcPr>
          <w:p>
            <w:pPr>
              <w:pStyle w:val="TableContents"/>
              <w:spacing w:before="0" w:after="283"/>
              <w:rPr/>
            </w:pPr>
            <w:r>
              <w:rPr/>
              <w:t> </w:t>
            </w:r>
          </w:p>
        </w:tc>
        <w:tc>
          <w:tcPr>
            <w:tcW w:w="80" w:type="dxa"/>
            <w:tcBorders>
              <w:bottom w:val="single" w:sz="6" w:space="0" w:color="000000"/>
            </w:tcBorders>
            <w:shd w:fill="auto" w:val="clear"/>
            <w:tcMar>
              <w:bottom w:w="28" w:type="dxa"/>
            </w:tcMar>
            <w:vAlign w:val="center"/>
          </w:tcPr>
          <w:p>
            <w:pPr>
              <w:pStyle w:val="TableContents"/>
              <w:spacing w:before="0" w:after="283"/>
              <w:rPr/>
            </w:pPr>
            <w:r>
              <w:rPr/>
              <w:t> </w:t>
            </w:r>
          </w:p>
        </w:tc>
        <w:tc>
          <w:tcPr>
            <w:tcW w:w="1635" w:type="dxa"/>
            <w:tcBorders>
              <w:bottom w:val="single" w:sz="6" w:space="0" w:color="000000"/>
            </w:tcBorders>
            <w:shd w:fill="auto" w:val="clear"/>
            <w:tcMar>
              <w:bottom w:w="28" w:type="dxa"/>
            </w:tcMar>
            <w:vAlign w:val="center"/>
          </w:tcPr>
          <w:p>
            <w:pPr>
              <w:pStyle w:val="TableContents"/>
              <w:spacing w:before="0" w:after="283"/>
              <w:jc w:val="right"/>
              <w:rPr/>
            </w:pPr>
            <w:r>
              <w:rPr/>
              <w:t>126,754,852</w:t>
            </w:r>
          </w:p>
        </w:tc>
        <w:tc>
          <w:tcPr>
            <w:tcW w:w="60" w:type="dxa"/>
            <w:tcBorders>
              <w:bottom w:val="single" w:sz="6" w:space="0" w:color="000000"/>
              <w:right w:val="single" w:sz="6" w:space="0" w:color="000000"/>
            </w:tcBorders>
            <w:shd w:fill="auto" w:val="clear"/>
            <w:tcMar>
              <w:bottom w:w="28" w:type="dxa"/>
              <w:right w:w="28" w:type="dxa"/>
            </w:tcMar>
            <w:vAlign w:val="center"/>
          </w:tcPr>
          <w:p>
            <w:pPr>
              <w:pStyle w:val="TableContents"/>
              <w:spacing w:before="0" w:after="283"/>
              <w:rPr/>
            </w:pPr>
            <w:r>
              <w:rPr/>
              <w:t> </w:t>
            </w:r>
          </w:p>
        </w:tc>
        <w:tc>
          <w:tcPr>
            <w:tcW w:w="60" w:type="dxa"/>
            <w:tcBorders>
              <w:left w:val="single" w:sz="6" w:space="0" w:color="000000"/>
              <w:bottom w:val="single" w:sz="6" w:space="0" w:color="000000"/>
            </w:tcBorders>
            <w:shd w:fill="auto" w:val="clear"/>
            <w:tcMar>
              <w:left w:w="28" w:type="dxa"/>
              <w:bottom w:w="28" w:type="dxa"/>
            </w:tcMar>
            <w:vAlign w:val="center"/>
          </w:tcPr>
          <w:p>
            <w:pPr>
              <w:pStyle w:val="TableContents"/>
              <w:spacing w:before="0" w:after="283"/>
              <w:rPr/>
            </w:pPr>
            <w:r>
              <w:rPr/>
              <w:t> </w:t>
            </w:r>
          </w:p>
        </w:tc>
        <w:tc>
          <w:tcPr>
            <w:tcW w:w="170" w:type="dxa"/>
            <w:tcBorders>
              <w:bottom w:val="single" w:sz="6" w:space="0" w:color="000000"/>
            </w:tcBorders>
            <w:shd w:fill="auto" w:val="clear"/>
            <w:tcMar>
              <w:bottom w:w="28" w:type="dxa"/>
            </w:tcMar>
            <w:vAlign w:val="center"/>
          </w:tcPr>
          <w:p>
            <w:pPr>
              <w:pStyle w:val="TableContents"/>
              <w:spacing w:before="0" w:after="283"/>
              <w:rPr/>
            </w:pPr>
            <w:r>
              <w:rPr/>
              <w:t> </w:t>
            </w:r>
          </w:p>
        </w:tc>
        <w:tc>
          <w:tcPr>
            <w:tcW w:w="1259" w:type="dxa"/>
            <w:tcBorders>
              <w:bottom w:val="single" w:sz="6" w:space="0" w:color="000000"/>
            </w:tcBorders>
            <w:shd w:fill="auto" w:val="clear"/>
            <w:tcMar>
              <w:bottom w:w="28" w:type="dxa"/>
            </w:tcMar>
            <w:vAlign w:val="center"/>
          </w:tcPr>
          <w:p>
            <w:pPr>
              <w:pStyle w:val="TableContents"/>
              <w:spacing w:before="0" w:after="283"/>
              <w:jc w:val="right"/>
              <w:rPr/>
            </w:pPr>
            <w:r>
              <w:rPr/>
              <w:t>2.90</w:t>
            </w:r>
          </w:p>
        </w:tc>
        <w:tc>
          <w:tcPr>
            <w:tcW w:w="335" w:type="dxa"/>
            <w:tcBorders>
              <w:bottom w:val="single" w:sz="6" w:space="0" w:color="000000"/>
              <w:right w:val="single" w:sz="6" w:space="0" w:color="000000"/>
            </w:tcBorders>
            <w:shd w:fill="auto" w:val="clear"/>
            <w:tcMar>
              <w:bottom w:w="28" w:type="dxa"/>
              <w:right w:w="40" w:type="dxa"/>
            </w:tcMar>
            <w:vAlign w:val="center"/>
          </w:tcPr>
          <w:p>
            <w:pPr>
              <w:pStyle w:val="TableContents"/>
              <w:spacing w:before="0" w:after="283"/>
              <w:rPr/>
            </w:pPr>
            <w:r>
              <w:rPr/>
              <w:t>% </w:t>
            </w:r>
          </w:p>
        </w:tc>
      </w:tr>
      <w:tr>
        <w:trPr/>
        <w:tc>
          <w:tcPr>
            <w:tcW w:w="1190" w:type="dxa"/>
            <w:tcBorders>
              <w:top w:val="single" w:sz="6" w:space="0" w:color="000000"/>
              <w:left w:val="single" w:sz="6" w:space="0" w:color="000000"/>
              <w:right w:val="single" w:sz="6" w:space="0" w:color="000000"/>
            </w:tcBorders>
            <w:shd w:fill="auto" w:val="clear"/>
            <w:tcMar>
              <w:top w:w="28" w:type="dxa"/>
              <w:left w:w="160" w:type="dxa"/>
              <w:right w:w="28" w:type="dxa"/>
            </w:tcMar>
            <w:vAlign w:val="center"/>
          </w:tcPr>
          <w:p>
            <w:pPr>
              <w:pStyle w:val="TableContents"/>
              <w:spacing w:before="0" w:after="283"/>
              <w:rPr/>
            </w:pPr>
            <w:r>
              <w:rPr/>
              <w:t> </w:t>
            </w:r>
          </w:p>
        </w:tc>
        <w:tc>
          <w:tcPr>
            <w:tcW w:w="995" w:type="dxa"/>
            <w:gridSpan w:val="4"/>
            <w:tcBorders>
              <w:top w:val="single" w:sz="6" w:space="0" w:color="000000"/>
              <w:left w:val="single" w:sz="6" w:space="0" w:color="000000"/>
              <w:right w:val="single" w:sz="6" w:space="0" w:color="000000"/>
            </w:tcBorders>
            <w:shd w:fill="auto" w:val="clear"/>
            <w:tcMar>
              <w:top w:w="28" w:type="dxa"/>
              <w:left w:w="28" w:type="dxa"/>
              <w:right w:w="28" w:type="dxa"/>
            </w:tcMar>
            <w:vAlign w:val="center"/>
          </w:tcPr>
          <w:p>
            <w:pPr>
              <w:pStyle w:val="TableContents"/>
              <w:spacing w:before="0" w:after="283"/>
              <w:rPr/>
            </w:pPr>
            <w:r>
              <w:rPr/>
              <w:t> </w:t>
            </w:r>
          </w:p>
        </w:tc>
        <w:tc>
          <w:tcPr>
            <w:tcW w:w="1535" w:type="dxa"/>
            <w:gridSpan w:val="4"/>
            <w:tcBorders>
              <w:top w:val="single" w:sz="6" w:space="0" w:color="000000"/>
              <w:left w:val="single" w:sz="6" w:space="0" w:color="000000"/>
              <w:right w:val="single" w:sz="6" w:space="0" w:color="000000"/>
            </w:tcBorders>
            <w:shd w:fill="auto" w:val="clear"/>
            <w:tcMar>
              <w:top w:w="28" w:type="dxa"/>
              <w:left w:w="28" w:type="dxa"/>
              <w:right w:w="28" w:type="dxa"/>
            </w:tcMar>
            <w:vAlign w:val="center"/>
          </w:tcPr>
          <w:p>
            <w:pPr>
              <w:pStyle w:val="TableContents"/>
              <w:spacing w:before="0" w:after="283"/>
              <w:rPr/>
            </w:pPr>
            <w:r>
              <w:rPr/>
              <w:t> </w:t>
            </w:r>
          </w:p>
        </w:tc>
        <w:tc>
          <w:tcPr>
            <w:tcW w:w="1324" w:type="dxa"/>
            <w:gridSpan w:val="4"/>
            <w:tcBorders>
              <w:top w:val="single" w:sz="6" w:space="0" w:color="000000"/>
              <w:left w:val="single" w:sz="6" w:space="0" w:color="000000"/>
              <w:right w:val="single" w:sz="6" w:space="0" w:color="000000"/>
            </w:tcBorders>
            <w:shd w:fill="auto" w:val="clear"/>
            <w:tcMar>
              <w:top w:w="28" w:type="dxa"/>
              <w:left w:w="28" w:type="dxa"/>
              <w:right w:w="28" w:type="dxa"/>
            </w:tcMar>
            <w:vAlign w:val="center"/>
          </w:tcPr>
          <w:p>
            <w:pPr>
              <w:pStyle w:val="TableContents"/>
              <w:spacing w:before="0" w:after="283"/>
              <w:rPr/>
            </w:pPr>
            <w:r>
              <w:rPr/>
              <w:t> </w:t>
            </w:r>
          </w:p>
        </w:tc>
        <w:tc>
          <w:tcPr>
            <w:tcW w:w="1160" w:type="dxa"/>
            <w:gridSpan w:val="4"/>
            <w:tcBorders>
              <w:top w:val="single" w:sz="6" w:space="0" w:color="000000"/>
              <w:left w:val="single" w:sz="6" w:space="0" w:color="000000"/>
              <w:right w:val="single" w:sz="6" w:space="0" w:color="000000"/>
            </w:tcBorders>
            <w:shd w:fill="auto" w:val="clear"/>
            <w:tcMar>
              <w:top w:w="28" w:type="dxa"/>
              <w:left w:w="28" w:type="dxa"/>
              <w:right w:w="28" w:type="dxa"/>
            </w:tcMar>
            <w:vAlign w:val="center"/>
          </w:tcPr>
          <w:p>
            <w:pPr>
              <w:pStyle w:val="TableContents"/>
              <w:spacing w:before="0" w:after="283"/>
              <w:rPr/>
            </w:pPr>
            <w:r>
              <w:rPr/>
              <w:t> </w:t>
            </w:r>
          </w:p>
        </w:tc>
        <w:tc>
          <w:tcPr>
            <w:tcW w:w="1835" w:type="dxa"/>
            <w:gridSpan w:val="4"/>
            <w:tcBorders>
              <w:top w:val="single" w:sz="6" w:space="0" w:color="000000"/>
              <w:left w:val="single" w:sz="6" w:space="0" w:color="000000"/>
              <w:right w:val="single" w:sz="6" w:space="0" w:color="000000"/>
            </w:tcBorders>
            <w:shd w:fill="auto" w:val="clear"/>
            <w:tcMar>
              <w:top w:w="28" w:type="dxa"/>
              <w:left w:w="28" w:type="dxa"/>
              <w:right w:w="28" w:type="dxa"/>
            </w:tcMar>
            <w:vAlign w:val="center"/>
          </w:tcPr>
          <w:p>
            <w:pPr>
              <w:pStyle w:val="TableContents"/>
              <w:spacing w:before="0" w:after="283"/>
              <w:rPr/>
            </w:pPr>
            <w:r>
              <w:rPr/>
              <w:t> </w:t>
            </w:r>
          </w:p>
        </w:tc>
        <w:tc>
          <w:tcPr>
            <w:tcW w:w="1824" w:type="dxa"/>
            <w:gridSpan w:val="4"/>
            <w:tcBorders>
              <w:top w:val="single" w:sz="6" w:space="0" w:color="000000"/>
              <w:left w:val="single" w:sz="6" w:space="0" w:color="000000"/>
              <w:right w:val="single" w:sz="6" w:space="0" w:color="000000"/>
            </w:tcBorders>
            <w:shd w:fill="auto" w:val="clear"/>
            <w:tcMar>
              <w:top w:w="28" w:type="dxa"/>
              <w:left w:w="28" w:type="dxa"/>
              <w:right w:w="28" w:type="dxa"/>
            </w:tcMar>
            <w:vAlign w:val="center"/>
          </w:tcPr>
          <w:p>
            <w:pPr>
              <w:pStyle w:val="TableContents"/>
              <w:spacing w:before="0" w:after="283"/>
              <w:rPr/>
            </w:pPr>
            <w:r>
              <w:rPr/>
              <w:t> </w:t>
            </w:r>
          </w:p>
        </w:tc>
      </w:tr>
      <w:tr>
        <w:trPr/>
        <w:tc>
          <w:tcPr>
            <w:tcW w:w="1190" w:type="dxa"/>
            <w:tcBorders>
              <w:left w:val="single" w:sz="6" w:space="0" w:color="000000"/>
              <w:bottom w:val="single" w:sz="6" w:space="0" w:color="000000"/>
              <w:right w:val="single" w:sz="6" w:space="0" w:color="000000"/>
            </w:tcBorders>
            <w:shd w:fill="auto" w:val="clear"/>
            <w:tcMar>
              <w:left w:w="160" w:type="dxa"/>
              <w:bottom w:w="28" w:type="dxa"/>
              <w:right w:w="28" w:type="dxa"/>
            </w:tcMar>
            <w:vAlign w:val="center"/>
          </w:tcPr>
          <w:p>
            <w:pPr>
              <w:pStyle w:val="TableContents"/>
              <w:spacing w:before="0" w:after="0"/>
              <w:rPr>
                <w:rFonts w:ascii="ARIAL" w:hAnsi="ARIAL"/>
                <w:sz w:val="20"/>
              </w:rPr>
            </w:pPr>
            <w:r>
              <w:rPr>
                <w:rFonts w:ascii="ARIAL" w:hAnsi="ARIAL"/>
                <w:sz w:val="20"/>
              </w:rPr>
              <w:t>2020</w:t>
            </w:r>
          </w:p>
        </w:tc>
        <w:tc>
          <w:tcPr>
            <w:tcW w:w="60" w:type="dxa"/>
            <w:tcBorders>
              <w:left w:val="single" w:sz="6" w:space="0" w:color="000000"/>
              <w:bottom w:val="single" w:sz="6" w:space="0" w:color="000000"/>
            </w:tcBorders>
            <w:shd w:fill="auto" w:val="clear"/>
            <w:tcMar>
              <w:left w:w="28" w:type="dxa"/>
              <w:bottom w:w="28" w:type="dxa"/>
            </w:tcMar>
            <w:vAlign w:val="center"/>
          </w:tcPr>
          <w:p>
            <w:pPr>
              <w:pStyle w:val="TableContents"/>
              <w:spacing w:before="0" w:after="283"/>
              <w:rPr/>
            </w:pPr>
            <w:r>
              <w:rPr/>
              <w:t> </w:t>
            </w:r>
          </w:p>
        </w:tc>
        <w:tc>
          <w:tcPr>
            <w:tcW w:w="61" w:type="dxa"/>
            <w:tcBorders>
              <w:bottom w:val="single" w:sz="6" w:space="0" w:color="000000"/>
            </w:tcBorders>
            <w:shd w:fill="auto" w:val="clear"/>
            <w:tcMar>
              <w:bottom w:w="28" w:type="dxa"/>
            </w:tcMar>
            <w:vAlign w:val="center"/>
          </w:tcPr>
          <w:p>
            <w:pPr>
              <w:pStyle w:val="TableContents"/>
              <w:spacing w:before="0" w:after="283"/>
              <w:rPr/>
            </w:pPr>
            <w:r>
              <w:rPr/>
              <w:t> </w:t>
            </w:r>
          </w:p>
        </w:tc>
        <w:tc>
          <w:tcPr>
            <w:tcW w:w="814" w:type="dxa"/>
            <w:tcBorders>
              <w:bottom w:val="single" w:sz="6" w:space="0" w:color="000000"/>
            </w:tcBorders>
            <w:shd w:fill="auto" w:val="clear"/>
            <w:tcMar>
              <w:bottom w:w="28" w:type="dxa"/>
            </w:tcMar>
            <w:vAlign w:val="center"/>
          </w:tcPr>
          <w:p>
            <w:pPr>
              <w:pStyle w:val="TableContents"/>
              <w:spacing w:before="0" w:after="283"/>
              <w:jc w:val="right"/>
              <w:rPr/>
            </w:pPr>
            <w:r>
              <w:rPr/>
              <w:t>946,500</w:t>
            </w:r>
          </w:p>
        </w:tc>
        <w:tc>
          <w:tcPr>
            <w:tcW w:w="60" w:type="dxa"/>
            <w:tcBorders>
              <w:bottom w:val="single" w:sz="6" w:space="0" w:color="000000"/>
              <w:right w:val="single" w:sz="6" w:space="0" w:color="000000"/>
            </w:tcBorders>
            <w:shd w:fill="auto" w:val="clear"/>
            <w:tcMar>
              <w:bottom w:w="28" w:type="dxa"/>
              <w:right w:w="28" w:type="dxa"/>
            </w:tcMar>
            <w:vAlign w:val="center"/>
          </w:tcPr>
          <w:p>
            <w:pPr>
              <w:pStyle w:val="TableContents"/>
              <w:spacing w:before="0" w:after="283"/>
              <w:rPr/>
            </w:pPr>
            <w:r>
              <w:rPr/>
              <w:t> </w:t>
            </w:r>
          </w:p>
        </w:tc>
        <w:tc>
          <w:tcPr>
            <w:tcW w:w="60" w:type="dxa"/>
            <w:tcBorders>
              <w:left w:val="single" w:sz="6" w:space="0" w:color="000000"/>
              <w:bottom w:val="single" w:sz="6" w:space="0" w:color="000000"/>
            </w:tcBorders>
            <w:shd w:fill="auto" w:val="clear"/>
            <w:tcMar>
              <w:left w:w="28" w:type="dxa"/>
              <w:bottom w:w="28" w:type="dxa"/>
            </w:tcMar>
            <w:vAlign w:val="center"/>
          </w:tcPr>
          <w:p>
            <w:pPr>
              <w:pStyle w:val="TableContents"/>
              <w:spacing w:before="0" w:after="283"/>
              <w:rPr/>
            </w:pPr>
            <w:r>
              <w:rPr/>
              <w:t> </w:t>
            </w:r>
          </w:p>
        </w:tc>
        <w:tc>
          <w:tcPr>
            <w:tcW w:w="81" w:type="dxa"/>
            <w:tcBorders>
              <w:bottom w:val="single" w:sz="6" w:space="0" w:color="000000"/>
            </w:tcBorders>
            <w:shd w:fill="auto" w:val="clear"/>
            <w:tcMar>
              <w:bottom w:w="28" w:type="dxa"/>
            </w:tcMar>
            <w:vAlign w:val="center"/>
          </w:tcPr>
          <w:p>
            <w:pPr>
              <w:pStyle w:val="TableContents"/>
              <w:spacing w:before="0" w:after="283"/>
              <w:rPr/>
            </w:pPr>
            <w:r>
              <w:rPr/>
              <w:t> </w:t>
            </w:r>
          </w:p>
        </w:tc>
        <w:tc>
          <w:tcPr>
            <w:tcW w:w="1334" w:type="dxa"/>
            <w:tcBorders>
              <w:bottom w:val="single" w:sz="6" w:space="0" w:color="000000"/>
            </w:tcBorders>
            <w:shd w:fill="auto" w:val="clear"/>
            <w:tcMar>
              <w:bottom w:w="28" w:type="dxa"/>
            </w:tcMar>
            <w:vAlign w:val="center"/>
          </w:tcPr>
          <w:p>
            <w:pPr>
              <w:pStyle w:val="TableContents"/>
              <w:spacing w:before="0" w:after="283"/>
              <w:jc w:val="right"/>
              <w:rPr/>
            </w:pPr>
            <w:r>
              <w:rPr/>
              <w:t>948,000</w:t>
            </w:r>
          </w:p>
        </w:tc>
        <w:tc>
          <w:tcPr>
            <w:tcW w:w="60" w:type="dxa"/>
            <w:tcBorders>
              <w:bottom w:val="single" w:sz="6" w:space="0" w:color="000000"/>
              <w:right w:val="single" w:sz="6" w:space="0" w:color="000000"/>
            </w:tcBorders>
            <w:shd w:fill="auto" w:val="clear"/>
            <w:tcMar>
              <w:bottom w:w="28" w:type="dxa"/>
              <w:right w:w="28" w:type="dxa"/>
            </w:tcMar>
            <w:vAlign w:val="center"/>
          </w:tcPr>
          <w:p>
            <w:pPr>
              <w:pStyle w:val="TableContents"/>
              <w:spacing w:before="0" w:after="283"/>
              <w:rPr/>
            </w:pPr>
            <w:r>
              <w:rPr/>
              <w:t> </w:t>
            </w:r>
          </w:p>
        </w:tc>
        <w:tc>
          <w:tcPr>
            <w:tcW w:w="60" w:type="dxa"/>
            <w:tcBorders>
              <w:left w:val="single" w:sz="6" w:space="0" w:color="000000"/>
              <w:bottom w:val="single" w:sz="6" w:space="0" w:color="000000"/>
            </w:tcBorders>
            <w:shd w:fill="auto" w:val="clear"/>
            <w:tcMar>
              <w:left w:w="28" w:type="dxa"/>
              <w:bottom w:w="28" w:type="dxa"/>
            </w:tcMar>
            <w:vAlign w:val="center"/>
          </w:tcPr>
          <w:p>
            <w:pPr>
              <w:pStyle w:val="TableContents"/>
              <w:spacing w:before="0" w:after="283"/>
              <w:rPr/>
            </w:pPr>
            <w:r>
              <w:rPr/>
              <w:t> </w:t>
            </w:r>
          </w:p>
        </w:tc>
        <w:tc>
          <w:tcPr>
            <w:tcW w:w="69" w:type="dxa"/>
            <w:tcBorders>
              <w:bottom w:val="single" w:sz="6" w:space="0" w:color="000000"/>
            </w:tcBorders>
            <w:shd w:fill="auto" w:val="clear"/>
            <w:tcMar>
              <w:bottom w:w="28" w:type="dxa"/>
            </w:tcMar>
            <w:vAlign w:val="center"/>
          </w:tcPr>
          <w:p>
            <w:pPr>
              <w:pStyle w:val="TableContents"/>
              <w:spacing w:before="0" w:after="283"/>
              <w:rPr/>
            </w:pPr>
            <w:r>
              <w:rPr/>
              <w:t> </w:t>
            </w:r>
          </w:p>
        </w:tc>
        <w:tc>
          <w:tcPr>
            <w:tcW w:w="1135" w:type="dxa"/>
            <w:tcBorders>
              <w:bottom w:val="single" w:sz="6" w:space="0" w:color="000000"/>
            </w:tcBorders>
            <w:shd w:fill="auto" w:val="clear"/>
            <w:tcMar>
              <w:bottom w:w="28" w:type="dxa"/>
            </w:tcMar>
            <w:vAlign w:val="center"/>
          </w:tcPr>
          <w:p>
            <w:pPr>
              <w:pStyle w:val="TableContents"/>
              <w:spacing w:before="0" w:after="283"/>
              <w:jc w:val="right"/>
              <w:rPr/>
            </w:pPr>
            <w:r>
              <w:rPr/>
              <w:t>1,567,847</w:t>
            </w:r>
          </w:p>
        </w:tc>
        <w:tc>
          <w:tcPr>
            <w:tcW w:w="60" w:type="dxa"/>
            <w:tcBorders>
              <w:bottom w:val="single" w:sz="6" w:space="0" w:color="000000"/>
              <w:right w:val="single" w:sz="6" w:space="0" w:color="000000"/>
            </w:tcBorders>
            <w:shd w:fill="auto" w:val="clear"/>
            <w:tcMar>
              <w:bottom w:w="28" w:type="dxa"/>
              <w:right w:w="28" w:type="dxa"/>
            </w:tcMar>
            <w:vAlign w:val="center"/>
          </w:tcPr>
          <w:p>
            <w:pPr>
              <w:pStyle w:val="TableContents"/>
              <w:spacing w:before="0" w:after="283"/>
              <w:rPr/>
            </w:pPr>
            <w:r>
              <w:rPr/>
              <w:t> </w:t>
            </w:r>
          </w:p>
        </w:tc>
        <w:tc>
          <w:tcPr>
            <w:tcW w:w="60" w:type="dxa"/>
            <w:tcBorders>
              <w:left w:val="single" w:sz="6" w:space="0" w:color="000000"/>
              <w:bottom w:val="single" w:sz="6" w:space="0" w:color="000000"/>
            </w:tcBorders>
            <w:shd w:fill="auto" w:val="clear"/>
            <w:tcMar>
              <w:left w:w="28" w:type="dxa"/>
              <w:bottom w:w="28" w:type="dxa"/>
            </w:tcMar>
            <w:vAlign w:val="center"/>
          </w:tcPr>
          <w:p>
            <w:pPr>
              <w:pStyle w:val="TableContents"/>
              <w:spacing w:before="0" w:after="283"/>
              <w:rPr/>
            </w:pPr>
            <w:r>
              <w:rPr/>
              <w:t> </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980" w:type="dxa"/>
            <w:tcBorders>
              <w:bottom w:val="single" w:sz="6" w:space="0" w:color="000000"/>
            </w:tcBorders>
            <w:shd w:fill="auto" w:val="clear"/>
            <w:tcMar>
              <w:bottom w:w="28" w:type="dxa"/>
            </w:tcMar>
            <w:vAlign w:val="center"/>
          </w:tcPr>
          <w:p>
            <w:pPr>
              <w:pStyle w:val="TableContents"/>
              <w:spacing w:before="0" w:after="283"/>
              <w:jc w:val="right"/>
              <w:rPr/>
            </w:pPr>
            <w:r>
              <w:rPr/>
              <w:t>3,462,347</w:t>
            </w:r>
          </w:p>
        </w:tc>
        <w:tc>
          <w:tcPr>
            <w:tcW w:w="60" w:type="dxa"/>
            <w:tcBorders>
              <w:bottom w:val="single" w:sz="6" w:space="0" w:color="000000"/>
              <w:right w:val="single" w:sz="6" w:space="0" w:color="000000"/>
            </w:tcBorders>
            <w:shd w:fill="auto" w:val="clear"/>
            <w:tcMar>
              <w:bottom w:w="28" w:type="dxa"/>
              <w:right w:w="28" w:type="dxa"/>
            </w:tcMar>
            <w:vAlign w:val="center"/>
          </w:tcPr>
          <w:p>
            <w:pPr>
              <w:pStyle w:val="TableContents"/>
              <w:spacing w:before="0" w:after="283"/>
              <w:rPr/>
            </w:pPr>
            <w:r>
              <w:rPr/>
              <w:t> </w:t>
            </w:r>
          </w:p>
        </w:tc>
        <w:tc>
          <w:tcPr>
            <w:tcW w:w="60" w:type="dxa"/>
            <w:tcBorders>
              <w:left w:val="single" w:sz="6" w:space="0" w:color="000000"/>
              <w:bottom w:val="single" w:sz="6" w:space="0" w:color="000000"/>
            </w:tcBorders>
            <w:shd w:fill="auto" w:val="clear"/>
            <w:tcMar>
              <w:left w:w="28" w:type="dxa"/>
              <w:bottom w:w="28" w:type="dxa"/>
            </w:tcMar>
            <w:vAlign w:val="center"/>
          </w:tcPr>
          <w:p>
            <w:pPr>
              <w:pStyle w:val="TableContents"/>
              <w:spacing w:before="0" w:after="283"/>
              <w:rPr/>
            </w:pPr>
            <w:r>
              <w:rPr/>
              <w:t> </w:t>
            </w:r>
          </w:p>
        </w:tc>
        <w:tc>
          <w:tcPr>
            <w:tcW w:w="80" w:type="dxa"/>
            <w:tcBorders>
              <w:bottom w:val="single" w:sz="6" w:space="0" w:color="000000"/>
            </w:tcBorders>
            <w:shd w:fill="auto" w:val="clear"/>
            <w:tcMar>
              <w:bottom w:w="28" w:type="dxa"/>
            </w:tcMar>
            <w:vAlign w:val="center"/>
          </w:tcPr>
          <w:p>
            <w:pPr>
              <w:pStyle w:val="TableContents"/>
              <w:spacing w:before="0" w:after="283"/>
              <w:rPr/>
            </w:pPr>
            <w:r>
              <w:rPr/>
              <w:t> </w:t>
            </w:r>
          </w:p>
        </w:tc>
        <w:tc>
          <w:tcPr>
            <w:tcW w:w="1635" w:type="dxa"/>
            <w:tcBorders>
              <w:bottom w:val="single" w:sz="6" w:space="0" w:color="000000"/>
            </w:tcBorders>
            <w:shd w:fill="auto" w:val="clear"/>
            <w:tcMar>
              <w:bottom w:w="28" w:type="dxa"/>
            </w:tcMar>
            <w:vAlign w:val="center"/>
          </w:tcPr>
          <w:p>
            <w:pPr>
              <w:pStyle w:val="TableContents"/>
              <w:spacing w:before="0" w:after="283"/>
              <w:jc w:val="right"/>
              <w:rPr/>
            </w:pPr>
            <w:r>
              <w:rPr/>
              <w:t>115,491,022</w:t>
            </w:r>
          </w:p>
        </w:tc>
        <w:tc>
          <w:tcPr>
            <w:tcW w:w="60" w:type="dxa"/>
            <w:tcBorders>
              <w:bottom w:val="single" w:sz="6" w:space="0" w:color="000000"/>
              <w:right w:val="single" w:sz="6" w:space="0" w:color="000000"/>
            </w:tcBorders>
            <w:shd w:fill="auto" w:val="clear"/>
            <w:tcMar>
              <w:bottom w:w="28" w:type="dxa"/>
              <w:right w:w="28" w:type="dxa"/>
            </w:tcMar>
            <w:vAlign w:val="center"/>
          </w:tcPr>
          <w:p>
            <w:pPr>
              <w:pStyle w:val="TableContents"/>
              <w:spacing w:before="0" w:after="283"/>
              <w:rPr/>
            </w:pPr>
            <w:r>
              <w:rPr/>
              <w:t> </w:t>
            </w:r>
          </w:p>
        </w:tc>
        <w:tc>
          <w:tcPr>
            <w:tcW w:w="60" w:type="dxa"/>
            <w:tcBorders>
              <w:left w:val="single" w:sz="6" w:space="0" w:color="000000"/>
              <w:bottom w:val="single" w:sz="6" w:space="0" w:color="000000"/>
            </w:tcBorders>
            <w:shd w:fill="auto" w:val="clear"/>
            <w:tcMar>
              <w:left w:w="28" w:type="dxa"/>
              <w:bottom w:w="28" w:type="dxa"/>
            </w:tcMar>
            <w:vAlign w:val="center"/>
          </w:tcPr>
          <w:p>
            <w:pPr>
              <w:pStyle w:val="TableContents"/>
              <w:spacing w:before="0" w:after="283"/>
              <w:rPr/>
            </w:pPr>
            <w:r>
              <w:rPr/>
              <w:t> </w:t>
            </w:r>
          </w:p>
        </w:tc>
        <w:tc>
          <w:tcPr>
            <w:tcW w:w="170" w:type="dxa"/>
            <w:tcBorders>
              <w:bottom w:val="single" w:sz="6" w:space="0" w:color="000000"/>
            </w:tcBorders>
            <w:shd w:fill="auto" w:val="clear"/>
            <w:tcMar>
              <w:bottom w:w="28" w:type="dxa"/>
            </w:tcMar>
            <w:vAlign w:val="center"/>
          </w:tcPr>
          <w:p>
            <w:pPr>
              <w:pStyle w:val="TableContents"/>
              <w:spacing w:before="0" w:after="283"/>
              <w:rPr/>
            </w:pPr>
            <w:r>
              <w:rPr/>
              <w:t> </w:t>
            </w:r>
          </w:p>
        </w:tc>
        <w:tc>
          <w:tcPr>
            <w:tcW w:w="1259" w:type="dxa"/>
            <w:tcBorders>
              <w:bottom w:val="single" w:sz="6" w:space="0" w:color="000000"/>
            </w:tcBorders>
            <w:shd w:fill="auto" w:val="clear"/>
            <w:tcMar>
              <w:bottom w:w="28" w:type="dxa"/>
            </w:tcMar>
            <w:vAlign w:val="center"/>
          </w:tcPr>
          <w:p>
            <w:pPr>
              <w:pStyle w:val="TableContents"/>
              <w:spacing w:before="0" w:after="283"/>
              <w:jc w:val="right"/>
              <w:rPr/>
            </w:pPr>
            <w:r>
              <w:rPr/>
              <w:t>3.00</w:t>
            </w:r>
          </w:p>
        </w:tc>
        <w:tc>
          <w:tcPr>
            <w:tcW w:w="335" w:type="dxa"/>
            <w:tcBorders>
              <w:bottom w:val="single" w:sz="6" w:space="0" w:color="000000"/>
              <w:right w:val="single" w:sz="6" w:space="0" w:color="000000"/>
            </w:tcBorders>
            <w:shd w:fill="auto" w:val="clear"/>
            <w:tcMar>
              <w:bottom w:w="28" w:type="dxa"/>
              <w:right w:w="40" w:type="dxa"/>
            </w:tcMar>
            <w:vAlign w:val="center"/>
          </w:tcPr>
          <w:p>
            <w:pPr>
              <w:pStyle w:val="TableContents"/>
              <w:spacing w:before="0" w:after="283"/>
              <w:rPr/>
            </w:pPr>
            <w:r>
              <w:rPr/>
              <w:t>% </w:t>
            </w:r>
          </w:p>
        </w:tc>
      </w:tr>
      <w:tr>
        <w:trPr/>
        <w:tc>
          <w:tcPr>
            <w:tcW w:w="1190" w:type="dxa"/>
            <w:tcBorders>
              <w:top w:val="single" w:sz="6" w:space="0" w:color="000000"/>
              <w:left w:val="single" w:sz="6" w:space="0" w:color="000000"/>
              <w:right w:val="single" w:sz="6" w:space="0" w:color="000000"/>
            </w:tcBorders>
            <w:shd w:fill="auto" w:val="clear"/>
            <w:tcMar>
              <w:top w:w="28" w:type="dxa"/>
              <w:left w:w="160" w:type="dxa"/>
              <w:right w:w="28" w:type="dxa"/>
            </w:tcMar>
            <w:vAlign w:val="center"/>
          </w:tcPr>
          <w:p>
            <w:pPr>
              <w:pStyle w:val="TableContents"/>
              <w:spacing w:before="0" w:after="283"/>
              <w:rPr/>
            </w:pPr>
            <w:r>
              <w:rPr/>
              <w:t> </w:t>
            </w:r>
          </w:p>
        </w:tc>
        <w:tc>
          <w:tcPr>
            <w:tcW w:w="995" w:type="dxa"/>
            <w:gridSpan w:val="4"/>
            <w:tcBorders>
              <w:top w:val="single" w:sz="6" w:space="0" w:color="000000"/>
              <w:left w:val="single" w:sz="6" w:space="0" w:color="000000"/>
              <w:right w:val="single" w:sz="6" w:space="0" w:color="000000"/>
            </w:tcBorders>
            <w:shd w:fill="auto" w:val="clear"/>
            <w:tcMar>
              <w:top w:w="28" w:type="dxa"/>
              <w:left w:w="28" w:type="dxa"/>
              <w:right w:w="28" w:type="dxa"/>
            </w:tcMar>
            <w:vAlign w:val="center"/>
          </w:tcPr>
          <w:p>
            <w:pPr>
              <w:pStyle w:val="TableContents"/>
              <w:spacing w:before="0" w:after="283"/>
              <w:rPr/>
            </w:pPr>
            <w:r>
              <w:rPr/>
              <w:t> </w:t>
            </w:r>
          </w:p>
        </w:tc>
        <w:tc>
          <w:tcPr>
            <w:tcW w:w="1535" w:type="dxa"/>
            <w:gridSpan w:val="4"/>
            <w:tcBorders>
              <w:top w:val="single" w:sz="6" w:space="0" w:color="000000"/>
              <w:left w:val="single" w:sz="6" w:space="0" w:color="000000"/>
              <w:right w:val="single" w:sz="6" w:space="0" w:color="000000"/>
            </w:tcBorders>
            <w:shd w:fill="auto" w:val="clear"/>
            <w:tcMar>
              <w:top w:w="28" w:type="dxa"/>
              <w:left w:w="28" w:type="dxa"/>
              <w:right w:w="28" w:type="dxa"/>
            </w:tcMar>
            <w:vAlign w:val="center"/>
          </w:tcPr>
          <w:p>
            <w:pPr>
              <w:pStyle w:val="TableContents"/>
              <w:spacing w:before="0" w:after="283"/>
              <w:rPr/>
            </w:pPr>
            <w:r>
              <w:rPr/>
              <w:t> </w:t>
            </w:r>
          </w:p>
        </w:tc>
        <w:tc>
          <w:tcPr>
            <w:tcW w:w="1324" w:type="dxa"/>
            <w:gridSpan w:val="4"/>
            <w:tcBorders>
              <w:top w:val="single" w:sz="6" w:space="0" w:color="000000"/>
              <w:left w:val="single" w:sz="6" w:space="0" w:color="000000"/>
              <w:right w:val="single" w:sz="6" w:space="0" w:color="000000"/>
            </w:tcBorders>
            <w:shd w:fill="auto" w:val="clear"/>
            <w:tcMar>
              <w:top w:w="28" w:type="dxa"/>
              <w:left w:w="28" w:type="dxa"/>
              <w:right w:w="28" w:type="dxa"/>
            </w:tcMar>
            <w:vAlign w:val="center"/>
          </w:tcPr>
          <w:p>
            <w:pPr>
              <w:pStyle w:val="TableContents"/>
              <w:spacing w:before="0" w:after="283"/>
              <w:rPr/>
            </w:pPr>
            <w:r>
              <w:rPr/>
              <w:t> </w:t>
            </w:r>
          </w:p>
        </w:tc>
        <w:tc>
          <w:tcPr>
            <w:tcW w:w="1160" w:type="dxa"/>
            <w:gridSpan w:val="4"/>
            <w:tcBorders>
              <w:top w:val="single" w:sz="6" w:space="0" w:color="000000"/>
              <w:left w:val="single" w:sz="6" w:space="0" w:color="000000"/>
              <w:right w:val="single" w:sz="6" w:space="0" w:color="000000"/>
            </w:tcBorders>
            <w:shd w:fill="auto" w:val="clear"/>
            <w:tcMar>
              <w:top w:w="28" w:type="dxa"/>
              <w:left w:w="28" w:type="dxa"/>
              <w:right w:w="28" w:type="dxa"/>
            </w:tcMar>
            <w:vAlign w:val="center"/>
          </w:tcPr>
          <w:p>
            <w:pPr>
              <w:pStyle w:val="TableContents"/>
              <w:spacing w:before="0" w:after="283"/>
              <w:rPr/>
            </w:pPr>
            <w:r>
              <w:rPr/>
              <w:t> </w:t>
            </w:r>
          </w:p>
        </w:tc>
        <w:tc>
          <w:tcPr>
            <w:tcW w:w="1835" w:type="dxa"/>
            <w:gridSpan w:val="4"/>
            <w:tcBorders>
              <w:top w:val="single" w:sz="6" w:space="0" w:color="000000"/>
              <w:left w:val="single" w:sz="6" w:space="0" w:color="000000"/>
              <w:right w:val="single" w:sz="6" w:space="0" w:color="000000"/>
            </w:tcBorders>
            <w:shd w:fill="auto" w:val="clear"/>
            <w:tcMar>
              <w:top w:w="28" w:type="dxa"/>
              <w:left w:w="28" w:type="dxa"/>
              <w:right w:w="28" w:type="dxa"/>
            </w:tcMar>
            <w:vAlign w:val="center"/>
          </w:tcPr>
          <w:p>
            <w:pPr>
              <w:pStyle w:val="TableContents"/>
              <w:spacing w:before="0" w:after="283"/>
              <w:rPr/>
            </w:pPr>
            <w:r>
              <w:rPr/>
              <w:t> </w:t>
            </w:r>
          </w:p>
        </w:tc>
        <w:tc>
          <w:tcPr>
            <w:tcW w:w="1824" w:type="dxa"/>
            <w:gridSpan w:val="4"/>
            <w:tcBorders>
              <w:top w:val="single" w:sz="6" w:space="0" w:color="000000"/>
              <w:left w:val="single" w:sz="6" w:space="0" w:color="000000"/>
              <w:right w:val="single" w:sz="6" w:space="0" w:color="000000"/>
            </w:tcBorders>
            <w:shd w:fill="auto" w:val="clear"/>
            <w:tcMar>
              <w:top w:w="28" w:type="dxa"/>
              <w:left w:w="28" w:type="dxa"/>
              <w:right w:w="28" w:type="dxa"/>
            </w:tcMar>
            <w:vAlign w:val="center"/>
          </w:tcPr>
          <w:p>
            <w:pPr>
              <w:pStyle w:val="TableContents"/>
              <w:spacing w:before="0" w:after="283"/>
              <w:rPr/>
            </w:pPr>
            <w:r>
              <w:rPr/>
              <w:t> </w:t>
            </w:r>
          </w:p>
        </w:tc>
      </w:tr>
      <w:tr>
        <w:trPr/>
        <w:tc>
          <w:tcPr>
            <w:tcW w:w="1190" w:type="dxa"/>
            <w:tcBorders>
              <w:left w:val="single" w:sz="6" w:space="0" w:color="000000"/>
              <w:bottom w:val="single" w:sz="6" w:space="0" w:color="000000"/>
              <w:right w:val="single" w:sz="6" w:space="0" w:color="000000"/>
            </w:tcBorders>
            <w:shd w:fill="auto" w:val="clear"/>
            <w:tcMar>
              <w:left w:w="160" w:type="dxa"/>
              <w:bottom w:w="28" w:type="dxa"/>
              <w:right w:w="28" w:type="dxa"/>
            </w:tcMar>
            <w:vAlign w:val="center"/>
          </w:tcPr>
          <w:p>
            <w:pPr>
              <w:pStyle w:val="TableContents"/>
              <w:spacing w:before="0" w:after="0"/>
              <w:rPr>
                <w:rFonts w:ascii="ARIAL" w:hAnsi="ARIAL"/>
                <w:b/>
                <w:sz w:val="20"/>
              </w:rPr>
            </w:pPr>
            <w:r>
              <w:rPr>
                <w:rFonts w:ascii="ARIAL" w:hAnsi="ARIAL"/>
                <w:b/>
                <w:sz w:val="20"/>
              </w:rPr>
              <w:t>3-yr average</w:t>
            </w:r>
          </w:p>
        </w:tc>
        <w:tc>
          <w:tcPr>
            <w:tcW w:w="60" w:type="dxa"/>
            <w:tcBorders>
              <w:left w:val="single" w:sz="6" w:space="0" w:color="000000"/>
              <w:bottom w:val="single" w:sz="6" w:space="0" w:color="000000"/>
            </w:tcBorders>
            <w:shd w:fill="auto" w:val="clear"/>
            <w:tcMar>
              <w:left w:w="28" w:type="dxa"/>
              <w:bottom w:w="28" w:type="dxa"/>
            </w:tcMar>
            <w:vAlign w:val="center"/>
          </w:tcPr>
          <w:p>
            <w:pPr>
              <w:pStyle w:val="TableContents"/>
              <w:spacing w:before="0" w:after="283"/>
              <w:rPr/>
            </w:pPr>
            <w:r>
              <w:rPr/>
              <w:t> </w:t>
            </w:r>
          </w:p>
        </w:tc>
        <w:tc>
          <w:tcPr>
            <w:tcW w:w="61" w:type="dxa"/>
            <w:tcBorders>
              <w:bottom w:val="single" w:sz="6" w:space="0" w:color="000000"/>
            </w:tcBorders>
            <w:shd w:fill="auto" w:val="clear"/>
            <w:tcMar>
              <w:bottom w:w="28" w:type="dxa"/>
            </w:tcMar>
            <w:vAlign w:val="center"/>
          </w:tcPr>
          <w:p>
            <w:pPr>
              <w:pStyle w:val="TableContents"/>
              <w:spacing w:before="0" w:after="283"/>
              <w:rPr/>
            </w:pPr>
            <w:r>
              <w:rPr/>
              <w:t> </w:t>
            </w:r>
          </w:p>
        </w:tc>
        <w:tc>
          <w:tcPr>
            <w:tcW w:w="814" w:type="dxa"/>
            <w:tcBorders>
              <w:bottom w:val="single" w:sz="6" w:space="0" w:color="000000"/>
            </w:tcBorders>
            <w:shd w:fill="auto" w:val="clear"/>
            <w:tcMar>
              <w:bottom w:w="28" w:type="dxa"/>
            </w:tcMar>
            <w:vAlign w:val="center"/>
          </w:tcPr>
          <w:p>
            <w:pPr>
              <w:pStyle w:val="TableContents"/>
              <w:spacing w:before="0" w:after="283"/>
              <w:jc w:val="right"/>
              <w:rPr/>
            </w:pPr>
            <w:r>
              <w:rPr/>
              <w:t>818,583</w:t>
            </w:r>
          </w:p>
        </w:tc>
        <w:tc>
          <w:tcPr>
            <w:tcW w:w="60" w:type="dxa"/>
            <w:tcBorders>
              <w:bottom w:val="single" w:sz="6" w:space="0" w:color="000000"/>
              <w:right w:val="single" w:sz="6" w:space="0" w:color="000000"/>
            </w:tcBorders>
            <w:shd w:fill="auto" w:val="clear"/>
            <w:tcMar>
              <w:bottom w:w="28" w:type="dxa"/>
              <w:right w:w="28" w:type="dxa"/>
            </w:tcMar>
            <w:vAlign w:val="center"/>
          </w:tcPr>
          <w:p>
            <w:pPr>
              <w:pStyle w:val="TableContents"/>
              <w:spacing w:before="0" w:after="283"/>
              <w:rPr/>
            </w:pPr>
            <w:r>
              <w:rPr/>
              <w:t> </w:t>
            </w:r>
          </w:p>
        </w:tc>
        <w:tc>
          <w:tcPr>
            <w:tcW w:w="60" w:type="dxa"/>
            <w:tcBorders>
              <w:left w:val="single" w:sz="6" w:space="0" w:color="000000"/>
              <w:bottom w:val="single" w:sz="6" w:space="0" w:color="000000"/>
            </w:tcBorders>
            <w:shd w:fill="auto" w:val="clear"/>
            <w:tcMar>
              <w:left w:w="28" w:type="dxa"/>
              <w:bottom w:w="28" w:type="dxa"/>
            </w:tcMar>
            <w:vAlign w:val="center"/>
          </w:tcPr>
          <w:p>
            <w:pPr>
              <w:pStyle w:val="TableContents"/>
              <w:spacing w:before="0" w:after="283"/>
              <w:rPr/>
            </w:pPr>
            <w:r>
              <w:rPr/>
              <w:t> </w:t>
            </w:r>
          </w:p>
        </w:tc>
        <w:tc>
          <w:tcPr>
            <w:tcW w:w="81" w:type="dxa"/>
            <w:tcBorders>
              <w:bottom w:val="single" w:sz="6" w:space="0" w:color="000000"/>
            </w:tcBorders>
            <w:shd w:fill="auto" w:val="clear"/>
            <w:tcMar>
              <w:bottom w:w="28" w:type="dxa"/>
            </w:tcMar>
            <w:vAlign w:val="center"/>
          </w:tcPr>
          <w:p>
            <w:pPr>
              <w:pStyle w:val="TableContents"/>
              <w:spacing w:before="0" w:after="283"/>
              <w:rPr/>
            </w:pPr>
            <w:r>
              <w:rPr/>
              <w:t> </w:t>
            </w:r>
          </w:p>
        </w:tc>
        <w:tc>
          <w:tcPr>
            <w:tcW w:w="1334" w:type="dxa"/>
            <w:tcBorders>
              <w:bottom w:val="single" w:sz="6" w:space="0" w:color="000000"/>
            </w:tcBorders>
            <w:shd w:fill="auto" w:val="clear"/>
            <w:tcMar>
              <w:bottom w:w="28" w:type="dxa"/>
            </w:tcMar>
            <w:vAlign w:val="center"/>
          </w:tcPr>
          <w:p>
            <w:pPr>
              <w:pStyle w:val="TableContents"/>
              <w:spacing w:before="0" w:after="283"/>
              <w:jc w:val="right"/>
              <w:rPr/>
            </w:pPr>
            <w:r>
              <w:rPr/>
              <w:t>1,448,167</w:t>
            </w:r>
          </w:p>
        </w:tc>
        <w:tc>
          <w:tcPr>
            <w:tcW w:w="60" w:type="dxa"/>
            <w:tcBorders>
              <w:bottom w:val="single" w:sz="6" w:space="0" w:color="000000"/>
              <w:right w:val="single" w:sz="6" w:space="0" w:color="000000"/>
            </w:tcBorders>
            <w:shd w:fill="auto" w:val="clear"/>
            <w:tcMar>
              <w:bottom w:w="28" w:type="dxa"/>
              <w:right w:w="28" w:type="dxa"/>
            </w:tcMar>
            <w:vAlign w:val="center"/>
          </w:tcPr>
          <w:p>
            <w:pPr>
              <w:pStyle w:val="TableContents"/>
              <w:spacing w:before="0" w:after="283"/>
              <w:rPr/>
            </w:pPr>
            <w:r>
              <w:rPr/>
              <w:t> </w:t>
            </w:r>
          </w:p>
        </w:tc>
        <w:tc>
          <w:tcPr>
            <w:tcW w:w="60" w:type="dxa"/>
            <w:tcBorders>
              <w:left w:val="single" w:sz="6" w:space="0" w:color="000000"/>
              <w:bottom w:val="single" w:sz="6" w:space="0" w:color="000000"/>
            </w:tcBorders>
            <w:shd w:fill="auto" w:val="clear"/>
            <w:tcMar>
              <w:left w:w="28" w:type="dxa"/>
              <w:bottom w:w="28" w:type="dxa"/>
            </w:tcMar>
            <w:vAlign w:val="center"/>
          </w:tcPr>
          <w:p>
            <w:pPr>
              <w:pStyle w:val="TableContents"/>
              <w:spacing w:before="0" w:after="283"/>
              <w:rPr/>
            </w:pPr>
            <w:r>
              <w:rPr/>
              <w:t> </w:t>
            </w:r>
          </w:p>
        </w:tc>
        <w:tc>
          <w:tcPr>
            <w:tcW w:w="69" w:type="dxa"/>
            <w:tcBorders>
              <w:bottom w:val="single" w:sz="6" w:space="0" w:color="000000"/>
            </w:tcBorders>
            <w:shd w:fill="auto" w:val="clear"/>
            <w:tcMar>
              <w:bottom w:w="28" w:type="dxa"/>
            </w:tcMar>
            <w:vAlign w:val="center"/>
          </w:tcPr>
          <w:p>
            <w:pPr>
              <w:pStyle w:val="TableContents"/>
              <w:spacing w:before="0" w:after="283"/>
              <w:rPr/>
            </w:pPr>
            <w:r>
              <w:rPr/>
              <w:t> </w:t>
            </w:r>
          </w:p>
        </w:tc>
        <w:tc>
          <w:tcPr>
            <w:tcW w:w="1135" w:type="dxa"/>
            <w:tcBorders>
              <w:bottom w:val="single" w:sz="6" w:space="0" w:color="000000"/>
            </w:tcBorders>
            <w:shd w:fill="auto" w:val="clear"/>
            <w:tcMar>
              <w:bottom w:w="28" w:type="dxa"/>
            </w:tcMar>
            <w:vAlign w:val="center"/>
          </w:tcPr>
          <w:p>
            <w:pPr>
              <w:pStyle w:val="TableContents"/>
              <w:spacing w:before="0" w:after="283"/>
              <w:jc w:val="right"/>
              <w:rPr/>
            </w:pPr>
            <w:r>
              <w:rPr/>
              <w:t>1,451,199</w:t>
            </w:r>
          </w:p>
        </w:tc>
        <w:tc>
          <w:tcPr>
            <w:tcW w:w="60" w:type="dxa"/>
            <w:tcBorders>
              <w:bottom w:val="single" w:sz="6" w:space="0" w:color="000000"/>
              <w:right w:val="single" w:sz="6" w:space="0" w:color="000000"/>
            </w:tcBorders>
            <w:shd w:fill="auto" w:val="clear"/>
            <w:tcMar>
              <w:bottom w:w="28" w:type="dxa"/>
              <w:right w:w="28" w:type="dxa"/>
            </w:tcMar>
            <w:vAlign w:val="center"/>
          </w:tcPr>
          <w:p>
            <w:pPr>
              <w:pStyle w:val="TableContents"/>
              <w:spacing w:before="0" w:after="283"/>
              <w:rPr/>
            </w:pPr>
            <w:r>
              <w:rPr/>
              <w:t> </w:t>
            </w:r>
          </w:p>
        </w:tc>
        <w:tc>
          <w:tcPr>
            <w:tcW w:w="60" w:type="dxa"/>
            <w:tcBorders>
              <w:left w:val="single" w:sz="6" w:space="0" w:color="000000"/>
              <w:bottom w:val="single" w:sz="6" w:space="0" w:color="000000"/>
            </w:tcBorders>
            <w:shd w:fill="auto" w:val="clear"/>
            <w:tcMar>
              <w:left w:w="28" w:type="dxa"/>
              <w:bottom w:w="28" w:type="dxa"/>
            </w:tcMar>
            <w:vAlign w:val="center"/>
          </w:tcPr>
          <w:p>
            <w:pPr>
              <w:pStyle w:val="TableContents"/>
              <w:spacing w:before="0" w:after="283"/>
              <w:rPr/>
            </w:pPr>
            <w:r>
              <w:rPr/>
              <w:t> </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980" w:type="dxa"/>
            <w:tcBorders>
              <w:bottom w:val="single" w:sz="6" w:space="0" w:color="000000"/>
            </w:tcBorders>
            <w:shd w:fill="auto" w:val="clear"/>
            <w:tcMar>
              <w:bottom w:w="28" w:type="dxa"/>
            </w:tcMar>
            <w:vAlign w:val="center"/>
          </w:tcPr>
          <w:p>
            <w:pPr>
              <w:pStyle w:val="TableContents"/>
              <w:spacing w:before="0" w:after="283"/>
              <w:jc w:val="right"/>
              <w:rPr/>
            </w:pPr>
            <w:r>
              <w:rPr/>
              <w:t>3,717,949</w:t>
            </w:r>
          </w:p>
        </w:tc>
        <w:tc>
          <w:tcPr>
            <w:tcW w:w="60" w:type="dxa"/>
            <w:tcBorders>
              <w:bottom w:val="single" w:sz="6" w:space="0" w:color="000000"/>
              <w:right w:val="single" w:sz="6" w:space="0" w:color="000000"/>
            </w:tcBorders>
            <w:shd w:fill="auto" w:val="clear"/>
            <w:tcMar>
              <w:bottom w:w="28" w:type="dxa"/>
              <w:right w:w="28" w:type="dxa"/>
            </w:tcMar>
            <w:vAlign w:val="center"/>
          </w:tcPr>
          <w:p>
            <w:pPr>
              <w:pStyle w:val="TableContents"/>
              <w:spacing w:before="0" w:after="283"/>
              <w:rPr/>
            </w:pPr>
            <w:r>
              <w:rPr/>
              <w:t> </w:t>
            </w:r>
          </w:p>
        </w:tc>
        <w:tc>
          <w:tcPr>
            <w:tcW w:w="60" w:type="dxa"/>
            <w:tcBorders>
              <w:left w:val="single" w:sz="6" w:space="0" w:color="000000"/>
              <w:bottom w:val="single" w:sz="6" w:space="0" w:color="000000"/>
            </w:tcBorders>
            <w:shd w:fill="auto" w:val="clear"/>
            <w:tcMar>
              <w:left w:w="28" w:type="dxa"/>
              <w:bottom w:w="28" w:type="dxa"/>
            </w:tcMar>
            <w:vAlign w:val="center"/>
          </w:tcPr>
          <w:p>
            <w:pPr>
              <w:pStyle w:val="TableContents"/>
              <w:spacing w:before="0" w:after="283"/>
              <w:rPr/>
            </w:pPr>
            <w:r>
              <w:rPr/>
              <w:t> </w:t>
            </w:r>
          </w:p>
        </w:tc>
        <w:tc>
          <w:tcPr>
            <w:tcW w:w="80" w:type="dxa"/>
            <w:tcBorders>
              <w:bottom w:val="single" w:sz="6" w:space="0" w:color="000000"/>
            </w:tcBorders>
            <w:shd w:fill="auto" w:val="clear"/>
            <w:tcMar>
              <w:bottom w:w="28" w:type="dxa"/>
            </w:tcMar>
            <w:vAlign w:val="center"/>
          </w:tcPr>
          <w:p>
            <w:pPr>
              <w:pStyle w:val="TableContents"/>
              <w:spacing w:before="0" w:after="283"/>
              <w:rPr/>
            </w:pPr>
            <w:r>
              <w:rPr/>
              <w:t> </w:t>
            </w:r>
          </w:p>
        </w:tc>
        <w:tc>
          <w:tcPr>
            <w:tcW w:w="1635" w:type="dxa"/>
            <w:tcBorders>
              <w:bottom w:val="single" w:sz="6" w:space="0" w:color="000000"/>
            </w:tcBorders>
            <w:shd w:fill="auto" w:val="clear"/>
            <w:tcMar>
              <w:bottom w:w="28" w:type="dxa"/>
            </w:tcMar>
            <w:vAlign w:val="center"/>
          </w:tcPr>
          <w:p>
            <w:pPr>
              <w:pStyle w:val="TableContents"/>
              <w:spacing w:before="0" w:after="283"/>
              <w:jc w:val="right"/>
              <w:rPr/>
            </w:pPr>
            <w:r>
              <w:rPr/>
              <w:t>123,684,754</w:t>
            </w:r>
          </w:p>
        </w:tc>
        <w:tc>
          <w:tcPr>
            <w:tcW w:w="60" w:type="dxa"/>
            <w:tcBorders>
              <w:bottom w:val="single" w:sz="6" w:space="0" w:color="000000"/>
              <w:right w:val="single" w:sz="6" w:space="0" w:color="000000"/>
            </w:tcBorders>
            <w:shd w:fill="auto" w:val="clear"/>
            <w:tcMar>
              <w:bottom w:w="28" w:type="dxa"/>
              <w:right w:w="28" w:type="dxa"/>
            </w:tcMar>
            <w:vAlign w:val="center"/>
          </w:tcPr>
          <w:p>
            <w:pPr>
              <w:pStyle w:val="TableContents"/>
              <w:spacing w:before="0" w:after="283"/>
              <w:rPr/>
            </w:pPr>
            <w:r>
              <w:rPr/>
              <w:t> </w:t>
            </w:r>
          </w:p>
        </w:tc>
        <w:tc>
          <w:tcPr>
            <w:tcW w:w="60" w:type="dxa"/>
            <w:tcBorders>
              <w:left w:val="single" w:sz="6" w:space="0" w:color="000000"/>
              <w:bottom w:val="single" w:sz="6" w:space="0" w:color="000000"/>
            </w:tcBorders>
            <w:shd w:fill="auto" w:val="clear"/>
            <w:tcMar>
              <w:left w:w="28" w:type="dxa"/>
              <w:bottom w:w="28" w:type="dxa"/>
            </w:tcMar>
            <w:vAlign w:val="center"/>
          </w:tcPr>
          <w:p>
            <w:pPr>
              <w:pStyle w:val="TableContents"/>
              <w:spacing w:before="0" w:after="283"/>
              <w:rPr/>
            </w:pPr>
            <w:r>
              <w:rPr/>
              <w:t> </w:t>
            </w:r>
          </w:p>
        </w:tc>
        <w:tc>
          <w:tcPr>
            <w:tcW w:w="170" w:type="dxa"/>
            <w:tcBorders>
              <w:bottom w:val="single" w:sz="6" w:space="0" w:color="000000"/>
            </w:tcBorders>
            <w:shd w:fill="auto" w:val="clear"/>
            <w:tcMar>
              <w:bottom w:w="28" w:type="dxa"/>
            </w:tcMar>
            <w:vAlign w:val="center"/>
          </w:tcPr>
          <w:p>
            <w:pPr>
              <w:pStyle w:val="TableContents"/>
              <w:spacing w:before="0" w:after="283"/>
              <w:rPr/>
            </w:pPr>
            <w:r>
              <w:rPr/>
              <w:t> </w:t>
            </w:r>
          </w:p>
        </w:tc>
        <w:tc>
          <w:tcPr>
            <w:tcW w:w="1259" w:type="dxa"/>
            <w:tcBorders>
              <w:bottom w:val="single" w:sz="6" w:space="0" w:color="000000"/>
            </w:tcBorders>
            <w:shd w:fill="auto" w:val="clear"/>
            <w:tcMar>
              <w:bottom w:w="28" w:type="dxa"/>
            </w:tcMar>
            <w:vAlign w:val="center"/>
          </w:tcPr>
          <w:p>
            <w:pPr>
              <w:pStyle w:val="TableContents"/>
              <w:spacing w:before="0" w:after="283"/>
              <w:jc w:val="right"/>
              <w:rPr>
                <w:b/>
              </w:rPr>
            </w:pPr>
            <w:r>
              <w:rPr>
                <w:b/>
              </w:rPr>
              <w:t>3.01</w:t>
            </w:r>
          </w:p>
        </w:tc>
        <w:tc>
          <w:tcPr>
            <w:tcW w:w="335" w:type="dxa"/>
            <w:tcBorders>
              <w:bottom w:val="single" w:sz="6" w:space="0" w:color="000000"/>
              <w:right w:val="single" w:sz="6" w:space="0" w:color="000000"/>
            </w:tcBorders>
            <w:shd w:fill="auto" w:val="clear"/>
            <w:tcMar>
              <w:bottom w:w="28" w:type="dxa"/>
              <w:right w:w="40" w:type="dxa"/>
            </w:tcMar>
            <w:vAlign w:val="center"/>
          </w:tcPr>
          <w:p>
            <w:pPr>
              <w:pStyle w:val="TableContents"/>
              <w:spacing w:before="0" w:after="283"/>
              <w:rPr>
                <w:b/>
              </w:rPr>
            </w:pPr>
            <w:r>
              <w:rPr>
                <w:b/>
              </w:rPr>
              <w: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35"/>
        <w:gridCol w:w="9970"/>
      </w:tblGrid>
      <w:tr>
        <w:trPr/>
        <w:tc>
          <w:tcPr>
            <w:tcW w:w="235" w:type="dxa"/>
            <w:tcBorders/>
            <w:shd w:fill="auto" w:val="clear"/>
            <w:vAlign w:val="center"/>
          </w:tcPr>
          <w:p>
            <w:pPr>
              <w:pStyle w:val="TableContents"/>
              <w:spacing w:before="0" w:after="283"/>
              <w:jc w:val="left"/>
              <w:rPr/>
            </w:pPr>
            <w:r>
              <w:rPr/>
              <w:t>(1)</w:t>
            </w:r>
          </w:p>
        </w:tc>
        <w:tc>
          <w:tcPr>
            <w:tcW w:w="9970" w:type="dxa"/>
            <w:tcBorders/>
            <w:shd w:fill="auto" w:val="clear"/>
            <w:vAlign w:val="center"/>
          </w:tcPr>
          <w:p>
            <w:pPr>
              <w:pStyle w:val="TableContents"/>
              <w:spacing w:before="0" w:after="0"/>
              <w:jc w:val="left"/>
              <w:rPr>
                <w:rFonts w:ascii="ARIAL" w:hAnsi="ARIAL"/>
                <w:sz w:val="20"/>
              </w:rPr>
            </w:pPr>
            <w:r>
              <w:rPr>
                <w:rFonts w:ascii="ARIAL" w:hAnsi="ARIAL"/>
                <w:sz w:val="20"/>
              </w:rPr>
              <w:t xml:space="preserve">Represents the number of full-value awards of performance-based restricted stock granted to employees and officers during the applicable fiscal year, with such performance-based restricted stock awards being valued for purposes of the chart set forth above at the target (100%) performance level at the time of grant. Exclusive of those awards which were forfeited or cancelled, the performance-based restricted stock awards approved in February 2020 with a performance period from January 1, 2020 to December 31, 2022, ultimately vested at the 100% level as described above under Compensation Discussion and Analysis. Performance-based awards approved in 2018 with a performance period from January 1, 2018 to December 31, 2020, ultimately vested at an amount exceeding the original number of shares granted resulting in the grant of an additional 557,500 shares of performance-based restricted stock in 2021. Performance-based awards approved in 2019 with a performance period from January 1, 2019 to December 31, 2021, ultimately vested at an amount exceeding the original number of shares granted resulting in the grant of an additional 695,500 shares of performance-based restricted stock in 2022.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66"/>
        <w:gridCol w:w="9939"/>
      </w:tblGrid>
      <w:tr>
        <w:trPr/>
        <w:tc>
          <w:tcPr>
            <w:tcW w:w="266" w:type="dxa"/>
            <w:tcBorders/>
            <w:shd w:fill="auto" w:val="clear"/>
            <w:vAlign w:val="center"/>
          </w:tcPr>
          <w:p>
            <w:pPr>
              <w:pStyle w:val="TableContents"/>
              <w:spacing w:before="0" w:after="283"/>
              <w:jc w:val="left"/>
              <w:rPr/>
            </w:pPr>
            <w:r>
              <w:rPr/>
              <w:t>(2)</w:t>
            </w:r>
          </w:p>
        </w:tc>
        <w:tc>
          <w:tcPr>
            <w:tcW w:w="9939" w:type="dxa"/>
            <w:tcBorders/>
            <w:shd w:fill="auto" w:val="clear"/>
            <w:vAlign w:val="center"/>
          </w:tcPr>
          <w:p>
            <w:pPr>
              <w:pStyle w:val="TableContents"/>
              <w:spacing w:before="0" w:after="0"/>
              <w:jc w:val="left"/>
              <w:rPr>
                <w:rFonts w:ascii="ARIAL" w:hAnsi="ARIAL"/>
                <w:sz w:val="20"/>
              </w:rPr>
            </w:pPr>
            <w:r>
              <w:rPr>
                <w:rFonts w:ascii="ARIAL" w:hAnsi="ARIAL"/>
                <w:sz w:val="20"/>
              </w:rPr>
              <w:t xml:space="preserve">Represents the number of full-value awards of time-based restricted stock granted to employees and officers and time-based restricted stock units granted to non-management directors during the applicable fiscal year.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76"/>
        <w:gridCol w:w="9929"/>
      </w:tblGrid>
      <w:tr>
        <w:trPr/>
        <w:tc>
          <w:tcPr>
            <w:tcW w:w="276" w:type="dxa"/>
            <w:tcBorders/>
            <w:shd w:fill="auto" w:val="clear"/>
            <w:vAlign w:val="center"/>
          </w:tcPr>
          <w:p>
            <w:pPr>
              <w:pStyle w:val="TableContents"/>
              <w:spacing w:before="0" w:after="283"/>
              <w:jc w:val="left"/>
              <w:rPr/>
            </w:pPr>
            <w:r>
              <w:rPr/>
              <w:t>(3)</w:t>
            </w:r>
          </w:p>
        </w:tc>
        <w:tc>
          <w:tcPr>
            <w:tcW w:w="9929" w:type="dxa"/>
            <w:tcBorders/>
            <w:shd w:fill="auto" w:val="clear"/>
            <w:vAlign w:val="center"/>
          </w:tcPr>
          <w:p>
            <w:pPr>
              <w:pStyle w:val="TableContents"/>
              <w:spacing w:before="0" w:after="0"/>
              <w:jc w:val="left"/>
              <w:rPr>
                <w:rFonts w:ascii="ARIAL" w:hAnsi="ARIAL"/>
                <w:sz w:val="20"/>
              </w:rPr>
            </w:pPr>
            <w:r>
              <w:rPr>
                <w:rFonts w:ascii="ARIAL" w:hAnsi="ARIAL"/>
                <w:sz w:val="20"/>
              </w:rPr>
              <w:t xml:space="preserve">Burn rate is calculated as (A) the number of options granted, plus (B) the number of full-value shares awarded, divided by (C) the weighted average common shares outstanding. </w:t>
            </w:r>
          </w:p>
        </w:tc>
      </w:tr>
    </w:tbl>
    <w:p>
      <w:pPr>
        <w:pStyle w:val="TextBody"/>
        <w:spacing w:before="240" w:after="0"/>
        <w:jc w:val="left"/>
        <w:rPr>
          <w:rFonts w:ascii="ARIAL" w:hAnsi="ARIAL"/>
          <w:sz w:val="20"/>
        </w:rPr>
      </w:pPr>
      <w:r>
        <w:rPr>
          <w:rFonts w:ascii="ARIAL" w:hAnsi="ARIAL"/>
          <w:sz w:val="20"/>
        </w:rPr>
        <w:t xml:space="preserve">In addition, from January 1, 2023 through March 1, 2023 (taking into account the 2023 Annual Equity Grants), the Company granted 814,000 options, 1,223,000 performance-based restricted stock awards, and 1,789,037 time-based awards (comprised of time-based restricted stock awards granted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82 </w:t>
      </w:r>
      <w:r>
        <w:br w:type="page"/>
      </w:r>
    </w:p>
    <w:p>
      <w:pPr>
        <w:pStyle w:val="HorizontalLine"/>
        <w:rPr/>
      </w:pPr>
      <w:r>
        <w:rPr/>
      </w:r>
    </w:p>
    <w:p>
      <w:pPr>
        <w:pStyle w:val="TextBody"/>
        <w:spacing w:before="0" w:after="0"/>
        <w:jc w:val="left"/>
        <w:rPr>
          <w:rFonts w:ascii="ARIAL" w:hAnsi="ARIAL"/>
          <w:sz w:val="20"/>
        </w:rPr>
      </w:pPr>
      <w:r>
        <w:rPr>
          <w:rFonts w:ascii="ARIAL" w:hAnsi="ARIAL"/>
          <w:sz w:val="20"/>
        </w:rPr>
        <w:t xml:space="preserve">to employees and officers, and time-based restricted stock unit awards granted to non-management directors). Since March 1, 2023, through the date of this Proxy Statement, the Company has not approved or granted any additional equity awards. </w:t>
      </w:r>
    </w:p>
    <w:p>
      <w:pPr>
        <w:pStyle w:val="TextBody"/>
        <w:spacing w:before="240" w:after="0"/>
        <w:jc w:val="left"/>
        <w:rPr>
          <w:rFonts w:ascii="ARIAL" w:hAnsi="ARIAL"/>
          <w:sz w:val="20"/>
        </w:rPr>
      </w:pPr>
      <w:r>
        <w:rPr>
          <w:rFonts w:ascii="ARIAL" w:hAnsi="ARIAL"/>
          <w:sz w:val="20"/>
        </w:rPr>
        <w:t xml:space="preserve">An additional metric that we use to measure the cumulative impact of our equity program is potential overhang which measures the potential dilutive effect of all outstanding equity awards and shares available for future grants. We calculate overhang as (A) the total number of shares subject to outstanding equity awards (valuing all unvested performance-based awards at the target (100%) performance level), plus (B) the number of shares available for grant, divided by (C) the total common shares outstanding plus A plus B. The Company’s overhang as of March 1, 2023 (after giving effect to the 2023 Annual Equity Grants) was 8.1%. If the additional 7,500,000 shares under the Amended and Restated 2009 Plan are included in the calculation, the Company’s overhang as of such date would be 12.5%. </w:t>
      </w:r>
    </w:p>
    <w:p>
      <w:pPr>
        <w:pStyle w:val="TextBody"/>
        <w:spacing w:before="240" w:after="0"/>
        <w:jc w:val="left"/>
        <w:rPr>
          <w:rFonts w:ascii="ARIAL" w:hAnsi="ARIAL"/>
          <w:sz w:val="20"/>
        </w:rPr>
      </w:pPr>
      <w:r>
        <w:rPr>
          <w:rFonts w:ascii="ARIAL" w:hAnsi="ARIAL"/>
          <w:sz w:val="20"/>
        </w:rPr>
        <w:t xml:space="preserve">The chart below sets forth certain information related to our overhang, and our outstanding equity awards and Common Stock, as of March 1, 2023 (after giving effect to the 2023 Annual Equity Grants). </w:t>
      </w:r>
    </w:p>
    <w:p>
      <w:pPr>
        <w:pStyle w:val="TextBody"/>
        <w:spacing w:before="0" w:after="0"/>
        <w:jc w:val="left"/>
        <w:rPr/>
      </w:pPr>
      <w:r>
        <w:rPr/>
        <w:t> </w:t>
      </w:r>
    </w:p>
    <w:tbl>
      <w:tblPr>
        <w:tblW w:w="8320" w:type="dxa"/>
        <w:jc w:val="left"/>
        <w:tblInd w:w="0" w:type="dxa"/>
        <w:tblCellMar>
          <w:top w:w="0" w:type="dxa"/>
          <w:left w:w="0" w:type="dxa"/>
          <w:bottom w:w="0" w:type="dxa"/>
          <w:right w:w="0" w:type="dxa"/>
        </w:tblCellMar>
      </w:tblPr>
      <w:tblGrid>
        <w:gridCol w:w="5750"/>
        <w:gridCol w:w="120"/>
        <w:gridCol w:w="93"/>
        <w:gridCol w:w="2282"/>
        <w:gridCol w:w="75"/>
      </w:tblGrid>
      <w:tr>
        <w:trPr/>
        <w:tc>
          <w:tcPr>
            <w:tcW w:w="57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3" w:type="dxa"/>
            <w:tcBorders/>
            <w:shd w:fill="auto" w:val="clear"/>
            <w:vAlign w:val="center"/>
          </w:tcPr>
          <w:p>
            <w:pPr>
              <w:pStyle w:val="TableContents"/>
              <w:spacing w:before="0" w:after="283"/>
              <w:rPr>
                <w:sz w:val="4"/>
                <w:szCs w:val="4"/>
              </w:rPr>
            </w:pPr>
            <w:r>
              <w:rPr>
                <w:sz w:val="4"/>
                <w:szCs w:val="4"/>
              </w:rPr>
            </w:r>
          </w:p>
        </w:tc>
        <w:tc>
          <w:tcPr>
            <w:tcW w:w="2282"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5750" w:type="dxa"/>
            <w:tcBorders>
              <w:top w:val="single" w:sz="6" w:space="0" w:color="000000"/>
              <w:left w:val="single" w:sz="6" w:space="0" w:color="000000"/>
              <w:right w:val="single" w:sz="6" w:space="0" w:color="000000"/>
            </w:tcBorders>
            <w:shd w:fill="auto" w:val="clear"/>
            <w:tcMar>
              <w:top w:w="28" w:type="dxa"/>
              <w:left w:w="160" w:type="dxa"/>
              <w:right w:w="28" w:type="dxa"/>
            </w:tcMar>
            <w:vAlign w:val="center"/>
          </w:tcPr>
          <w:p>
            <w:pPr>
              <w:pStyle w:val="TableContents"/>
              <w:spacing w:before="0" w:after="283"/>
              <w:rPr/>
            </w:pPr>
            <w:r>
              <w:rPr/>
              <w:t> </w:t>
            </w:r>
          </w:p>
        </w:tc>
        <w:tc>
          <w:tcPr>
            <w:tcW w:w="2570" w:type="dxa"/>
            <w:gridSpan w:val="4"/>
            <w:tcBorders>
              <w:top w:val="single" w:sz="6" w:space="0" w:color="000000"/>
              <w:left w:val="single" w:sz="6" w:space="0" w:color="000000"/>
              <w:right w:val="single" w:sz="6" w:space="0" w:color="000000"/>
            </w:tcBorders>
            <w:shd w:fill="auto" w:val="clear"/>
            <w:tcMar>
              <w:top w:w="28" w:type="dxa"/>
              <w:left w:w="28" w:type="dxa"/>
              <w:right w:w="28" w:type="dxa"/>
            </w:tcMar>
            <w:vAlign w:val="center"/>
          </w:tcPr>
          <w:p>
            <w:pPr>
              <w:pStyle w:val="TableContents"/>
              <w:spacing w:before="0" w:after="283"/>
              <w:rPr/>
            </w:pPr>
            <w:r>
              <w:rPr/>
              <w:t> </w:t>
            </w:r>
          </w:p>
        </w:tc>
      </w:tr>
      <w:tr>
        <w:trPr/>
        <w:tc>
          <w:tcPr>
            <w:tcW w:w="5750" w:type="dxa"/>
            <w:tcBorders>
              <w:left w:val="single" w:sz="6" w:space="0" w:color="000000"/>
              <w:bottom w:val="single" w:sz="6" w:space="0" w:color="000000"/>
              <w:right w:val="single" w:sz="6" w:space="0" w:color="000000"/>
            </w:tcBorders>
            <w:shd w:fill="auto" w:val="clear"/>
            <w:tcMar>
              <w:left w:w="160" w:type="dxa"/>
              <w:bottom w:w="28" w:type="dxa"/>
              <w:right w:w="28" w:type="dxa"/>
            </w:tcMar>
            <w:vAlign w:val="center"/>
          </w:tcPr>
          <w:p>
            <w:pPr>
              <w:pStyle w:val="TableContents"/>
              <w:spacing w:before="0" w:after="283"/>
              <w:rPr/>
            </w:pPr>
            <w:r>
              <w:rPr/>
              <w:t>  </w:t>
            </w:r>
          </w:p>
        </w:tc>
        <w:tc>
          <w:tcPr>
            <w:tcW w:w="120" w:type="dxa"/>
            <w:tcBorders>
              <w:left w:val="single" w:sz="6" w:space="0" w:color="000000"/>
              <w:bottom w:val="single" w:sz="6" w:space="0" w:color="000000"/>
            </w:tcBorders>
            <w:shd w:fill="auto" w:val="clear"/>
            <w:tcMar>
              <w:left w:w="28" w:type="dxa"/>
              <w:bottom w:w="28" w:type="dxa"/>
            </w:tcMar>
            <w:vAlign w:val="center"/>
          </w:tcPr>
          <w:p>
            <w:pPr>
              <w:pStyle w:val="TableContents"/>
              <w:spacing w:before="0" w:after="283"/>
              <w:rPr/>
            </w:pPr>
            <w:r>
              <w:rPr/>
              <w:t>  </w:t>
            </w:r>
          </w:p>
        </w:tc>
        <w:tc>
          <w:tcPr>
            <w:tcW w:w="2375" w:type="dxa"/>
            <w:gridSpan w:val="2"/>
            <w:tcBorders>
              <w:bottom w:val="single" w:sz="6" w:space="0" w:color="000000"/>
            </w:tcBorders>
            <w:shd w:fill="auto" w:val="clear"/>
            <w:tcMar>
              <w:bottom w:w="28" w:type="dxa"/>
            </w:tcMar>
            <w:vAlign w:val="center"/>
          </w:tcPr>
          <w:p>
            <w:pPr>
              <w:pStyle w:val="TableContents"/>
              <w:spacing w:before="0" w:after="283"/>
              <w:jc w:val="center"/>
              <w:rPr>
                <w:b/>
              </w:rPr>
            </w:pPr>
            <w:r>
              <w:rPr>
                <w:b/>
              </w:rPr>
              <w:t>As of March 1, 2023     </w:t>
            </w:r>
          </w:p>
        </w:tc>
        <w:tc>
          <w:tcPr>
            <w:tcW w:w="75" w:type="dxa"/>
            <w:tcBorders>
              <w:bottom w:val="single" w:sz="6" w:space="0" w:color="000000"/>
              <w:right w:val="single" w:sz="6" w:space="0" w:color="000000"/>
            </w:tcBorders>
            <w:shd w:fill="auto" w:val="clear"/>
            <w:tcMar>
              <w:bottom w:w="28" w:type="dxa"/>
              <w:right w:w="40" w:type="dxa"/>
            </w:tcMar>
            <w:vAlign w:val="center"/>
          </w:tcPr>
          <w:p>
            <w:pPr>
              <w:pStyle w:val="TableContents"/>
              <w:spacing w:before="0" w:after="283"/>
              <w:rPr/>
            </w:pPr>
            <w:r>
              <w:rPr/>
              <w:t> </w:t>
            </w:r>
          </w:p>
        </w:tc>
      </w:tr>
      <w:tr>
        <w:trPr/>
        <w:tc>
          <w:tcPr>
            <w:tcW w:w="5750" w:type="dxa"/>
            <w:tcBorders>
              <w:top w:val="single" w:sz="6" w:space="0" w:color="000000"/>
              <w:left w:val="single" w:sz="6" w:space="0" w:color="000000"/>
              <w:right w:val="single" w:sz="6" w:space="0" w:color="000000"/>
            </w:tcBorders>
            <w:shd w:fill="auto" w:val="clear"/>
            <w:tcMar>
              <w:top w:w="28" w:type="dxa"/>
              <w:left w:w="160" w:type="dxa"/>
              <w:right w:w="28" w:type="dxa"/>
            </w:tcMar>
            <w:vAlign w:val="center"/>
          </w:tcPr>
          <w:p>
            <w:pPr>
              <w:pStyle w:val="TableContents"/>
              <w:spacing w:before="0" w:after="283"/>
              <w:rPr/>
            </w:pPr>
            <w:r>
              <w:rPr/>
              <w:t> </w:t>
            </w:r>
          </w:p>
        </w:tc>
        <w:tc>
          <w:tcPr>
            <w:tcW w:w="2570" w:type="dxa"/>
            <w:gridSpan w:val="4"/>
            <w:tcBorders>
              <w:top w:val="single" w:sz="6" w:space="0" w:color="000000"/>
              <w:left w:val="single" w:sz="6" w:space="0" w:color="000000"/>
              <w:right w:val="single" w:sz="6" w:space="0" w:color="000000"/>
            </w:tcBorders>
            <w:shd w:fill="auto" w:val="clear"/>
            <w:tcMar>
              <w:top w:w="28" w:type="dxa"/>
              <w:left w:w="28" w:type="dxa"/>
              <w:right w:w="28" w:type="dxa"/>
            </w:tcMar>
            <w:vAlign w:val="center"/>
          </w:tcPr>
          <w:p>
            <w:pPr>
              <w:pStyle w:val="TableContents"/>
              <w:spacing w:before="0" w:after="283"/>
              <w:rPr/>
            </w:pPr>
            <w:r>
              <w:rPr/>
              <w:t> </w:t>
            </w:r>
          </w:p>
        </w:tc>
      </w:tr>
      <w:tr>
        <w:trPr/>
        <w:tc>
          <w:tcPr>
            <w:tcW w:w="5750" w:type="dxa"/>
            <w:tcBorders>
              <w:left w:val="single" w:sz="6" w:space="0" w:color="000000"/>
              <w:bottom w:val="single" w:sz="6" w:space="0" w:color="000000"/>
              <w:right w:val="single" w:sz="6" w:space="0" w:color="000000"/>
            </w:tcBorders>
            <w:shd w:fill="auto" w:val="clear"/>
            <w:tcMar>
              <w:left w:w="160" w:type="dxa"/>
              <w:bottom w:w="28" w:type="dxa"/>
              <w:right w:w="28" w:type="dxa"/>
            </w:tcMar>
            <w:vAlign w:val="center"/>
          </w:tcPr>
          <w:p>
            <w:pPr>
              <w:pStyle w:val="TableContents"/>
              <w:spacing w:before="0" w:after="0"/>
              <w:rPr>
                <w:rFonts w:ascii="ARIAL" w:hAnsi="ARIAL"/>
                <w:sz w:val="20"/>
              </w:rPr>
            </w:pPr>
            <w:r>
              <w:rPr>
                <w:rFonts w:ascii="ARIAL" w:hAnsi="ARIAL"/>
                <w:sz w:val="20"/>
              </w:rPr>
              <w:t>Stock Options Outstanding</w:t>
            </w:r>
          </w:p>
        </w:tc>
        <w:tc>
          <w:tcPr>
            <w:tcW w:w="120" w:type="dxa"/>
            <w:tcBorders>
              <w:left w:val="single" w:sz="6" w:space="0" w:color="000000"/>
              <w:bottom w:val="single" w:sz="6" w:space="0" w:color="000000"/>
            </w:tcBorders>
            <w:shd w:fill="auto" w:val="clear"/>
            <w:tcMar>
              <w:left w:w="28" w:type="dxa"/>
              <w:bottom w:w="28" w:type="dxa"/>
            </w:tcMar>
            <w:vAlign w:val="center"/>
          </w:tcPr>
          <w:p>
            <w:pPr>
              <w:pStyle w:val="TableContents"/>
              <w:spacing w:before="0" w:after="283"/>
              <w:rPr/>
            </w:pPr>
            <w:r>
              <w:rPr/>
              <w:t>  </w:t>
            </w:r>
          </w:p>
        </w:tc>
        <w:tc>
          <w:tcPr>
            <w:tcW w:w="93" w:type="dxa"/>
            <w:tcBorders>
              <w:bottom w:val="single" w:sz="6" w:space="0" w:color="000000"/>
            </w:tcBorders>
            <w:shd w:fill="auto" w:val="clear"/>
            <w:tcMar>
              <w:bottom w:w="28" w:type="dxa"/>
            </w:tcMar>
            <w:vAlign w:val="center"/>
          </w:tcPr>
          <w:p>
            <w:pPr>
              <w:pStyle w:val="TableContents"/>
              <w:spacing w:before="0" w:after="283"/>
              <w:rPr/>
            </w:pPr>
            <w:r>
              <w:rPr/>
              <w:t> </w:t>
            </w:r>
          </w:p>
        </w:tc>
        <w:tc>
          <w:tcPr>
            <w:tcW w:w="2282" w:type="dxa"/>
            <w:tcBorders>
              <w:bottom w:val="single" w:sz="6" w:space="0" w:color="000000"/>
            </w:tcBorders>
            <w:shd w:fill="auto" w:val="clear"/>
            <w:tcMar>
              <w:bottom w:w="28" w:type="dxa"/>
            </w:tcMar>
            <w:vAlign w:val="center"/>
          </w:tcPr>
          <w:p>
            <w:pPr>
              <w:pStyle w:val="TableContents"/>
              <w:spacing w:before="0" w:after="283"/>
              <w:jc w:val="right"/>
              <w:rPr/>
            </w:pPr>
            <w:r>
              <w:rPr/>
              <w:t>3,637,417    </w:t>
            </w:r>
          </w:p>
        </w:tc>
        <w:tc>
          <w:tcPr>
            <w:tcW w:w="75" w:type="dxa"/>
            <w:tcBorders>
              <w:bottom w:val="single" w:sz="6" w:space="0" w:color="000000"/>
              <w:right w:val="single" w:sz="6" w:space="0" w:color="000000"/>
            </w:tcBorders>
            <w:shd w:fill="auto" w:val="clear"/>
            <w:tcMar>
              <w:bottom w:w="28" w:type="dxa"/>
              <w:right w:w="40" w:type="dxa"/>
            </w:tcMar>
            <w:vAlign w:val="center"/>
          </w:tcPr>
          <w:p>
            <w:pPr>
              <w:pStyle w:val="TableContents"/>
              <w:spacing w:before="0" w:after="283"/>
              <w:rPr/>
            </w:pPr>
            <w:r>
              <w:rPr/>
              <w:t> </w:t>
            </w:r>
          </w:p>
        </w:tc>
      </w:tr>
      <w:tr>
        <w:trPr/>
        <w:tc>
          <w:tcPr>
            <w:tcW w:w="5750" w:type="dxa"/>
            <w:tcBorders>
              <w:top w:val="single" w:sz="6" w:space="0" w:color="000000"/>
              <w:left w:val="single" w:sz="6" w:space="0" w:color="000000"/>
              <w:right w:val="single" w:sz="6" w:space="0" w:color="000000"/>
            </w:tcBorders>
            <w:shd w:fill="auto" w:val="clear"/>
            <w:tcMar>
              <w:top w:w="28" w:type="dxa"/>
              <w:left w:w="160" w:type="dxa"/>
              <w:right w:w="28" w:type="dxa"/>
            </w:tcMar>
            <w:vAlign w:val="center"/>
          </w:tcPr>
          <w:p>
            <w:pPr>
              <w:pStyle w:val="TableContents"/>
              <w:spacing w:before="0" w:after="283"/>
              <w:rPr/>
            </w:pPr>
            <w:r>
              <w:rPr/>
              <w:t> </w:t>
            </w:r>
          </w:p>
        </w:tc>
        <w:tc>
          <w:tcPr>
            <w:tcW w:w="2570" w:type="dxa"/>
            <w:gridSpan w:val="4"/>
            <w:tcBorders>
              <w:top w:val="single" w:sz="6" w:space="0" w:color="000000"/>
              <w:left w:val="single" w:sz="6" w:space="0" w:color="000000"/>
              <w:right w:val="single" w:sz="6" w:space="0" w:color="000000"/>
            </w:tcBorders>
            <w:shd w:fill="auto" w:val="clear"/>
            <w:tcMar>
              <w:top w:w="28" w:type="dxa"/>
              <w:left w:w="28" w:type="dxa"/>
              <w:right w:w="28" w:type="dxa"/>
            </w:tcMar>
            <w:vAlign w:val="center"/>
          </w:tcPr>
          <w:p>
            <w:pPr>
              <w:pStyle w:val="TableContents"/>
              <w:spacing w:before="0" w:after="283"/>
              <w:rPr/>
            </w:pPr>
            <w:r>
              <w:rPr/>
              <w:t> </w:t>
            </w:r>
          </w:p>
        </w:tc>
      </w:tr>
      <w:tr>
        <w:trPr/>
        <w:tc>
          <w:tcPr>
            <w:tcW w:w="5750" w:type="dxa"/>
            <w:tcBorders>
              <w:left w:val="single" w:sz="6" w:space="0" w:color="000000"/>
              <w:bottom w:val="single" w:sz="6" w:space="0" w:color="000000"/>
              <w:right w:val="single" w:sz="6" w:space="0" w:color="000000"/>
            </w:tcBorders>
            <w:shd w:fill="auto" w:val="clear"/>
            <w:tcMar>
              <w:left w:w="160" w:type="dxa"/>
              <w:bottom w:w="28" w:type="dxa"/>
              <w:right w:w="28" w:type="dxa"/>
            </w:tcMar>
            <w:vAlign w:val="center"/>
          </w:tcPr>
          <w:p>
            <w:pPr>
              <w:pStyle w:val="TableContents"/>
              <w:spacing w:before="0" w:after="0"/>
              <w:rPr>
                <w:rFonts w:ascii="ARIAL" w:hAnsi="ARIAL"/>
                <w:sz w:val="20"/>
              </w:rPr>
            </w:pPr>
            <w:r>
              <w:rPr>
                <w:rFonts w:ascii="ARIAL" w:hAnsi="ARIAL"/>
                <w:sz w:val="20"/>
              </w:rPr>
              <w:t>Weighted Average Exercise Price of Stock Options Outstanding</w:t>
            </w:r>
          </w:p>
        </w:tc>
        <w:tc>
          <w:tcPr>
            <w:tcW w:w="120" w:type="dxa"/>
            <w:tcBorders>
              <w:left w:val="single" w:sz="6" w:space="0" w:color="000000"/>
              <w:bottom w:val="single" w:sz="6" w:space="0" w:color="000000"/>
            </w:tcBorders>
            <w:shd w:fill="auto" w:val="clear"/>
            <w:tcMar>
              <w:left w:w="28" w:type="dxa"/>
              <w:bottom w:w="28" w:type="dxa"/>
            </w:tcMar>
            <w:vAlign w:val="center"/>
          </w:tcPr>
          <w:p>
            <w:pPr>
              <w:pStyle w:val="TableContents"/>
              <w:spacing w:before="0" w:after="283"/>
              <w:rPr/>
            </w:pPr>
            <w:r>
              <w:rPr/>
              <w:t>  </w:t>
            </w:r>
          </w:p>
        </w:tc>
        <w:tc>
          <w:tcPr>
            <w:tcW w:w="93" w:type="dxa"/>
            <w:tcBorders>
              <w:bottom w:val="single" w:sz="6" w:space="0" w:color="000000"/>
            </w:tcBorders>
            <w:shd w:fill="auto" w:val="clear"/>
            <w:tcMar>
              <w:bottom w:w="28" w:type="dxa"/>
            </w:tcMar>
            <w:vAlign w:val="center"/>
          </w:tcPr>
          <w:p>
            <w:pPr>
              <w:pStyle w:val="TableContents"/>
              <w:spacing w:before="0" w:after="283"/>
              <w:rPr/>
            </w:pPr>
            <w:r>
              <w:rPr/>
              <w:t> </w:t>
            </w:r>
          </w:p>
        </w:tc>
        <w:tc>
          <w:tcPr>
            <w:tcW w:w="2282" w:type="dxa"/>
            <w:tcBorders>
              <w:bottom w:val="single" w:sz="6" w:space="0" w:color="000000"/>
            </w:tcBorders>
            <w:shd w:fill="auto" w:val="clear"/>
            <w:tcMar>
              <w:bottom w:w="28" w:type="dxa"/>
            </w:tcMar>
            <w:vAlign w:val="center"/>
          </w:tcPr>
          <w:p>
            <w:pPr>
              <w:pStyle w:val="TableContents"/>
              <w:spacing w:before="0" w:after="283"/>
              <w:jc w:val="right"/>
              <w:rPr/>
            </w:pPr>
            <w:r>
              <w:rPr/>
              <w:t>$7.06    </w:t>
            </w:r>
          </w:p>
        </w:tc>
        <w:tc>
          <w:tcPr>
            <w:tcW w:w="75" w:type="dxa"/>
            <w:tcBorders>
              <w:bottom w:val="single" w:sz="6" w:space="0" w:color="000000"/>
              <w:right w:val="single" w:sz="6" w:space="0" w:color="000000"/>
            </w:tcBorders>
            <w:shd w:fill="auto" w:val="clear"/>
            <w:tcMar>
              <w:bottom w:w="28" w:type="dxa"/>
              <w:right w:w="40" w:type="dxa"/>
            </w:tcMar>
            <w:vAlign w:val="center"/>
          </w:tcPr>
          <w:p>
            <w:pPr>
              <w:pStyle w:val="TableContents"/>
              <w:spacing w:before="0" w:after="283"/>
              <w:rPr/>
            </w:pPr>
            <w:r>
              <w:rPr/>
              <w:t> </w:t>
            </w:r>
          </w:p>
        </w:tc>
      </w:tr>
      <w:tr>
        <w:trPr/>
        <w:tc>
          <w:tcPr>
            <w:tcW w:w="5750" w:type="dxa"/>
            <w:tcBorders>
              <w:top w:val="single" w:sz="6" w:space="0" w:color="000000"/>
              <w:left w:val="single" w:sz="6" w:space="0" w:color="000000"/>
              <w:right w:val="single" w:sz="6" w:space="0" w:color="000000"/>
            </w:tcBorders>
            <w:shd w:fill="auto" w:val="clear"/>
            <w:tcMar>
              <w:top w:w="28" w:type="dxa"/>
              <w:left w:w="160" w:type="dxa"/>
              <w:right w:w="28" w:type="dxa"/>
            </w:tcMar>
            <w:vAlign w:val="center"/>
          </w:tcPr>
          <w:p>
            <w:pPr>
              <w:pStyle w:val="TableContents"/>
              <w:spacing w:before="0" w:after="283"/>
              <w:rPr/>
            </w:pPr>
            <w:r>
              <w:rPr/>
              <w:t> </w:t>
            </w:r>
          </w:p>
        </w:tc>
        <w:tc>
          <w:tcPr>
            <w:tcW w:w="2570" w:type="dxa"/>
            <w:gridSpan w:val="4"/>
            <w:tcBorders>
              <w:top w:val="single" w:sz="6" w:space="0" w:color="000000"/>
              <w:left w:val="single" w:sz="6" w:space="0" w:color="000000"/>
              <w:right w:val="single" w:sz="6" w:space="0" w:color="000000"/>
            </w:tcBorders>
            <w:shd w:fill="auto" w:val="clear"/>
            <w:tcMar>
              <w:top w:w="28" w:type="dxa"/>
              <w:left w:w="28" w:type="dxa"/>
              <w:right w:w="28" w:type="dxa"/>
            </w:tcMar>
            <w:vAlign w:val="center"/>
          </w:tcPr>
          <w:p>
            <w:pPr>
              <w:pStyle w:val="TableContents"/>
              <w:spacing w:before="0" w:after="283"/>
              <w:rPr/>
            </w:pPr>
            <w:r>
              <w:rPr/>
              <w:t> </w:t>
            </w:r>
          </w:p>
        </w:tc>
      </w:tr>
      <w:tr>
        <w:trPr/>
        <w:tc>
          <w:tcPr>
            <w:tcW w:w="5750" w:type="dxa"/>
            <w:tcBorders>
              <w:left w:val="single" w:sz="6" w:space="0" w:color="000000"/>
              <w:bottom w:val="single" w:sz="6" w:space="0" w:color="000000"/>
              <w:right w:val="single" w:sz="6" w:space="0" w:color="000000"/>
            </w:tcBorders>
            <w:shd w:fill="auto" w:val="clear"/>
            <w:tcMar>
              <w:left w:w="160" w:type="dxa"/>
              <w:bottom w:w="28" w:type="dxa"/>
              <w:right w:w="28" w:type="dxa"/>
            </w:tcMar>
            <w:vAlign w:val="center"/>
          </w:tcPr>
          <w:p>
            <w:pPr>
              <w:pStyle w:val="TableContents"/>
              <w:spacing w:before="0" w:after="0"/>
              <w:rPr>
                <w:rFonts w:ascii="ARIAL" w:hAnsi="ARIAL"/>
                <w:sz w:val="20"/>
              </w:rPr>
            </w:pPr>
            <w:r>
              <w:rPr>
                <w:rFonts w:ascii="ARIAL" w:hAnsi="ARIAL"/>
                <w:sz w:val="20"/>
              </w:rPr>
              <w:t>Weighted Average Remaining Term of Stock Options Outstanding</w:t>
            </w:r>
          </w:p>
        </w:tc>
        <w:tc>
          <w:tcPr>
            <w:tcW w:w="120" w:type="dxa"/>
            <w:tcBorders>
              <w:left w:val="single" w:sz="6" w:space="0" w:color="000000"/>
              <w:bottom w:val="single" w:sz="6" w:space="0" w:color="000000"/>
            </w:tcBorders>
            <w:shd w:fill="auto" w:val="clear"/>
            <w:tcMar>
              <w:left w:w="28" w:type="dxa"/>
              <w:bottom w:w="28" w:type="dxa"/>
            </w:tcMar>
            <w:vAlign w:val="center"/>
          </w:tcPr>
          <w:p>
            <w:pPr>
              <w:pStyle w:val="TableContents"/>
              <w:spacing w:before="0" w:after="283"/>
              <w:rPr/>
            </w:pPr>
            <w:r>
              <w:rPr/>
              <w:t>  </w:t>
            </w:r>
          </w:p>
        </w:tc>
        <w:tc>
          <w:tcPr>
            <w:tcW w:w="93" w:type="dxa"/>
            <w:tcBorders>
              <w:bottom w:val="single" w:sz="6" w:space="0" w:color="000000"/>
            </w:tcBorders>
            <w:shd w:fill="auto" w:val="clear"/>
            <w:tcMar>
              <w:bottom w:w="28" w:type="dxa"/>
            </w:tcMar>
            <w:vAlign w:val="center"/>
          </w:tcPr>
          <w:p>
            <w:pPr>
              <w:pStyle w:val="TableContents"/>
              <w:spacing w:before="0" w:after="283"/>
              <w:rPr/>
            </w:pPr>
            <w:r>
              <w:rPr/>
              <w:t> </w:t>
            </w:r>
          </w:p>
        </w:tc>
        <w:tc>
          <w:tcPr>
            <w:tcW w:w="2282" w:type="dxa"/>
            <w:tcBorders>
              <w:bottom w:val="single" w:sz="6" w:space="0" w:color="000000"/>
            </w:tcBorders>
            <w:shd w:fill="auto" w:val="clear"/>
            <w:tcMar>
              <w:bottom w:w="28" w:type="dxa"/>
            </w:tcMar>
            <w:vAlign w:val="center"/>
          </w:tcPr>
          <w:p>
            <w:pPr>
              <w:pStyle w:val="TableContents"/>
              <w:spacing w:before="0" w:after="283"/>
              <w:jc w:val="right"/>
              <w:rPr/>
            </w:pPr>
            <w:r>
              <w:rPr/>
              <w:t>8.2 years    </w:t>
            </w:r>
          </w:p>
        </w:tc>
        <w:tc>
          <w:tcPr>
            <w:tcW w:w="75" w:type="dxa"/>
            <w:tcBorders>
              <w:bottom w:val="single" w:sz="6" w:space="0" w:color="000000"/>
              <w:right w:val="single" w:sz="6" w:space="0" w:color="000000"/>
            </w:tcBorders>
            <w:shd w:fill="auto" w:val="clear"/>
            <w:tcMar>
              <w:bottom w:w="28" w:type="dxa"/>
              <w:right w:w="40" w:type="dxa"/>
            </w:tcMar>
            <w:vAlign w:val="center"/>
          </w:tcPr>
          <w:p>
            <w:pPr>
              <w:pStyle w:val="TableContents"/>
              <w:spacing w:before="0" w:after="283"/>
              <w:rPr/>
            </w:pPr>
            <w:r>
              <w:rPr/>
              <w:t> </w:t>
            </w:r>
          </w:p>
        </w:tc>
      </w:tr>
      <w:tr>
        <w:trPr/>
        <w:tc>
          <w:tcPr>
            <w:tcW w:w="5750" w:type="dxa"/>
            <w:tcBorders>
              <w:top w:val="single" w:sz="6" w:space="0" w:color="000000"/>
              <w:left w:val="single" w:sz="6" w:space="0" w:color="000000"/>
              <w:right w:val="single" w:sz="6" w:space="0" w:color="000000"/>
            </w:tcBorders>
            <w:shd w:fill="auto" w:val="clear"/>
            <w:tcMar>
              <w:top w:w="28" w:type="dxa"/>
              <w:left w:w="160" w:type="dxa"/>
              <w:right w:w="28" w:type="dxa"/>
            </w:tcMar>
            <w:vAlign w:val="center"/>
          </w:tcPr>
          <w:p>
            <w:pPr>
              <w:pStyle w:val="TableContents"/>
              <w:spacing w:before="0" w:after="283"/>
              <w:rPr/>
            </w:pPr>
            <w:r>
              <w:rPr/>
              <w:t> </w:t>
            </w:r>
          </w:p>
        </w:tc>
        <w:tc>
          <w:tcPr>
            <w:tcW w:w="2570" w:type="dxa"/>
            <w:gridSpan w:val="4"/>
            <w:tcBorders>
              <w:top w:val="single" w:sz="6" w:space="0" w:color="000000"/>
              <w:left w:val="single" w:sz="6" w:space="0" w:color="000000"/>
              <w:right w:val="single" w:sz="6" w:space="0" w:color="000000"/>
            </w:tcBorders>
            <w:shd w:fill="auto" w:val="clear"/>
            <w:tcMar>
              <w:top w:w="28" w:type="dxa"/>
              <w:left w:w="28" w:type="dxa"/>
              <w:right w:w="28" w:type="dxa"/>
            </w:tcMar>
            <w:vAlign w:val="center"/>
          </w:tcPr>
          <w:p>
            <w:pPr>
              <w:pStyle w:val="TableContents"/>
              <w:spacing w:before="0" w:after="283"/>
              <w:rPr/>
            </w:pPr>
            <w:r>
              <w:rPr/>
              <w:t> </w:t>
            </w:r>
          </w:p>
        </w:tc>
      </w:tr>
      <w:tr>
        <w:trPr/>
        <w:tc>
          <w:tcPr>
            <w:tcW w:w="5750" w:type="dxa"/>
            <w:tcBorders>
              <w:left w:val="single" w:sz="6" w:space="0" w:color="000000"/>
              <w:bottom w:val="single" w:sz="6" w:space="0" w:color="000000"/>
              <w:right w:val="single" w:sz="6" w:space="0" w:color="000000"/>
            </w:tcBorders>
            <w:shd w:fill="auto" w:val="clear"/>
            <w:tcMar>
              <w:left w:w="160" w:type="dxa"/>
              <w:bottom w:w="28" w:type="dxa"/>
              <w:right w:w="28" w:type="dxa"/>
            </w:tcMar>
            <w:vAlign w:val="center"/>
          </w:tcPr>
          <w:p>
            <w:pPr>
              <w:pStyle w:val="TableContents"/>
              <w:spacing w:before="0" w:after="0"/>
              <w:rPr>
                <w:rFonts w:ascii="ARIAL" w:hAnsi="ARIAL"/>
                <w:sz w:val="20"/>
              </w:rPr>
            </w:pPr>
            <w:r>
              <w:rPr>
                <w:rFonts w:ascii="ARIAL" w:hAnsi="ARIAL"/>
                <w:sz w:val="20"/>
              </w:rPr>
              <w:t>Time-Based Restricted Stock/Units Unvested &amp; Outstanding</w:t>
            </w:r>
          </w:p>
        </w:tc>
        <w:tc>
          <w:tcPr>
            <w:tcW w:w="120" w:type="dxa"/>
            <w:tcBorders>
              <w:left w:val="single" w:sz="6" w:space="0" w:color="000000"/>
              <w:bottom w:val="single" w:sz="6" w:space="0" w:color="000000"/>
            </w:tcBorders>
            <w:shd w:fill="auto" w:val="clear"/>
            <w:tcMar>
              <w:left w:w="28" w:type="dxa"/>
              <w:bottom w:w="28" w:type="dxa"/>
            </w:tcMar>
            <w:vAlign w:val="center"/>
          </w:tcPr>
          <w:p>
            <w:pPr>
              <w:pStyle w:val="TableContents"/>
              <w:spacing w:before="0" w:after="283"/>
              <w:rPr/>
            </w:pPr>
            <w:r>
              <w:rPr/>
              <w:t>  </w:t>
            </w:r>
          </w:p>
        </w:tc>
        <w:tc>
          <w:tcPr>
            <w:tcW w:w="93" w:type="dxa"/>
            <w:tcBorders>
              <w:bottom w:val="single" w:sz="6" w:space="0" w:color="000000"/>
            </w:tcBorders>
            <w:shd w:fill="auto" w:val="clear"/>
            <w:tcMar>
              <w:bottom w:w="28" w:type="dxa"/>
            </w:tcMar>
            <w:vAlign w:val="center"/>
          </w:tcPr>
          <w:p>
            <w:pPr>
              <w:pStyle w:val="TableContents"/>
              <w:spacing w:before="0" w:after="283"/>
              <w:rPr/>
            </w:pPr>
            <w:r>
              <w:rPr/>
              <w:t> </w:t>
            </w:r>
          </w:p>
        </w:tc>
        <w:tc>
          <w:tcPr>
            <w:tcW w:w="2282" w:type="dxa"/>
            <w:tcBorders>
              <w:bottom w:val="single" w:sz="6" w:space="0" w:color="000000"/>
            </w:tcBorders>
            <w:shd w:fill="auto" w:val="clear"/>
            <w:tcMar>
              <w:bottom w:w="28" w:type="dxa"/>
            </w:tcMar>
            <w:vAlign w:val="center"/>
          </w:tcPr>
          <w:p>
            <w:pPr>
              <w:pStyle w:val="TableContents"/>
              <w:spacing w:before="0" w:after="283"/>
              <w:jc w:val="right"/>
              <w:rPr/>
            </w:pPr>
            <w:r>
              <w:rPr/>
              <w:t>3,549,819    </w:t>
            </w:r>
          </w:p>
        </w:tc>
        <w:tc>
          <w:tcPr>
            <w:tcW w:w="75" w:type="dxa"/>
            <w:tcBorders>
              <w:bottom w:val="single" w:sz="6" w:space="0" w:color="000000"/>
              <w:right w:val="single" w:sz="6" w:space="0" w:color="000000"/>
            </w:tcBorders>
            <w:shd w:fill="auto" w:val="clear"/>
            <w:tcMar>
              <w:bottom w:w="28" w:type="dxa"/>
              <w:right w:w="40" w:type="dxa"/>
            </w:tcMar>
            <w:vAlign w:val="center"/>
          </w:tcPr>
          <w:p>
            <w:pPr>
              <w:pStyle w:val="TableContents"/>
              <w:spacing w:before="0" w:after="283"/>
              <w:rPr/>
            </w:pPr>
            <w:r>
              <w:rPr/>
              <w:t> </w:t>
            </w:r>
          </w:p>
        </w:tc>
      </w:tr>
      <w:tr>
        <w:trPr/>
        <w:tc>
          <w:tcPr>
            <w:tcW w:w="5750" w:type="dxa"/>
            <w:tcBorders>
              <w:top w:val="single" w:sz="6" w:space="0" w:color="000000"/>
              <w:left w:val="single" w:sz="6" w:space="0" w:color="000000"/>
              <w:right w:val="single" w:sz="6" w:space="0" w:color="000000"/>
            </w:tcBorders>
            <w:shd w:fill="auto" w:val="clear"/>
            <w:tcMar>
              <w:top w:w="28" w:type="dxa"/>
              <w:left w:w="160" w:type="dxa"/>
              <w:right w:w="28" w:type="dxa"/>
            </w:tcMar>
            <w:vAlign w:val="center"/>
          </w:tcPr>
          <w:p>
            <w:pPr>
              <w:pStyle w:val="TableContents"/>
              <w:spacing w:before="0" w:after="283"/>
              <w:rPr/>
            </w:pPr>
            <w:r>
              <w:rPr/>
              <w:t> </w:t>
            </w:r>
          </w:p>
        </w:tc>
        <w:tc>
          <w:tcPr>
            <w:tcW w:w="2570" w:type="dxa"/>
            <w:gridSpan w:val="4"/>
            <w:tcBorders>
              <w:top w:val="single" w:sz="6" w:space="0" w:color="000000"/>
              <w:left w:val="single" w:sz="6" w:space="0" w:color="000000"/>
              <w:right w:val="single" w:sz="6" w:space="0" w:color="000000"/>
            </w:tcBorders>
            <w:shd w:fill="auto" w:val="clear"/>
            <w:tcMar>
              <w:top w:w="28" w:type="dxa"/>
              <w:left w:w="28" w:type="dxa"/>
              <w:right w:w="28" w:type="dxa"/>
            </w:tcMar>
            <w:vAlign w:val="center"/>
          </w:tcPr>
          <w:p>
            <w:pPr>
              <w:pStyle w:val="TableContents"/>
              <w:spacing w:before="0" w:after="283"/>
              <w:rPr/>
            </w:pPr>
            <w:r>
              <w:rPr/>
              <w:t> </w:t>
            </w:r>
          </w:p>
        </w:tc>
      </w:tr>
      <w:tr>
        <w:trPr/>
        <w:tc>
          <w:tcPr>
            <w:tcW w:w="5750" w:type="dxa"/>
            <w:tcBorders>
              <w:left w:val="single" w:sz="6" w:space="0" w:color="000000"/>
              <w:bottom w:val="single" w:sz="6" w:space="0" w:color="000000"/>
              <w:right w:val="single" w:sz="6" w:space="0" w:color="000000"/>
            </w:tcBorders>
            <w:shd w:fill="auto" w:val="clear"/>
            <w:tcMar>
              <w:left w:w="160" w:type="dxa"/>
              <w:bottom w:w="28" w:type="dxa"/>
              <w:right w:w="28" w:type="dxa"/>
            </w:tcMar>
            <w:vAlign w:val="center"/>
          </w:tcPr>
          <w:p>
            <w:pPr>
              <w:pStyle w:val="TableContents"/>
              <w:spacing w:before="0" w:after="0"/>
              <w:rPr>
                <w:rFonts w:ascii="ARIAL" w:hAnsi="ARIAL"/>
                <w:sz w:val="20"/>
              </w:rPr>
            </w:pPr>
            <w:r>
              <w:rPr>
                <w:rFonts w:ascii="ARIAL" w:hAnsi="ARIAL"/>
                <w:sz w:val="20"/>
              </w:rPr>
              <w:t>Performance-Based Restricted Stock Unvested &amp; Outstanding (1)</w:t>
            </w:r>
          </w:p>
        </w:tc>
        <w:tc>
          <w:tcPr>
            <w:tcW w:w="120" w:type="dxa"/>
            <w:tcBorders>
              <w:left w:val="single" w:sz="6" w:space="0" w:color="000000"/>
              <w:bottom w:val="single" w:sz="6" w:space="0" w:color="000000"/>
            </w:tcBorders>
            <w:shd w:fill="auto" w:val="clear"/>
            <w:tcMar>
              <w:left w:w="28" w:type="dxa"/>
              <w:bottom w:w="28" w:type="dxa"/>
            </w:tcMar>
            <w:vAlign w:val="center"/>
          </w:tcPr>
          <w:p>
            <w:pPr>
              <w:pStyle w:val="TableContents"/>
              <w:spacing w:before="0" w:after="283"/>
              <w:rPr/>
            </w:pPr>
            <w:r>
              <w:rPr/>
              <w:t>  </w:t>
            </w:r>
          </w:p>
        </w:tc>
        <w:tc>
          <w:tcPr>
            <w:tcW w:w="93" w:type="dxa"/>
            <w:tcBorders>
              <w:bottom w:val="single" w:sz="6" w:space="0" w:color="000000"/>
            </w:tcBorders>
            <w:shd w:fill="auto" w:val="clear"/>
            <w:tcMar>
              <w:bottom w:w="28" w:type="dxa"/>
            </w:tcMar>
            <w:vAlign w:val="center"/>
          </w:tcPr>
          <w:p>
            <w:pPr>
              <w:pStyle w:val="TableContents"/>
              <w:spacing w:before="0" w:after="283"/>
              <w:rPr/>
            </w:pPr>
            <w:r>
              <w:rPr/>
              <w:t> </w:t>
            </w:r>
          </w:p>
        </w:tc>
        <w:tc>
          <w:tcPr>
            <w:tcW w:w="2282" w:type="dxa"/>
            <w:tcBorders>
              <w:bottom w:val="single" w:sz="6" w:space="0" w:color="000000"/>
            </w:tcBorders>
            <w:shd w:fill="auto" w:val="clear"/>
            <w:tcMar>
              <w:bottom w:w="28" w:type="dxa"/>
            </w:tcMar>
            <w:vAlign w:val="center"/>
          </w:tcPr>
          <w:p>
            <w:pPr>
              <w:pStyle w:val="TableContents"/>
              <w:spacing w:before="0" w:after="283"/>
              <w:jc w:val="right"/>
              <w:rPr/>
            </w:pPr>
            <w:r>
              <w:rPr/>
              <w:t>3,351,500    </w:t>
            </w:r>
          </w:p>
        </w:tc>
        <w:tc>
          <w:tcPr>
            <w:tcW w:w="75" w:type="dxa"/>
            <w:tcBorders>
              <w:bottom w:val="single" w:sz="6" w:space="0" w:color="000000"/>
              <w:right w:val="single" w:sz="6" w:space="0" w:color="000000"/>
            </w:tcBorders>
            <w:shd w:fill="auto" w:val="clear"/>
            <w:tcMar>
              <w:bottom w:w="28" w:type="dxa"/>
              <w:right w:w="40" w:type="dxa"/>
            </w:tcMar>
            <w:vAlign w:val="center"/>
          </w:tcPr>
          <w:p>
            <w:pPr>
              <w:pStyle w:val="TableContents"/>
              <w:spacing w:before="0" w:after="283"/>
              <w:rPr/>
            </w:pPr>
            <w:r>
              <w:rPr/>
              <w:t> </w:t>
            </w:r>
          </w:p>
        </w:tc>
      </w:tr>
      <w:tr>
        <w:trPr/>
        <w:tc>
          <w:tcPr>
            <w:tcW w:w="5750" w:type="dxa"/>
            <w:tcBorders>
              <w:top w:val="single" w:sz="6" w:space="0" w:color="000000"/>
              <w:left w:val="single" w:sz="6" w:space="0" w:color="000000"/>
              <w:right w:val="single" w:sz="6" w:space="0" w:color="000000"/>
            </w:tcBorders>
            <w:shd w:fill="auto" w:val="clear"/>
            <w:tcMar>
              <w:top w:w="28" w:type="dxa"/>
              <w:left w:w="160" w:type="dxa"/>
              <w:right w:w="28" w:type="dxa"/>
            </w:tcMar>
            <w:vAlign w:val="center"/>
          </w:tcPr>
          <w:p>
            <w:pPr>
              <w:pStyle w:val="TableContents"/>
              <w:spacing w:before="0" w:after="283"/>
              <w:rPr/>
            </w:pPr>
            <w:r>
              <w:rPr/>
              <w:t> </w:t>
            </w:r>
          </w:p>
        </w:tc>
        <w:tc>
          <w:tcPr>
            <w:tcW w:w="2570" w:type="dxa"/>
            <w:gridSpan w:val="4"/>
            <w:tcBorders>
              <w:top w:val="single" w:sz="6" w:space="0" w:color="000000"/>
              <w:left w:val="single" w:sz="6" w:space="0" w:color="000000"/>
              <w:right w:val="single" w:sz="6" w:space="0" w:color="000000"/>
            </w:tcBorders>
            <w:shd w:fill="auto" w:val="clear"/>
            <w:tcMar>
              <w:top w:w="28" w:type="dxa"/>
              <w:left w:w="28" w:type="dxa"/>
              <w:right w:w="28" w:type="dxa"/>
            </w:tcMar>
            <w:vAlign w:val="center"/>
          </w:tcPr>
          <w:p>
            <w:pPr>
              <w:pStyle w:val="TableContents"/>
              <w:spacing w:before="0" w:after="283"/>
              <w:rPr/>
            </w:pPr>
            <w:r>
              <w:rPr/>
              <w:t> </w:t>
            </w:r>
          </w:p>
        </w:tc>
      </w:tr>
      <w:tr>
        <w:trPr/>
        <w:tc>
          <w:tcPr>
            <w:tcW w:w="5750" w:type="dxa"/>
            <w:tcBorders>
              <w:left w:val="single" w:sz="6" w:space="0" w:color="000000"/>
              <w:bottom w:val="single" w:sz="6" w:space="0" w:color="000000"/>
              <w:right w:val="single" w:sz="6" w:space="0" w:color="000000"/>
            </w:tcBorders>
            <w:shd w:fill="auto" w:val="clear"/>
            <w:tcMar>
              <w:left w:w="160" w:type="dxa"/>
              <w:bottom w:w="28" w:type="dxa"/>
              <w:right w:w="28" w:type="dxa"/>
            </w:tcMar>
            <w:vAlign w:val="center"/>
          </w:tcPr>
          <w:p>
            <w:pPr>
              <w:pStyle w:val="TableContents"/>
              <w:spacing w:before="0" w:after="0"/>
              <w:rPr>
                <w:rFonts w:ascii="ARIAL" w:hAnsi="ARIAL"/>
                <w:sz w:val="20"/>
              </w:rPr>
            </w:pPr>
            <w:r>
              <w:rPr>
                <w:rFonts w:ascii="ARIAL" w:hAnsi="ARIAL"/>
                <w:sz w:val="20"/>
              </w:rPr>
              <w:t>Shares Available Under 2009 Plan (2)</w:t>
            </w:r>
          </w:p>
        </w:tc>
        <w:tc>
          <w:tcPr>
            <w:tcW w:w="120" w:type="dxa"/>
            <w:tcBorders>
              <w:left w:val="single" w:sz="6" w:space="0" w:color="000000"/>
              <w:bottom w:val="single" w:sz="6" w:space="0" w:color="000000"/>
            </w:tcBorders>
            <w:shd w:fill="auto" w:val="clear"/>
            <w:tcMar>
              <w:left w:w="28" w:type="dxa"/>
              <w:bottom w:w="28" w:type="dxa"/>
            </w:tcMar>
            <w:vAlign w:val="center"/>
          </w:tcPr>
          <w:p>
            <w:pPr>
              <w:pStyle w:val="TableContents"/>
              <w:spacing w:before="0" w:after="283"/>
              <w:rPr/>
            </w:pPr>
            <w:r>
              <w:rPr/>
              <w:t>  </w:t>
            </w:r>
          </w:p>
        </w:tc>
        <w:tc>
          <w:tcPr>
            <w:tcW w:w="93" w:type="dxa"/>
            <w:tcBorders>
              <w:bottom w:val="single" w:sz="6" w:space="0" w:color="000000"/>
            </w:tcBorders>
            <w:shd w:fill="auto" w:val="clear"/>
            <w:tcMar>
              <w:bottom w:w="28" w:type="dxa"/>
            </w:tcMar>
            <w:vAlign w:val="center"/>
          </w:tcPr>
          <w:p>
            <w:pPr>
              <w:pStyle w:val="TableContents"/>
              <w:spacing w:before="0" w:after="283"/>
              <w:rPr/>
            </w:pPr>
            <w:r>
              <w:rPr/>
              <w:t> </w:t>
            </w:r>
          </w:p>
        </w:tc>
        <w:tc>
          <w:tcPr>
            <w:tcW w:w="2282" w:type="dxa"/>
            <w:tcBorders>
              <w:bottom w:val="single" w:sz="6" w:space="0" w:color="000000"/>
            </w:tcBorders>
            <w:shd w:fill="auto" w:val="clear"/>
            <w:tcMar>
              <w:bottom w:w="28" w:type="dxa"/>
            </w:tcMar>
            <w:vAlign w:val="center"/>
          </w:tcPr>
          <w:p>
            <w:pPr>
              <w:pStyle w:val="TableContents"/>
              <w:spacing w:before="0" w:after="283"/>
              <w:jc w:val="right"/>
              <w:rPr/>
            </w:pPr>
            <w:r>
              <w:rPr/>
              <w:t>1,539,421    </w:t>
            </w:r>
          </w:p>
        </w:tc>
        <w:tc>
          <w:tcPr>
            <w:tcW w:w="75" w:type="dxa"/>
            <w:tcBorders>
              <w:bottom w:val="single" w:sz="6" w:space="0" w:color="000000"/>
              <w:right w:val="single" w:sz="6" w:space="0" w:color="000000"/>
            </w:tcBorders>
            <w:shd w:fill="auto" w:val="clear"/>
            <w:tcMar>
              <w:bottom w:w="28" w:type="dxa"/>
              <w:right w:w="40" w:type="dxa"/>
            </w:tcMar>
            <w:vAlign w:val="center"/>
          </w:tcPr>
          <w:p>
            <w:pPr>
              <w:pStyle w:val="TableContents"/>
              <w:spacing w:before="0" w:after="283"/>
              <w:rPr/>
            </w:pPr>
            <w:r>
              <w:rPr/>
              <w:t> </w:t>
            </w:r>
          </w:p>
        </w:tc>
      </w:tr>
      <w:tr>
        <w:trPr/>
        <w:tc>
          <w:tcPr>
            <w:tcW w:w="5750" w:type="dxa"/>
            <w:tcBorders>
              <w:top w:val="single" w:sz="6" w:space="0" w:color="000000"/>
              <w:left w:val="single" w:sz="6" w:space="0" w:color="000000"/>
              <w:right w:val="single" w:sz="6" w:space="0" w:color="000000"/>
            </w:tcBorders>
            <w:shd w:fill="auto" w:val="clear"/>
            <w:tcMar>
              <w:top w:w="28" w:type="dxa"/>
              <w:left w:w="160" w:type="dxa"/>
              <w:right w:w="28" w:type="dxa"/>
            </w:tcMar>
            <w:vAlign w:val="center"/>
          </w:tcPr>
          <w:p>
            <w:pPr>
              <w:pStyle w:val="TableContents"/>
              <w:spacing w:before="0" w:after="283"/>
              <w:rPr/>
            </w:pPr>
            <w:r>
              <w:rPr/>
              <w:t> </w:t>
            </w:r>
          </w:p>
        </w:tc>
        <w:tc>
          <w:tcPr>
            <w:tcW w:w="2570" w:type="dxa"/>
            <w:gridSpan w:val="4"/>
            <w:tcBorders>
              <w:top w:val="single" w:sz="6" w:space="0" w:color="000000"/>
              <w:left w:val="single" w:sz="6" w:space="0" w:color="000000"/>
              <w:right w:val="single" w:sz="6" w:space="0" w:color="000000"/>
            </w:tcBorders>
            <w:shd w:fill="auto" w:val="clear"/>
            <w:tcMar>
              <w:top w:w="28" w:type="dxa"/>
              <w:left w:w="28" w:type="dxa"/>
              <w:right w:w="28" w:type="dxa"/>
            </w:tcMar>
            <w:vAlign w:val="center"/>
          </w:tcPr>
          <w:p>
            <w:pPr>
              <w:pStyle w:val="TableContents"/>
              <w:spacing w:before="0" w:after="283"/>
              <w:rPr/>
            </w:pPr>
            <w:r>
              <w:rPr/>
              <w:t> </w:t>
            </w:r>
          </w:p>
        </w:tc>
      </w:tr>
      <w:tr>
        <w:trPr/>
        <w:tc>
          <w:tcPr>
            <w:tcW w:w="5750" w:type="dxa"/>
            <w:tcBorders>
              <w:left w:val="single" w:sz="6" w:space="0" w:color="000000"/>
              <w:bottom w:val="single" w:sz="6" w:space="0" w:color="000000"/>
              <w:right w:val="single" w:sz="6" w:space="0" w:color="000000"/>
            </w:tcBorders>
            <w:shd w:fill="auto" w:val="clear"/>
            <w:tcMar>
              <w:left w:w="160" w:type="dxa"/>
              <w:bottom w:w="28" w:type="dxa"/>
              <w:right w:w="28" w:type="dxa"/>
            </w:tcMar>
            <w:vAlign w:val="center"/>
          </w:tcPr>
          <w:p>
            <w:pPr>
              <w:pStyle w:val="TableContents"/>
              <w:spacing w:before="0" w:after="0"/>
              <w:rPr>
                <w:rFonts w:ascii="ARIAL" w:hAnsi="ARIAL"/>
                <w:sz w:val="20"/>
              </w:rPr>
            </w:pPr>
            <w:r>
              <w:rPr>
                <w:rFonts w:ascii="ARIAL" w:hAnsi="ARIAL"/>
                <w:sz w:val="20"/>
              </w:rPr>
              <w:t>Additional Shares Under Amended and Restated 2009 Plan (2)</w:t>
            </w:r>
          </w:p>
        </w:tc>
        <w:tc>
          <w:tcPr>
            <w:tcW w:w="120" w:type="dxa"/>
            <w:tcBorders>
              <w:left w:val="single" w:sz="6" w:space="0" w:color="000000"/>
              <w:bottom w:val="single" w:sz="6" w:space="0" w:color="000000"/>
            </w:tcBorders>
            <w:shd w:fill="auto" w:val="clear"/>
            <w:tcMar>
              <w:left w:w="28" w:type="dxa"/>
              <w:bottom w:w="28" w:type="dxa"/>
            </w:tcMar>
            <w:vAlign w:val="center"/>
          </w:tcPr>
          <w:p>
            <w:pPr>
              <w:pStyle w:val="TableContents"/>
              <w:spacing w:before="0" w:after="283"/>
              <w:rPr/>
            </w:pPr>
            <w:r>
              <w:rPr/>
              <w:t>  </w:t>
            </w:r>
          </w:p>
        </w:tc>
        <w:tc>
          <w:tcPr>
            <w:tcW w:w="93" w:type="dxa"/>
            <w:tcBorders>
              <w:bottom w:val="single" w:sz="6" w:space="0" w:color="000000"/>
            </w:tcBorders>
            <w:shd w:fill="auto" w:val="clear"/>
            <w:tcMar>
              <w:bottom w:w="28" w:type="dxa"/>
            </w:tcMar>
            <w:vAlign w:val="center"/>
          </w:tcPr>
          <w:p>
            <w:pPr>
              <w:pStyle w:val="TableContents"/>
              <w:spacing w:before="0" w:after="283"/>
              <w:rPr/>
            </w:pPr>
            <w:r>
              <w:rPr/>
              <w:t> </w:t>
            </w:r>
          </w:p>
        </w:tc>
        <w:tc>
          <w:tcPr>
            <w:tcW w:w="2282" w:type="dxa"/>
            <w:tcBorders>
              <w:bottom w:val="single" w:sz="6" w:space="0" w:color="000000"/>
            </w:tcBorders>
            <w:shd w:fill="auto" w:val="clear"/>
            <w:tcMar>
              <w:bottom w:w="28" w:type="dxa"/>
            </w:tcMar>
            <w:vAlign w:val="center"/>
          </w:tcPr>
          <w:p>
            <w:pPr>
              <w:pStyle w:val="TableContents"/>
              <w:spacing w:before="0" w:after="283"/>
              <w:jc w:val="right"/>
              <w:rPr/>
            </w:pPr>
            <w:r>
              <w:rPr/>
              <w:t>7,500,000    </w:t>
            </w:r>
          </w:p>
        </w:tc>
        <w:tc>
          <w:tcPr>
            <w:tcW w:w="75" w:type="dxa"/>
            <w:tcBorders>
              <w:bottom w:val="single" w:sz="6" w:space="0" w:color="000000"/>
              <w:right w:val="single" w:sz="6" w:space="0" w:color="000000"/>
            </w:tcBorders>
            <w:shd w:fill="auto" w:val="clear"/>
            <w:tcMar>
              <w:bottom w:w="28" w:type="dxa"/>
              <w:right w:w="40" w:type="dxa"/>
            </w:tcMar>
            <w:vAlign w:val="center"/>
          </w:tcPr>
          <w:p>
            <w:pPr>
              <w:pStyle w:val="TableContents"/>
              <w:spacing w:before="0" w:after="283"/>
              <w:rPr/>
            </w:pPr>
            <w:r>
              <w:rPr/>
              <w:t> </w:t>
            </w:r>
          </w:p>
        </w:tc>
      </w:tr>
      <w:tr>
        <w:trPr/>
        <w:tc>
          <w:tcPr>
            <w:tcW w:w="5750" w:type="dxa"/>
            <w:tcBorders>
              <w:top w:val="single" w:sz="6" w:space="0" w:color="000000"/>
              <w:left w:val="single" w:sz="6" w:space="0" w:color="000000"/>
              <w:right w:val="single" w:sz="6" w:space="0" w:color="000000"/>
            </w:tcBorders>
            <w:shd w:fill="auto" w:val="clear"/>
            <w:tcMar>
              <w:top w:w="28" w:type="dxa"/>
              <w:left w:w="160" w:type="dxa"/>
              <w:right w:w="28" w:type="dxa"/>
            </w:tcMar>
            <w:vAlign w:val="center"/>
          </w:tcPr>
          <w:p>
            <w:pPr>
              <w:pStyle w:val="TableContents"/>
              <w:spacing w:before="0" w:after="283"/>
              <w:rPr/>
            </w:pPr>
            <w:r>
              <w:rPr/>
              <w:t> </w:t>
            </w:r>
          </w:p>
        </w:tc>
        <w:tc>
          <w:tcPr>
            <w:tcW w:w="2570" w:type="dxa"/>
            <w:gridSpan w:val="4"/>
            <w:tcBorders>
              <w:top w:val="single" w:sz="6" w:space="0" w:color="000000"/>
              <w:left w:val="single" w:sz="6" w:space="0" w:color="000000"/>
              <w:right w:val="single" w:sz="6" w:space="0" w:color="000000"/>
            </w:tcBorders>
            <w:shd w:fill="auto" w:val="clear"/>
            <w:tcMar>
              <w:top w:w="28" w:type="dxa"/>
              <w:left w:w="28" w:type="dxa"/>
              <w:right w:w="28" w:type="dxa"/>
            </w:tcMar>
            <w:vAlign w:val="center"/>
          </w:tcPr>
          <w:p>
            <w:pPr>
              <w:pStyle w:val="TableContents"/>
              <w:spacing w:before="0" w:after="283"/>
              <w:rPr/>
            </w:pPr>
            <w:r>
              <w:rPr/>
              <w:t> </w:t>
            </w:r>
          </w:p>
        </w:tc>
      </w:tr>
      <w:tr>
        <w:trPr/>
        <w:tc>
          <w:tcPr>
            <w:tcW w:w="5750" w:type="dxa"/>
            <w:tcBorders>
              <w:left w:val="single" w:sz="6" w:space="0" w:color="000000"/>
              <w:bottom w:val="single" w:sz="6" w:space="0" w:color="000000"/>
              <w:right w:val="single" w:sz="6" w:space="0" w:color="000000"/>
            </w:tcBorders>
            <w:shd w:fill="auto" w:val="clear"/>
            <w:tcMar>
              <w:left w:w="160" w:type="dxa"/>
              <w:bottom w:w="28" w:type="dxa"/>
              <w:right w:w="28" w:type="dxa"/>
            </w:tcMar>
            <w:vAlign w:val="center"/>
          </w:tcPr>
          <w:p>
            <w:pPr>
              <w:pStyle w:val="TableContents"/>
              <w:spacing w:before="0" w:after="0"/>
              <w:rPr>
                <w:rFonts w:ascii="ARIAL" w:hAnsi="ARIAL"/>
                <w:sz w:val="20"/>
              </w:rPr>
            </w:pPr>
            <w:r>
              <w:rPr>
                <w:rFonts w:ascii="ARIAL" w:hAnsi="ARIAL"/>
                <w:sz w:val="20"/>
              </w:rPr>
              <w:t>Closing Price per Shares of Common Stock (NYSE)</w:t>
            </w:r>
          </w:p>
        </w:tc>
        <w:tc>
          <w:tcPr>
            <w:tcW w:w="120" w:type="dxa"/>
            <w:tcBorders>
              <w:left w:val="single" w:sz="6" w:space="0" w:color="000000"/>
              <w:bottom w:val="single" w:sz="6" w:space="0" w:color="000000"/>
            </w:tcBorders>
            <w:shd w:fill="auto" w:val="clear"/>
            <w:tcMar>
              <w:left w:w="28" w:type="dxa"/>
              <w:bottom w:w="28" w:type="dxa"/>
            </w:tcMar>
            <w:vAlign w:val="center"/>
          </w:tcPr>
          <w:p>
            <w:pPr>
              <w:pStyle w:val="TableContents"/>
              <w:spacing w:before="0" w:after="283"/>
              <w:rPr/>
            </w:pPr>
            <w:r>
              <w:rPr/>
              <w:t>  </w:t>
            </w:r>
          </w:p>
        </w:tc>
        <w:tc>
          <w:tcPr>
            <w:tcW w:w="93" w:type="dxa"/>
            <w:tcBorders>
              <w:bottom w:val="single" w:sz="6" w:space="0" w:color="000000"/>
            </w:tcBorders>
            <w:shd w:fill="auto" w:val="clear"/>
            <w:tcMar>
              <w:bottom w:w="28" w:type="dxa"/>
            </w:tcMar>
            <w:vAlign w:val="center"/>
          </w:tcPr>
          <w:p>
            <w:pPr>
              <w:pStyle w:val="TableContents"/>
              <w:spacing w:before="0" w:after="283"/>
              <w:rPr/>
            </w:pPr>
            <w:r>
              <w:rPr/>
              <w:t> </w:t>
            </w:r>
          </w:p>
        </w:tc>
        <w:tc>
          <w:tcPr>
            <w:tcW w:w="2282" w:type="dxa"/>
            <w:tcBorders>
              <w:bottom w:val="single" w:sz="6" w:space="0" w:color="000000"/>
            </w:tcBorders>
            <w:shd w:fill="auto" w:val="clear"/>
            <w:tcMar>
              <w:bottom w:w="28" w:type="dxa"/>
            </w:tcMar>
            <w:vAlign w:val="center"/>
          </w:tcPr>
          <w:p>
            <w:pPr>
              <w:pStyle w:val="TableContents"/>
              <w:spacing w:before="0" w:after="283"/>
              <w:jc w:val="right"/>
              <w:rPr/>
            </w:pPr>
            <w:r>
              <w:rPr/>
              <w:t>$6.15    </w:t>
            </w:r>
          </w:p>
        </w:tc>
        <w:tc>
          <w:tcPr>
            <w:tcW w:w="75" w:type="dxa"/>
            <w:tcBorders>
              <w:bottom w:val="single" w:sz="6" w:space="0" w:color="000000"/>
              <w:right w:val="single" w:sz="6" w:space="0" w:color="000000"/>
            </w:tcBorders>
            <w:shd w:fill="auto" w:val="clear"/>
            <w:tcMar>
              <w:bottom w:w="28" w:type="dxa"/>
              <w:right w:w="40" w:type="dxa"/>
            </w:tcMar>
            <w:vAlign w:val="center"/>
          </w:tcPr>
          <w:p>
            <w:pPr>
              <w:pStyle w:val="TableContents"/>
              <w:spacing w:before="0" w:after="283"/>
              <w:rPr/>
            </w:pPr>
            <w:r>
              <w:rPr/>
              <w:t> </w:t>
            </w:r>
          </w:p>
        </w:tc>
      </w:tr>
      <w:tr>
        <w:trPr/>
        <w:tc>
          <w:tcPr>
            <w:tcW w:w="5750" w:type="dxa"/>
            <w:tcBorders>
              <w:top w:val="single" w:sz="6" w:space="0" w:color="000000"/>
              <w:left w:val="single" w:sz="6" w:space="0" w:color="000000"/>
              <w:right w:val="single" w:sz="6" w:space="0" w:color="000000"/>
            </w:tcBorders>
            <w:shd w:fill="auto" w:val="clear"/>
            <w:tcMar>
              <w:top w:w="28" w:type="dxa"/>
              <w:left w:w="160" w:type="dxa"/>
              <w:right w:w="28" w:type="dxa"/>
            </w:tcMar>
            <w:vAlign w:val="center"/>
          </w:tcPr>
          <w:p>
            <w:pPr>
              <w:pStyle w:val="TableContents"/>
              <w:spacing w:before="0" w:after="283"/>
              <w:rPr/>
            </w:pPr>
            <w:r>
              <w:rPr/>
              <w:t> </w:t>
            </w:r>
          </w:p>
        </w:tc>
        <w:tc>
          <w:tcPr>
            <w:tcW w:w="2570" w:type="dxa"/>
            <w:gridSpan w:val="4"/>
            <w:tcBorders>
              <w:top w:val="single" w:sz="6" w:space="0" w:color="000000"/>
              <w:left w:val="single" w:sz="6" w:space="0" w:color="000000"/>
              <w:right w:val="single" w:sz="6" w:space="0" w:color="000000"/>
            </w:tcBorders>
            <w:shd w:fill="auto" w:val="clear"/>
            <w:tcMar>
              <w:top w:w="28" w:type="dxa"/>
              <w:left w:w="28" w:type="dxa"/>
              <w:right w:w="28" w:type="dxa"/>
            </w:tcMar>
            <w:vAlign w:val="center"/>
          </w:tcPr>
          <w:p>
            <w:pPr>
              <w:pStyle w:val="TableContents"/>
              <w:spacing w:before="0" w:after="283"/>
              <w:rPr/>
            </w:pPr>
            <w:r>
              <w:rPr/>
              <w:t> </w:t>
            </w:r>
          </w:p>
        </w:tc>
      </w:tr>
      <w:tr>
        <w:trPr/>
        <w:tc>
          <w:tcPr>
            <w:tcW w:w="5750" w:type="dxa"/>
            <w:tcBorders>
              <w:left w:val="single" w:sz="6" w:space="0" w:color="000000"/>
              <w:bottom w:val="single" w:sz="6" w:space="0" w:color="000000"/>
              <w:right w:val="single" w:sz="6" w:space="0" w:color="000000"/>
            </w:tcBorders>
            <w:shd w:fill="auto" w:val="clear"/>
            <w:tcMar>
              <w:left w:w="160" w:type="dxa"/>
              <w:bottom w:w="28" w:type="dxa"/>
              <w:right w:w="28" w:type="dxa"/>
            </w:tcMar>
            <w:vAlign w:val="center"/>
          </w:tcPr>
          <w:p>
            <w:pPr>
              <w:pStyle w:val="TableContents"/>
              <w:spacing w:before="0" w:after="0"/>
              <w:rPr>
                <w:rFonts w:ascii="ARIAL" w:hAnsi="ARIAL"/>
                <w:sz w:val="20"/>
              </w:rPr>
            </w:pPr>
            <w:r>
              <w:rPr>
                <w:rFonts w:ascii="ARIAL" w:hAnsi="ARIAL"/>
                <w:sz w:val="20"/>
              </w:rPr>
              <w:t>Number of Shares of Common Stock Outstanding</w:t>
            </w:r>
          </w:p>
        </w:tc>
        <w:tc>
          <w:tcPr>
            <w:tcW w:w="120" w:type="dxa"/>
            <w:tcBorders>
              <w:left w:val="single" w:sz="6" w:space="0" w:color="000000"/>
              <w:bottom w:val="single" w:sz="6" w:space="0" w:color="000000"/>
            </w:tcBorders>
            <w:shd w:fill="auto" w:val="clear"/>
            <w:tcMar>
              <w:left w:w="28" w:type="dxa"/>
              <w:bottom w:w="28" w:type="dxa"/>
            </w:tcMar>
            <w:vAlign w:val="center"/>
          </w:tcPr>
          <w:p>
            <w:pPr>
              <w:pStyle w:val="TableContents"/>
              <w:spacing w:before="0" w:after="283"/>
              <w:rPr/>
            </w:pPr>
            <w:r>
              <w:rPr/>
              <w:t>  </w:t>
            </w:r>
          </w:p>
        </w:tc>
        <w:tc>
          <w:tcPr>
            <w:tcW w:w="93" w:type="dxa"/>
            <w:tcBorders>
              <w:bottom w:val="single" w:sz="6" w:space="0" w:color="000000"/>
            </w:tcBorders>
            <w:shd w:fill="auto" w:val="clear"/>
            <w:tcMar>
              <w:bottom w:w="28" w:type="dxa"/>
            </w:tcMar>
            <w:vAlign w:val="center"/>
          </w:tcPr>
          <w:p>
            <w:pPr>
              <w:pStyle w:val="TableContents"/>
              <w:spacing w:before="0" w:after="283"/>
              <w:rPr/>
            </w:pPr>
            <w:r>
              <w:rPr/>
              <w:t> </w:t>
            </w:r>
          </w:p>
        </w:tc>
        <w:tc>
          <w:tcPr>
            <w:tcW w:w="2282" w:type="dxa"/>
            <w:tcBorders>
              <w:bottom w:val="single" w:sz="6" w:space="0" w:color="000000"/>
            </w:tcBorders>
            <w:shd w:fill="auto" w:val="clear"/>
            <w:tcMar>
              <w:bottom w:w="28" w:type="dxa"/>
            </w:tcMar>
            <w:vAlign w:val="center"/>
          </w:tcPr>
          <w:p>
            <w:pPr>
              <w:pStyle w:val="TableContents"/>
              <w:spacing w:before="0" w:after="283"/>
              <w:jc w:val="right"/>
              <w:rPr/>
            </w:pPr>
            <w:r>
              <w:rPr/>
              <w:t>136,753,427    </w:t>
            </w:r>
          </w:p>
        </w:tc>
        <w:tc>
          <w:tcPr>
            <w:tcW w:w="75" w:type="dxa"/>
            <w:tcBorders>
              <w:bottom w:val="single" w:sz="6" w:space="0" w:color="000000"/>
              <w:right w:val="single" w:sz="6" w:space="0" w:color="000000"/>
            </w:tcBorders>
            <w:shd w:fill="auto" w:val="clear"/>
            <w:tcMar>
              <w:bottom w:w="28" w:type="dxa"/>
              <w:right w:w="40" w:type="dxa"/>
            </w:tcMar>
            <w:vAlign w:val="center"/>
          </w:tcPr>
          <w:p>
            <w:pPr>
              <w:pStyle w:val="TableContents"/>
              <w:spacing w:before="0" w:after="283"/>
              <w:rPr/>
            </w:pPr>
            <w:r>
              <w:rPr/>
              <w:t> </w:t>
            </w:r>
          </w:p>
        </w:tc>
      </w:tr>
      <w:tr>
        <w:trPr/>
        <w:tc>
          <w:tcPr>
            <w:tcW w:w="5750" w:type="dxa"/>
            <w:tcBorders>
              <w:top w:val="single" w:sz="6" w:space="0" w:color="000000"/>
              <w:left w:val="single" w:sz="6" w:space="0" w:color="000000"/>
              <w:right w:val="single" w:sz="6" w:space="0" w:color="000000"/>
            </w:tcBorders>
            <w:shd w:fill="auto" w:val="clear"/>
            <w:tcMar>
              <w:top w:w="28" w:type="dxa"/>
              <w:left w:w="160" w:type="dxa"/>
              <w:right w:w="28" w:type="dxa"/>
            </w:tcMar>
            <w:vAlign w:val="center"/>
          </w:tcPr>
          <w:p>
            <w:pPr>
              <w:pStyle w:val="TableContents"/>
              <w:spacing w:before="0" w:after="283"/>
              <w:rPr/>
            </w:pPr>
            <w:r>
              <w:rPr/>
              <w:t> </w:t>
            </w:r>
          </w:p>
        </w:tc>
        <w:tc>
          <w:tcPr>
            <w:tcW w:w="2570" w:type="dxa"/>
            <w:gridSpan w:val="4"/>
            <w:tcBorders>
              <w:top w:val="single" w:sz="6" w:space="0" w:color="000000"/>
              <w:left w:val="single" w:sz="6" w:space="0" w:color="000000"/>
              <w:right w:val="single" w:sz="6" w:space="0" w:color="000000"/>
            </w:tcBorders>
            <w:shd w:fill="auto" w:val="clear"/>
            <w:tcMar>
              <w:top w:w="28" w:type="dxa"/>
              <w:left w:w="28" w:type="dxa"/>
              <w:right w:w="28" w:type="dxa"/>
            </w:tcMar>
            <w:vAlign w:val="center"/>
          </w:tcPr>
          <w:p>
            <w:pPr>
              <w:pStyle w:val="TableContents"/>
              <w:spacing w:before="0" w:after="283"/>
              <w:rPr/>
            </w:pPr>
            <w:r>
              <w:rPr/>
              <w:t> </w:t>
            </w:r>
          </w:p>
        </w:tc>
      </w:tr>
      <w:tr>
        <w:trPr/>
        <w:tc>
          <w:tcPr>
            <w:tcW w:w="5750" w:type="dxa"/>
            <w:tcBorders>
              <w:left w:val="single" w:sz="6" w:space="0" w:color="000000"/>
              <w:bottom w:val="single" w:sz="6" w:space="0" w:color="000000"/>
              <w:right w:val="single" w:sz="6" w:space="0" w:color="000000"/>
            </w:tcBorders>
            <w:shd w:fill="auto" w:val="clear"/>
            <w:tcMar>
              <w:left w:w="160" w:type="dxa"/>
              <w:bottom w:w="28" w:type="dxa"/>
              <w:right w:w="28" w:type="dxa"/>
            </w:tcMar>
            <w:vAlign w:val="center"/>
          </w:tcPr>
          <w:p>
            <w:pPr>
              <w:pStyle w:val="TableContents"/>
              <w:spacing w:before="0" w:after="0"/>
              <w:rPr>
                <w:rFonts w:ascii="ARIAL" w:hAnsi="ARIAL"/>
                <w:sz w:val="20"/>
              </w:rPr>
            </w:pPr>
            <w:r>
              <w:rPr>
                <w:rFonts w:ascii="ARIAL" w:hAnsi="ARIAL"/>
                <w:sz w:val="20"/>
              </w:rPr>
              <w:t>Overhang (</w:t>
            </w:r>
            <w:r>
              <w:rPr>
                <w:rFonts w:ascii="ARIAL" w:hAnsi="ARIAL"/>
                <w:i/>
                <w:sz w:val="20"/>
              </w:rPr>
              <w:t>Without</w:t>
            </w:r>
            <w:r>
              <w:rPr>
                <w:rFonts w:ascii="ARIAL" w:hAnsi="ARIAL"/>
                <w:sz w:val="20"/>
              </w:rPr>
              <w:t xml:space="preserve"> Giving Effect to Additional 7,500,000 Shares)</w:t>
            </w:r>
          </w:p>
        </w:tc>
        <w:tc>
          <w:tcPr>
            <w:tcW w:w="120" w:type="dxa"/>
            <w:tcBorders>
              <w:left w:val="single" w:sz="6" w:space="0" w:color="000000"/>
              <w:bottom w:val="single" w:sz="6" w:space="0" w:color="000000"/>
            </w:tcBorders>
            <w:shd w:fill="auto" w:val="clear"/>
            <w:tcMar>
              <w:left w:w="28" w:type="dxa"/>
              <w:bottom w:w="28" w:type="dxa"/>
            </w:tcMar>
            <w:vAlign w:val="center"/>
          </w:tcPr>
          <w:p>
            <w:pPr>
              <w:pStyle w:val="TableContents"/>
              <w:spacing w:before="0" w:after="283"/>
              <w:rPr/>
            </w:pPr>
            <w:r>
              <w:rPr/>
              <w:t>  </w:t>
            </w:r>
          </w:p>
        </w:tc>
        <w:tc>
          <w:tcPr>
            <w:tcW w:w="93" w:type="dxa"/>
            <w:tcBorders>
              <w:bottom w:val="single" w:sz="6" w:space="0" w:color="000000"/>
            </w:tcBorders>
            <w:shd w:fill="auto" w:val="clear"/>
            <w:tcMar>
              <w:bottom w:w="28" w:type="dxa"/>
            </w:tcMar>
            <w:vAlign w:val="center"/>
          </w:tcPr>
          <w:p>
            <w:pPr>
              <w:pStyle w:val="TableContents"/>
              <w:spacing w:before="0" w:after="283"/>
              <w:rPr/>
            </w:pPr>
            <w:r>
              <w:rPr/>
              <w:t> </w:t>
            </w:r>
          </w:p>
        </w:tc>
        <w:tc>
          <w:tcPr>
            <w:tcW w:w="2282" w:type="dxa"/>
            <w:tcBorders>
              <w:bottom w:val="single" w:sz="6" w:space="0" w:color="000000"/>
            </w:tcBorders>
            <w:shd w:fill="auto" w:val="clear"/>
            <w:tcMar>
              <w:bottom w:w="28" w:type="dxa"/>
            </w:tcMar>
            <w:vAlign w:val="center"/>
          </w:tcPr>
          <w:p>
            <w:pPr>
              <w:pStyle w:val="TableContents"/>
              <w:spacing w:before="0" w:after="283"/>
              <w:jc w:val="right"/>
              <w:rPr/>
            </w:pPr>
            <w:r>
              <w:rPr/>
              <w:t>8.1%</w:t>
            </w:r>
          </w:p>
        </w:tc>
        <w:tc>
          <w:tcPr>
            <w:tcW w:w="75" w:type="dxa"/>
            <w:tcBorders>
              <w:bottom w:val="single" w:sz="6" w:space="0" w:color="000000"/>
              <w:right w:val="single" w:sz="6" w:space="0" w:color="000000"/>
            </w:tcBorders>
            <w:shd w:fill="auto" w:val="clear"/>
            <w:tcMar>
              <w:bottom w:w="28" w:type="dxa"/>
              <w:right w:w="40" w:type="dxa"/>
            </w:tcMar>
            <w:vAlign w:val="center"/>
          </w:tcPr>
          <w:p>
            <w:pPr>
              <w:pStyle w:val="TableContents"/>
              <w:spacing w:before="0" w:after="283"/>
              <w:rPr/>
            </w:pPr>
            <w:r>
              <w:rPr/>
              <w:t> </w:t>
            </w:r>
          </w:p>
        </w:tc>
      </w:tr>
      <w:tr>
        <w:trPr/>
        <w:tc>
          <w:tcPr>
            <w:tcW w:w="5750" w:type="dxa"/>
            <w:tcBorders>
              <w:top w:val="single" w:sz="6" w:space="0" w:color="000000"/>
              <w:left w:val="single" w:sz="6" w:space="0" w:color="000000"/>
              <w:right w:val="single" w:sz="6" w:space="0" w:color="000000"/>
            </w:tcBorders>
            <w:shd w:fill="auto" w:val="clear"/>
            <w:tcMar>
              <w:top w:w="28" w:type="dxa"/>
              <w:left w:w="160" w:type="dxa"/>
              <w:right w:w="28" w:type="dxa"/>
            </w:tcMar>
            <w:vAlign w:val="center"/>
          </w:tcPr>
          <w:p>
            <w:pPr>
              <w:pStyle w:val="TableContents"/>
              <w:spacing w:before="0" w:after="283"/>
              <w:rPr/>
            </w:pPr>
            <w:r>
              <w:rPr/>
              <w:t> </w:t>
            </w:r>
          </w:p>
        </w:tc>
        <w:tc>
          <w:tcPr>
            <w:tcW w:w="2570" w:type="dxa"/>
            <w:gridSpan w:val="4"/>
            <w:tcBorders>
              <w:top w:val="single" w:sz="6" w:space="0" w:color="000000"/>
              <w:left w:val="single" w:sz="6" w:space="0" w:color="000000"/>
              <w:right w:val="single" w:sz="6" w:space="0" w:color="000000"/>
            </w:tcBorders>
            <w:shd w:fill="auto" w:val="clear"/>
            <w:tcMar>
              <w:top w:w="28" w:type="dxa"/>
              <w:left w:w="28" w:type="dxa"/>
              <w:right w:w="28" w:type="dxa"/>
            </w:tcMar>
            <w:vAlign w:val="center"/>
          </w:tcPr>
          <w:p>
            <w:pPr>
              <w:pStyle w:val="TableContents"/>
              <w:spacing w:before="0" w:after="283"/>
              <w:rPr/>
            </w:pPr>
            <w:r>
              <w:rPr/>
              <w:t> </w:t>
            </w:r>
          </w:p>
        </w:tc>
      </w:tr>
      <w:tr>
        <w:trPr/>
        <w:tc>
          <w:tcPr>
            <w:tcW w:w="5750" w:type="dxa"/>
            <w:tcBorders>
              <w:left w:val="single" w:sz="6" w:space="0" w:color="000000"/>
              <w:bottom w:val="single" w:sz="6" w:space="0" w:color="000000"/>
              <w:right w:val="single" w:sz="6" w:space="0" w:color="000000"/>
            </w:tcBorders>
            <w:shd w:fill="auto" w:val="clear"/>
            <w:tcMar>
              <w:left w:w="160" w:type="dxa"/>
              <w:bottom w:w="28" w:type="dxa"/>
              <w:right w:w="28" w:type="dxa"/>
            </w:tcMar>
            <w:vAlign w:val="center"/>
          </w:tcPr>
          <w:p>
            <w:pPr>
              <w:pStyle w:val="TableContents"/>
              <w:spacing w:before="0" w:after="0"/>
              <w:rPr>
                <w:rFonts w:ascii="ARIAL" w:hAnsi="ARIAL"/>
                <w:sz w:val="20"/>
              </w:rPr>
            </w:pPr>
            <w:r>
              <w:rPr>
                <w:rFonts w:ascii="ARIAL" w:hAnsi="ARIAL"/>
                <w:sz w:val="20"/>
              </w:rPr>
              <w:t>Overhang (</w:t>
            </w:r>
            <w:r>
              <w:rPr>
                <w:rFonts w:ascii="ARIAL" w:hAnsi="ARIAL"/>
                <w:i/>
                <w:sz w:val="20"/>
              </w:rPr>
              <w:t>After</w:t>
            </w:r>
            <w:r>
              <w:rPr>
                <w:rFonts w:ascii="ARIAL" w:hAnsi="ARIAL"/>
                <w:sz w:val="20"/>
              </w:rPr>
              <w:t xml:space="preserve"> Giving Effect to Additional 7,500,000 Shares)</w:t>
            </w:r>
          </w:p>
        </w:tc>
        <w:tc>
          <w:tcPr>
            <w:tcW w:w="120" w:type="dxa"/>
            <w:tcBorders>
              <w:left w:val="single" w:sz="6" w:space="0" w:color="000000"/>
              <w:bottom w:val="single" w:sz="6" w:space="0" w:color="000000"/>
            </w:tcBorders>
            <w:shd w:fill="auto" w:val="clear"/>
            <w:tcMar>
              <w:left w:w="28" w:type="dxa"/>
              <w:bottom w:w="28" w:type="dxa"/>
            </w:tcMar>
            <w:vAlign w:val="center"/>
          </w:tcPr>
          <w:p>
            <w:pPr>
              <w:pStyle w:val="TableContents"/>
              <w:spacing w:before="0" w:after="283"/>
              <w:rPr/>
            </w:pPr>
            <w:r>
              <w:rPr/>
              <w:t>  </w:t>
            </w:r>
          </w:p>
        </w:tc>
        <w:tc>
          <w:tcPr>
            <w:tcW w:w="93" w:type="dxa"/>
            <w:tcBorders>
              <w:bottom w:val="single" w:sz="6" w:space="0" w:color="000000"/>
            </w:tcBorders>
            <w:shd w:fill="auto" w:val="clear"/>
            <w:tcMar>
              <w:bottom w:w="28" w:type="dxa"/>
            </w:tcMar>
            <w:vAlign w:val="center"/>
          </w:tcPr>
          <w:p>
            <w:pPr>
              <w:pStyle w:val="TableContents"/>
              <w:spacing w:before="0" w:after="283"/>
              <w:rPr/>
            </w:pPr>
            <w:r>
              <w:rPr/>
              <w:t> </w:t>
            </w:r>
          </w:p>
        </w:tc>
        <w:tc>
          <w:tcPr>
            <w:tcW w:w="2282" w:type="dxa"/>
            <w:tcBorders>
              <w:bottom w:val="single" w:sz="6" w:space="0" w:color="000000"/>
            </w:tcBorders>
            <w:shd w:fill="auto" w:val="clear"/>
            <w:tcMar>
              <w:bottom w:w="28" w:type="dxa"/>
            </w:tcMar>
            <w:vAlign w:val="center"/>
          </w:tcPr>
          <w:p>
            <w:pPr>
              <w:pStyle w:val="TableContents"/>
              <w:spacing w:before="0" w:after="283"/>
              <w:jc w:val="right"/>
              <w:rPr/>
            </w:pPr>
            <w:r>
              <w:rPr/>
              <w:t>12.5%</w:t>
            </w:r>
          </w:p>
        </w:tc>
        <w:tc>
          <w:tcPr>
            <w:tcW w:w="75" w:type="dxa"/>
            <w:tcBorders>
              <w:bottom w:val="single" w:sz="6" w:space="0" w:color="000000"/>
              <w:right w:val="single" w:sz="6" w:space="0" w:color="000000"/>
            </w:tcBorders>
            <w:shd w:fill="auto" w:val="clear"/>
            <w:tcMar>
              <w:bottom w:w="28" w:type="dxa"/>
              <w:right w:w="40" w:type="dxa"/>
            </w:tcMar>
            <w:vAlign w:val="center"/>
          </w:tcPr>
          <w:p>
            <w:pPr>
              <w:pStyle w:val="TableContents"/>
              <w:spacing w:before="0" w:after="283"/>
              <w:rPr/>
            </w:pPr>
            <w:r>
              <w:rPr/>
              <w: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69"/>
        <w:gridCol w:w="9936"/>
      </w:tblGrid>
      <w:tr>
        <w:trPr/>
        <w:tc>
          <w:tcPr>
            <w:tcW w:w="269" w:type="dxa"/>
            <w:tcBorders/>
            <w:shd w:fill="auto" w:val="clear"/>
            <w:vAlign w:val="center"/>
          </w:tcPr>
          <w:p>
            <w:pPr>
              <w:pStyle w:val="TableContents"/>
              <w:spacing w:before="0" w:after="283"/>
              <w:jc w:val="left"/>
              <w:rPr/>
            </w:pPr>
            <w:r>
              <w:rPr/>
              <w:t>(1)</w:t>
            </w:r>
          </w:p>
        </w:tc>
        <w:tc>
          <w:tcPr>
            <w:tcW w:w="9936" w:type="dxa"/>
            <w:tcBorders/>
            <w:shd w:fill="auto" w:val="clear"/>
            <w:vAlign w:val="center"/>
          </w:tcPr>
          <w:p>
            <w:pPr>
              <w:pStyle w:val="TableContents"/>
              <w:spacing w:before="0" w:after="0"/>
              <w:jc w:val="left"/>
              <w:rPr>
                <w:rFonts w:ascii="ARIAL" w:hAnsi="ARIAL"/>
                <w:sz w:val="20"/>
              </w:rPr>
            </w:pPr>
            <w:r>
              <w:rPr>
                <w:rFonts w:ascii="ARIAL" w:hAnsi="ARIAL"/>
                <w:sz w:val="20"/>
              </w:rPr>
              <w:t xml:space="preserve">Such performance-based restricted stock is reflected in the chart above at the target (100%) performance level. The performance-based restricted stock vests at a maximum 200% performance level.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54"/>
        <w:gridCol w:w="9951"/>
      </w:tblGrid>
      <w:tr>
        <w:trPr/>
        <w:tc>
          <w:tcPr>
            <w:tcW w:w="254" w:type="dxa"/>
            <w:tcBorders/>
            <w:shd w:fill="auto" w:val="clear"/>
            <w:vAlign w:val="center"/>
          </w:tcPr>
          <w:p>
            <w:pPr>
              <w:pStyle w:val="TableContents"/>
              <w:spacing w:before="0" w:after="283"/>
              <w:jc w:val="left"/>
              <w:rPr/>
            </w:pPr>
            <w:r>
              <w:rPr/>
              <w:t>(2)</w:t>
            </w:r>
          </w:p>
        </w:tc>
        <w:tc>
          <w:tcPr>
            <w:tcW w:w="9951" w:type="dxa"/>
            <w:tcBorders/>
            <w:shd w:fill="auto" w:val="clear"/>
            <w:vAlign w:val="center"/>
          </w:tcPr>
          <w:p>
            <w:pPr>
              <w:pStyle w:val="TableContents"/>
              <w:spacing w:before="0" w:after="0"/>
              <w:jc w:val="left"/>
              <w:rPr>
                <w:rFonts w:ascii="ARIAL" w:hAnsi="ARIAL"/>
                <w:sz w:val="20"/>
              </w:rPr>
            </w:pPr>
            <w:r>
              <w:rPr>
                <w:rFonts w:ascii="ARIAL" w:hAnsi="ARIAL"/>
                <w:sz w:val="20"/>
              </w:rPr>
              <w:t xml:space="preserve">As noted above, (i) a fungible share ratio of 1.20 would apply to full-value awards made under the Amended and Restated 2009 Plan (if approved by our stockholders), and (ii) prior to giving effect to this amendment and restatement, a fungible share ratio of 1.52 applies to full-value awards made under the 2009 Plan). </w:t>
            </w:r>
          </w:p>
        </w:tc>
      </w:tr>
    </w:tbl>
    <w:p>
      <w:pPr>
        <w:pStyle w:val="TextBody"/>
        <w:spacing w:before="240" w:after="0"/>
        <w:jc w:val="left"/>
        <w:rPr>
          <w:rFonts w:ascii="ARIAL" w:hAnsi="ARIAL"/>
          <w:sz w:val="20"/>
        </w:rPr>
      </w:pPr>
      <w:r>
        <w:rPr>
          <w:rFonts w:ascii="ARIAL" w:hAnsi="ARIAL"/>
          <w:sz w:val="20"/>
        </w:rPr>
        <w:t xml:space="preserve">In determining to adopt the Amended and Restated 2009 Plan and to recommend the Amended and Restated 2009 Plan to our stockholders, the Board considered various factors, including the importance of being able to offer an appropriate level of equity-based compensation in order to attract, retain, and reward employees, executive officers, and non-employee directors, the provisions included in the Amended and Restated 2009 Plan, our historic grant practices (including our historic burn rate), our anticipated grant practices (including our anticipated burn rate), our current overhang and potential overhang if the Amended and Restated 2009 Plan is approved by our stockholders, the current and future accounting expense associated with our equity award practices, and the influence and guidelines of certain proxy advisory firms.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83 </w:t>
      </w:r>
      <w:r>
        <w:br w:type="page"/>
      </w:r>
    </w:p>
    <w:p>
      <w:pPr>
        <w:pStyle w:val="HorizontalLine"/>
        <w:rPr/>
      </w:pPr>
      <w:r>
        <w:rPr/>
      </w:r>
    </w:p>
    <w:p>
      <w:pPr>
        <w:pStyle w:val="TextBody"/>
        <w:spacing w:before="0" w:after="0"/>
        <w:jc w:val="left"/>
        <w:rPr>
          <w:rFonts w:ascii="ARIAL" w:hAnsi="ARIAL"/>
          <w:b/>
          <w:sz w:val="20"/>
        </w:rPr>
      </w:pPr>
      <w:r>
        <w:rPr>
          <w:rFonts w:ascii="ARIAL" w:hAnsi="ARIAL"/>
          <w:b/>
          <w:sz w:val="20"/>
        </w:rPr>
        <w:t xml:space="preserve">Summary of Amended and Restated 2009 Plan </w:t>
      </w:r>
    </w:p>
    <w:p>
      <w:pPr>
        <w:pStyle w:val="TextBody"/>
        <w:spacing w:before="240" w:after="0"/>
        <w:jc w:val="left"/>
        <w:rPr>
          <w:rFonts w:ascii="ARIAL" w:hAnsi="ARIAL"/>
          <w:sz w:val="20"/>
        </w:rPr>
      </w:pPr>
      <w:r>
        <w:rPr>
          <w:rFonts w:ascii="ARIAL" w:hAnsi="ARIAL"/>
          <w:sz w:val="20"/>
        </w:rPr>
        <w:t xml:space="preserve">The following is a summary of the significant terms of the Amended and Restated 2009 Plan. The summary is qualified in its entirety by reference to the full text of the Amended and Restated 2009 Plan, a copy of which is attached to this Proxy Statement as Annex B. </w:t>
      </w:r>
    </w:p>
    <w:p>
      <w:pPr>
        <w:pStyle w:val="TextBody"/>
        <w:spacing w:before="240" w:after="0"/>
        <w:jc w:val="left"/>
        <w:rPr>
          <w:rFonts w:ascii="ARIAL" w:hAnsi="ARIAL"/>
          <w:b/>
          <w:sz w:val="20"/>
        </w:rPr>
      </w:pPr>
      <w:r>
        <w:rPr>
          <w:rFonts w:ascii="ARIAL" w:hAnsi="ARIAL"/>
          <w:b/>
          <w:sz w:val="20"/>
        </w:rPr>
        <w:t xml:space="preserve">Plan Highlights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ARIAL" w:hAnsi="ARIAL"/>
                <w:sz w:val="20"/>
              </w:rPr>
            </w:pPr>
            <w:r>
              <w:rPr>
                <w:rFonts w:ascii="ARIAL" w:hAnsi="ARIAL"/>
                <w:sz w:val="20"/>
              </w:rPr>
              <w:t xml:space="preserve">9,039,421 shares of our Common Stock would be available for issuance under the Amended and Restated 2009 Plan (after giving effect to the 2023 Annual Equity Grant, but less any shares subject to awards granted after March 1, 2023), which reflects an increase of 7,500,000 shares in comparison to the 2009 Plan;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ARIAL" w:hAnsi="ARIAL"/>
                <w:sz w:val="20"/>
              </w:rPr>
            </w:pPr>
            <w:r>
              <w:rPr>
                <w:rFonts w:ascii="ARIAL" w:hAnsi="ARIAL"/>
                <w:sz w:val="20"/>
              </w:rPr>
              <w:t xml:space="preserve">The Amended and Restated 2009 Plan does not contain any “evergreen” provision, such that stockholder approval would be required for future increases in the available number of shares under the Amended and Restated 2009 Plan;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ARIAL" w:hAnsi="ARIAL"/>
                <w:sz w:val="20"/>
              </w:rPr>
            </w:pPr>
            <w:r>
              <w:rPr>
                <w:rFonts w:ascii="ARIAL" w:hAnsi="ARIAL"/>
                <w:sz w:val="20"/>
              </w:rPr>
              <w:t xml:space="preserve">Administered by the Compensation Committee, which is composed entirely of “independent directors” within the meaning of NYSE independence requirements, and “non-employee directors” as defined in Rule 16b-3 under the Exchange Act;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ARIAL" w:hAnsi="ARIAL"/>
                <w:sz w:val="20"/>
              </w:rPr>
            </w:pPr>
            <w:r>
              <w:rPr>
                <w:rFonts w:ascii="ARIAL" w:hAnsi="ARIAL"/>
                <w:sz w:val="20"/>
              </w:rPr>
              <w:t xml:space="preserve">Full-value awards (including restricted stock, restricted stock units, share-settled performance awards, and other share awards) count against the maximum share limit as 1.20 shares for every one share subject to an award;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ARIAL" w:hAnsi="ARIAL"/>
                <w:sz w:val="20"/>
              </w:rPr>
            </w:pPr>
            <w:r>
              <w:rPr>
                <w:rFonts w:ascii="ARIAL" w:hAnsi="ARIAL"/>
                <w:sz w:val="20"/>
              </w:rPr>
              <w:t xml:space="preserve">Awards may not be made after March 21, 2033, and the exercise term of stock options and stock appreciation rights may be no more than 10 years from the grant date;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ARIAL" w:hAnsi="ARIAL"/>
                <w:sz w:val="20"/>
              </w:rPr>
            </w:pPr>
            <w:r>
              <w:rPr>
                <w:rFonts w:ascii="ARIAL" w:hAnsi="ARIAL"/>
                <w:sz w:val="20"/>
              </w:rPr>
              <w:t xml:space="preserve">No re-pricing of “underwater” stock options and stock appreciation rights (including any such action that would be treated as a repricing under NYSE rules) without stockholder approval;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ARIAL" w:hAnsi="ARIAL"/>
                <w:sz w:val="20"/>
              </w:rPr>
            </w:pPr>
            <w:r>
              <w:rPr>
                <w:rFonts w:ascii="ARIAL" w:hAnsi="ARIAL"/>
                <w:sz w:val="20"/>
              </w:rPr>
              <w:t xml:space="preserve">Other than in connection with any change in the Company’s capitalization, neither the exercise price of an option nor the grant price of a stock appreciation right may be less than the fair market value of our stock on the grant date;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ARIAL" w:hAnsi="ARIAL"/>
                <w:sz w:val="20"/>
              </w:rPr>
            </w:pPr>
            <w:r>
              <w:rPr>
                <w:rFonts w:ascii="ARIAL" w:hAnsi="ARIAL"/>
                <w:sz w:val="20"/>
              </w:rPr>
              <w:t xml:space="preserve">No dividends will be paid with respect to restricted stock awards or other equity awards that do not vest, and no dividend equivalents rights will be granted or paid on unexercised stock options, unexercised stock appreciation rights, or with respect to restricted stock unit (or similar) awards that do not vest or settle;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ARIAL" w:hAnsi="ARIAL"/>
                <w:sz w:val="20"/>
              </w:rPr>
            </w:pPr>
            <w:r>
              <w:rPr>
                <w:rFonts w:ascii="ARIAL" w:hAnsi="ARIAL"/>
                <w:sz w:val="20"/>
              </w:rPr>
              <w:t xml:space="preserve">No portion of any award granted will vest prior to one year from the grant date (subject to limited exceptions, including an exception for grants of awards constituting up to 5% of the awards authorized under the Amended and Restated 2009 Plan);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ARIAL" w:hAnsi="ARIAL"/>
                <w:sz w:val="20"/>
              </w:rPr>
            </w:pPr>
            <w:r>
              <w:rPr>
                <w:rFonts w:ascii="ARIAL" w:hAnsi="ARIAL"/>
                <w:sz w:val="20"/>
              </w:rPr>
              <w:t xml:space="preserve">No “liberal share recycling” methods (i.e., the following shares will not again become available for awards under the Amended and Restated 2009 Plan): (1) shares withheld to pay taxes on any award, (2) the excess of the number of shares subject to any stock-settled stock appreciation rights over the number of shares actually issued in settlement thereof, (3) shares tendered to pay for option exercise prices or withholding taxes, and (4) shares purchased on the open market using option exercise proceeds;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ARIAL" w:hAnsi="ARIAL"/>
                <w:sz w:val="20"/>
              </w:rPr>
            </w:pPr>
            <w:r>
              <w:rPr>
                <w:rFonts w:ascii="ARIAL" w:hAnsi="ARIAL"/>
                <w:sz w:val="20"/>
              </w:rPr>
              <w:t xml:space="preserve">No “liberal change of control” definitions, such as permitting acceleration of equity awards prior to consummation of a change of control transaction (e.g., mere announcement or commencement of a tender or exchange offer);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ARIAL" w:hAnsi="ARIAL"/>
                <w:sz w:val="20"/>
              </w:rPr>
            </w:pPr>
            <w:r>
              <w:rPr>
                <w:rFonts w:ascii="ARIAL" w:hAnsi="ARIAL"/>
                <w:sz w:val="20"/>
              </w:rPr>
              <w:t xml:space="preserve">All awards under the Amended and Restated 2009 Plan will be subject to forfeiture or other clawback to the extent provided in our clawback policy (as noted above, we intend to amend our </w:t>
            </w:r>
          </w:p>
        </w:tc>
      </w:tr>
    </w:tbl>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84 </w:t>
      </w:r>
      <w:r>
        <w:br w:type="page"/>
      </w:r>
    </w:p>
    <w:p>
      <w:pPr>
        <w:pStyle w:val="HorizontalLine"/>
        <w:rPr/>
      </w:pPr>
      <w:r>
        <w:rPr/>
      </w:r>
    </w:p>
    <w:tbl>
      <w:tblPr>
        <w:tblW w:w="10205" w:type="dxa"/>
        <w:jc w:val="left"/>
        <w:tblInd w:w="0" w:type="dxa"/>
        <w:tblCellMar>
          <w:top w:w="0" w:type="dxa"/>
          <w:left w:w="0" w:type="dxa"/>
          <w:bottom w:w="0" w:type="dxa"/>
          <w:right w:w="0" w:type="dxa"/>
        </w:tblCellMar>
      </w:tblPr>
      <w:tblGrid>
        <w:gridCol w:w="75"/>
        <w:gridCol w:w="10130"/>
      </w:tblGrid>
      <w:tr>
        <w:trPr/>
        <w:tc>
          <w:tcPr>
            <w:tcW w:w="75" w:type="dxa"/>
            <w:tcBorders/>
            <w:shd w:fill="auto" w:val="clear"/>
            <w:vAlign w:val="center"/>
          </w:tcPr>
          <w:p>
            <w:pPr>
              <w:pStyle w:val="TableContents"/>
              <w:spacing w:before="0" w:after="283"/>
              <w:rPr/>
            </w:pPr>
            <w:r>
              <w:rPr/>
              <w:t> </w:t>
            </w:r>
          </w:p>
        </w:tc>
        <w:tc>
          <w:tcPr>
            <w:tcW w:w="10130" w:type="dxa"/>
            <w:tcBorders/>
            <w:shd w:fill="auto" w:val="clear"/>
            <w:vAlign w:val="center"/>
          </w:tcPr>
          <w:p>
            <w:pPr>
              <w:pStyle w:val="TableContents"/>
              <w:spacing w:before="0" w:after="0"/>
              <w:rPr>
                <w:rFonts w:ascii="ARIAL" w:hAnsi="ARIAL"/>
                <w:sz w:val="20"/>
              </w:rPr>
            </w:pPr>
            <w:r>
              <w:rPr>
                <w:rFonts w:ascii="ARIAL" w:hAnsi="ARIAL"/>
                <w:sz w:val="20"/>
              </w:rPr>
              <w:t xml:space="preserve">clawback policy, and/or adopt a new clawback policy, to satisfy all applicable requirements under the final SEC clawback rules and final NYSE listing standards to be adopted in connection therewith); and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ARIAL" w:hAnsi="ARIAL"/>
                <w:sz w:val="20"/>
              </w:rPr>
            </w:pPr>
            <w:r>
              <w:rPr>
                <w:rFonts w:ascii="ARIAL" w:hAnsi="ARIAL"/>
                <w:sz w:val="20"/>
              </w:rPr>
              <w:t xml:space="preserve">Annual grant date fair value limit on equity awards which may be granted to any non-management directors in any calendar year. </w:t>
            </w:r>
          </w:p>
        </w:tc>
      </w:tr>
    </w:tbl>
    <w:p>
      <w:pPr>
        <w:pStyle w:val="TextBody"/>
        <w:spacing w:before="240" w:after="0"/>
        <w:jc w:val="left"/>
        <w:rPr>
          <w:rFonts w:ascii="ARIAL" w:hAnsi="ARIAL"/>
          <w:sz w:val="20"/>
        </w:rPr>
      </w:pPr>
      <w:r>
        <w:rPr>
          <w:rFonts w:ascii="ARIAL" w:hAnsi="ARIAL"/>
          <w:sz w:val="20"/>
        </w:rPr>
        <w:t xml:space="preserve">The amendments to the 2009 Plan to be made in the Amended and Restated 2009 Plan include the following: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ARIAL" w:hAnsi="ARIAL"/>
                <w:sz w:val="20"/>
              </w:rPr>
            </w:pPr>
            <w:r>
              <w:rPr>
                <w:rFonts w:ascii="ARIAL" w:hAnsi="ARIAL"/>
                <w:sz w:val="20"/>
              </w:rPr>
              <w:t xml:space="preserve">As discussed above, the number of shares currently available for grant under the 2009 Plan would be increased by 7,500,000 shares if the Amended and Restated 2009 Plan is approved by our stockholders;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ARIAL" w:hAnsi="ARIAL"/>
                <w:sz w:val="20"/>
              </w:rPr>
            </w:pPr>
            <w:r>
              <w:rPr>
                <w:rFonts w:ascii="ARIAL" w:hAnsi="ARIAL"/>
                <w:sz w:val="20"/>
              </w:rPr>
              <w:t xml:space="preserve">The fungible share ratio in the Amended and Restated 2009 Plan would be 1.20, whereas (prior to giving effect to this amendment and restatement) the fungible share ratio in the 2009 Plan is 1.52; and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ARIAL" w:hAnsi="ARIAL"/>
                <w:sz w:val="20"/>
              </w:rPr>
            </w:pPr>
            <w:r>
              <w:rPr>
                <w:rFonts w:ascii="ARIAL" w:hAnsi="ARIAL"/>
                <w:sz w:val="20"/>
              </w:rPr>
              <w:t xml:space="preserve">The term of the Amended and Restated 2009 Plan would end on March 21, 2033, whereas (prior to giving effect to this amendment and restatement) the term of the 2009 Plan ends on March 16, 2031. </w:t>
            </w:r>
          </w:p>
        </w:tc>
      </w:tr>
    </w:tbl>
    <w:p>
      <w:pPr>
        <w:pStyle w:val="TextBody"/>
        <w:spacing w:before="240" w:after="0"/>
        <w:jc w:val="left"/>
        <w:rPr>
          <w:rFonts w:ascii="ARIAL" w:hAnsi="ARIAL"/>
          <w:sz w:val="20"/>
        </w:rPr>
      </w:pPr>
      <w:r>
        <w:rPr>
          <w:rFonts w:ascii="ARIAL" w:hAnsi="ARIAL"/>
          <w:sz w:val="20"/>
        </w:rPr>
        <w:t xml:space="preserve">In addition, while, except as noted above, the terms of the Amended and Restated 2009 Plan are substantially similar to the 2009 Plan, certain other differences between the 2009 Plan and the Amended and the Restated 2009 Plan are noted in this discussion below where applicable under “Summary of Amended and Restated 2009 Plan.” </w:t>
      </w:r>
    </w:p>
    <w:p>
      <w:pPr>
        <w:pStyle w:val="TextBody"/>
        <w:spacing w:before="240" w:after="0"/>
        <w:jc w:val="left"/>
        <w:rPr>
          <w:rFonts w:ascii="ARIAL" w:hAnsi="ARIAL"/>
          <w:b/>
          <w:sz w:val="20"/>
        </w:rPr>
      </w:pPr>
      <w:r>
        <w:rPr>
          <w:rFonts w:ascii="ARIAL" w:hAnsi="ARIAL"/>
          <w:b/>
          <w:sz w:val="20"/>
        </w:rPr>
        <w:t xml:space="preserve">Purpose </w:t>
      </w:r>
    </w:p>
    <w:p>
      <w:pPr>
        <w:pStyle w:val="TextBody"/>
        <w:spacing w:before="240" w:after="0"/>
        <w:jc w:val="left"/>
        <w:rPr>
          <w:rFonts w:ascii="ARIAL" w:hAnsi="ARIAL"/>
          <w:sz w:val="20"/>
        </w:rPr>
      </w:pPr>
      <w:r>
        <w:rPr>
          <w:rFonts w:ascii="ARIAL" w:hAnsi="ARIAL"/>
          <w:sz w:val="20"/>
        </w:rPr>
        <w:t xml:space="preserve">The purpose of the Amended and Restated 2009 Plan (like the 2009 Plan) would be to provide the Company with a market competitive tool to attract, motivate, and retain employees, officers, consultants and directors to successfully execute our business strategy. </w:t>
      </w:r>
    </w:p>
    <w:p>
      <w:pPr>
        <w:pStyle w:val="TextBody"/>
        <w:spacing w:before="240" w:after="0"/>
        <w:jc w:val="left"/>
        <w:rPr>
          <w:rFonts w:ascii="ARIAL" w:hAnsi="ARIAL"/>
          <w:b/>
          <w:sz w:val="20"/>
        </w:rPr>
      </w:pPr>
      <w:r>
        <w:rPr>
          <w:rFonts w:ascii="ARIAL" w:hAnsi="ARIAL"/>
          <w:b/>
          <w:sz w:val="20"/>
        </w:rPr>
        <w:t xml:space="preserve">Administration </w:t>
      </w:r>
    </w:p>
    <w:p>
      <w:pPr>
        <w:pStyle w:val="TextBody"/>
        <w:spacing w:before="240" w:after="0"/>
        <w:jc w:val="left"/>
        <w:rPr>
          <w:rFonts w:ascii="ARIAL" w:hAnsi="ARIAL"/>
          <w:sz w:val="20"/>
        </w:rPr>
      </w:pPr>
      <w:r>
        <w:rPr>
          <w:rFonts w:ascii="ARIAL" w:hAnsi="ARIAL"/>
          <w:sz w:val="20"/>
        </w:rPr>
        <w:t xml:space="preserve">The Amended and Restated 2009 Plan (like the 2009 Plan) would be administered by the Compensation Committee. The Compensation Committee would have the authority under the Amended and Restated 2009 Plan, among other things, to select the individuals to whom awards will be granted, to determine the type, size, purchase price and other terms and conditions of awards, and to construe and interpret the plan and any awards granted under the plan. Furthermore, except with respect to grantees who are subject to Section 16 of the Exchange Act, the Compensation Committee would be entitled to generally delegate to one or more officers of the Company the authority to grant awards and/or to determine the number of shares subject to each such award, provided such delegation is made in accordance with the Delaware General Corporation Law. All decisions and determinations by the Compensation Committee in the exercise of its power are final, binding and conclusive. </w:t>
      </w:r>
    </w:p>
    <w:p>
      <w:pPr>
        <w:pStyle w:val="TextBody"/>
        <w:spacing w:before="240" w:after="0"/>
        <w:jc w:val="left"/>
        <w:rPr>
          <w:rFonts w:ascii="ARIAL" w:hAnsi="ARIAL"/>
          <w:b/>
          <w:sz w:val="20"/>
        </w:rPr>
      </w:pPr>
      <w:r>
        <w:rPr>
          <w:rFonts w:ascii="ARIAL" w:hAnsi="ARIAL"/>
          <w:b/>
          <w:sz w:val="20"/>
        </w:rPr>
        <w:t xml:space="preserve">Eligible Individuals </w:t>
      </w:r>
    </w:p>
    <w:p>
      <w:pPr>
        <w:pStyle w:val="TextBody"/>
        <w:spacing w:before="240" w:after="0"/>
        <w:jc w:val="left"/>
        <w:rPr>
          <w:rFonts w:ascii="ARIAL" w:hAnsi="ARIAL"/>
          <w:sz w:val="20"/>
        </w:rPr>
      </w:pPr>
      <w:r>
        <w:rPr>
          <w:rFonts w:ascii="ARIAL" w:hAnsi="ARIAL"/>
          <w:sz w:val="20"/>
        </w:rPr>
        <w:t xml:space="preserve">Generally, officers, employees, directors and consultants of the Company or any of our subsidiaries would be eligible to participate in the Amended and Restated 2009 Plan, subject to the discretion of the Compensation Committee. As of March 22, 2023, approximately 65,000 employees (including the Company’s executive officers as disclosed herein) and directors (on a collective basis) were eligible to participate in the 2009 Plan. In addition, while the Company utilizes the services of consultants, the Company has not historically made grants to its consultants under its equity incentive plans, and at this time does not foresee changing this practice in connection with the Amended and Restated 2009 Plan (if approved by the shareholders of the Company).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85 </w:t>
      </w:r>
      <w:r>
        <w:br w:type="page"/>
      </w:r>
    </w:p>
    <w:p>
      <w:pPr>
        <w:pStyle w:val="HorizontalLine"/>
        <w:rPr/>
      </w:pPr>
      <w:r>
        <w:rPr/>
      </w:r>
    </w:p>
    <w:p>
      <w:pPr>
        <w:pStyle w:val="TextBody"/>
        <w:spacing w:before="0" w:after="0"/>
        <w:jc w:val="left"/>
        <w:rPr>
          <w:rFonts w:ascii="ARIAL" w:hAnsi="ARIAL"/>
          <w:b/>
          <w:sz w:val="20"/>
        </w:rPr>
      </w:pPr>
      <w:r>
        <w:rPr>
          <w:rFonts w:ascii="ARIAL" w:hAnsi="ARIAL"/>
          <w:b/>
          <w:sz w:val="20"/>
        </w:rPr>
        <w:t xml:space="preserve">Shares Subject to Plan </w:t>
      </w:r>
    </w:p>
    <w:p>
      <w:pPr>
        <w:pStyle w:val="TextBody"/>
        <w:spacing w:before="240" w:after="0"/>
        <w:jc w:val="left"/>
        <w:rPr>
          <w:rFonts w:ascii="ARIAL" w:hAnsi="ARIAL"/>
          <w:sz w:val="20"/>
        </w:rPr>
      </w:pPr>
      <w:r>
        <w:rPr>
          <w:rFonts w:ascii="ARIAL" w:hAnsi="ARIAL"/>
          <w:sz w:val="20"/>
        </w:rPr>
        <w:t>Prior to the amendment and restatement of the 2009 Plan in March 2023, approximately 1,539,421 shares of our Common Stock remained available for grants under the 2009 Plan as of March 1, 2023 (which gives effect to the 2023 Annual Equity Grants). The Board of Directors amended and restated the plan as reflected in the Amended and Restated 2009 Plan effective March 22, 2023 (the “Restatement Effective Date”), subject to the approval of the Amended and Restated 2009 Plan by our stockholders. The Amended and Restated 2009 Plan would, among other things, increase the number of shares available for such grants by an additional 7,500,000 shares. Thus, subject to the approval of our stockholders, the Amended and Restated 2009 Plan would have available a total of approximately 9,039,421 shares for future grants (after giving effect to the 2023 Annual Equity Grants), less any shares subject to awards granted after March 1</w:t>
      </w:r>
      <w:r>
        <w:rPr>
          <w:rFonts w:ascii="ARIAL" w:hAnsi="ARIAL"/>
          <w:b/>
          <w:sz w:val="20"/>
        </w:rPr>
        <w:t>,</w:t>
      </w:r>
      <w:r>
        <w:rPr>
          <w:rFonts w:ascii="ARIAL" w:hAnsi="ARIAL"/>
          <w:sz w:val="20"/>
        </w:rPr>
        <w:t xml:space="preserve"> 2023. In addition, the Amended and Restated 2009 Plan includes a clarifying provision (which was not included in the 2009 Plan) stating that the share reserve set forth above is a limit on the number of shares that may be issued pursuant to awards under the Amended and Restated 2009 Plan, and does not limit the granting of awards, except that the Company will keep available at all times the number of shares reasonably required to satisfy the Company’s obligation to issue shares pursuant to awards under the Amended and Restated 2009 Plan. In addition, provisions in the 2009 Plan making reference to the “2000 Stock Option and Award Plan” (the “2000 Plan”) of the Company are no longer included in the Amended and Restated 2009 Plan as the result of the fact that awards are not outstanding under the 2000 Plan. </w:t>
      </w:r>
    </w:p>
    <w:p>
      <w:pPr>
        <w:pStyle w:val="TextBody"/>
        <w:spacing w:before="240" w:after="0"/>
        <w:jc w:val="left"/>
        <w:rPr>
          <w:rFonts w:ascii="ARIAL" w:hAnsi="ARIAL"/>
          <w:sz w:val="20"/>
        </w:rPr>
      </w:pPr>
      <w:r>
        <w:rPr>
          <w:rFonts w:ascii="ARIAL" w:hAnsi="ARIAL"/>
          <w:sz w:val="20"/>
        </w:rPr>
        <w:t xml:space="preserve">The Amended and Restated 2009 Plan provides that, in the event any awards are made in the form of “full-value awards” (including restricted stock, restricted stock units, share-settled performance awards, and other share awards) on and after the Restatement Effective Date, such awards will reduce the number of shares available under the Amended and Restated 2009 Plan by 1.20 shares for every share subject to an award (under the 2009 Plan, prior to giving effect to this amendment and restatement, full-value awards reduce the number of shares available under the 2009 Plan by 1.52 shares for every one share subject to an award)). The Amended and Restated 2009 Plan also provides that, in no event will any member of our Board of Directors who is not also an employee of the Company or a subsidiary of the Company, receive a grant of awards with an aggregate grant date fair value in excess of $800,000 in any calendar year for service as a non-employee director. In addition, no more than 2,000,000 shares may be issued upon the exercise of incentive stock options under the plan. </w:t>
      </w:r>
    </w:p>
    <w:p>
      <w:pPr>
        <w:pStyle w:val="TextBody"/>
        <w:spacing w:before="240" w:after="0"/>
        <w:jc w:val="left"/>
        <w:rPr>
          <w:rFonts w:ascii="ARIAL" w:hAnsi="ARIAL"/>
          <w:sz w:val="20"/>
        </w:rPr>
      </w:pPr>
      <w:r>
        <w:rPr>
          <w:rFonts w:ascii="ARIAL" w:hAnsi="ARIAL"/>
          <w:sz w:val="20"/>
        </w:rPr>
        <w:t xml:space="preserve">Generally, the Amended and Restated 2009 Plan provides that shares subject to awards that expire, are canceled, are settled for cash, are forfeited, or otherwise terminate for any reason without having been exercised or without payment having been made in respect of the award (or any portion thereof) will again be available for issuance under the Amended and Restated 2009 Plan; however, the Amended and Restated 2009 Plan provides that, with regard to shares that are subject to awards made in the form of “full-value awards” (including restricted stock, restricted stock units, share-settled performance awards, and other share awards) for each share that is cancelled, forfeited, settled in cash or otherwise terminated on and after the Restatement Effective Date, 1.20 shares may again be the subject of awards under the plan (irrespective of whether any such awards were granted on or after, or prior to, the Restatement Effective Date (prior to giving effect to this amendment and restatement, the 2009 Plan has a 1.52 fungible share ratio in relation to applicable forfeitures with regard to shares that were subject to full-value awards under the 2009 Plan)). In the event of any increase or reduction in the number of shares, or any change (including a change in value) in the shares or an exchange of shares for a different number or kind of shares of the Company or another corporation by reason of, among other things, a recapitalization, merger, reorganization, spin-off, split-up, stock dividend, stock split, extraordinary cash dividend (but excluding normal cash dividends), equity restructuring (as defined under FASB ASC Topic 718) or similar transaction or event, the Compensation Committee will appropriately adjust the maximum number and class of Common Stock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86 </w:t>
      </w:r>
      <w:r>
        <w:br w:type="page"/>
      </w:r>
    </w:p>
    <w:p>
      <w:pPr>
        <w:pStyle w:val="HorizontalLine"/>
        <w:rPr/>
      </w:pPr>
      <w:r>
        <w:rPr/>
      </w:r>
    </w:p>
    <w:p>
      <w:pPr>
        <w:pStyle w:val="TextBody"/>
        <w:spacing w:before="0" w:after="0"/>
        <w:jc w:val="left"/>
        <w:rPr>
          <w:rFonts w:ascii="ARIAL" w:hAnsi="ARIAL"/>
          <w:sz w:val="20"/>
        </w:rPr>
      </w:pPr>
      <w:r>
        <w:rPr>
          <w:rFonts w:ascii="ARIAL" w:hAnsi="ARIAL"/>
          <w:sz w:val="20"/>
        </w:rPr>
        <w:t xml:space="preserve">issuable under the plan, the number of shares of Common Stock or other securities which are subject to outstanding awards, and/or the exercise price applicable to any of such outstanding awards. Notwithstanding the foregoing, the following shares will not again became available for awards under the plan: (1) shares withheld to pay taxes on any award, (2) the excess of the number of shares subject to any stock-settled stock appreciation rights over the number of shares actually issued in settlement thereof, (3) shares tendered to pay for option exercise prices or withholding taxes, and (4) shares purchased by the Company on the open market using option exercise proceeds. Further, a provision is included in the Amended and Restated 2009 Plan (which was not included in the 2009 Plan) providing that awards may be assumed or granted in connection with or following a merger or acquisition involving the Company or its subsidiaries to the extent permitted by Section 303A.08 of the NYSE Listed Company Manual (“Substitute Awards”), and that any such Substitute Awards would not reduce the number of shares available under the Amended and Restated 2009 Plan, </w:t>
      </w:r>
    </w:p>
    <w:p>
      <w:pPr>
        <w:pStyle w:val="TextBody"/>
        <w:spacing w:before="240" w:after="0"/>
        <w:jc w:val="left"/>
        <w:rPr>
          <w:rFonts w:ascii="ARIAL" w:hAnsi="ARIAL"/>
          <w:sz w:val="20"/>
        </w:rPr>
      </w:pPr>
      <w:r>
        <w:rPr>
          <w:rFonts w:ascii="ARIAL" w:hAnsi="ARIAL"/>
          <w:sz w:val="20"/>
        </w:rPr>
        <w:t xml:space="preserve">No portion of any award under the Amended and Restated 2009 Plan will vest prior to one year from the date of grant; provided, however, that this minimum vesting requirement will not apply to (i) any vesting in connection with any death, disability, termination of employment or service without cause or for good reason, or a change in control, or (ii) any awards granted up to a maximum of five percent of the shares authorized for issuance under the plan. For purposes of this limitation, any award made to a non-management director with a vesting period at least equal to the period from the annual stockholders’ meeting at which the award is granted to the next annual stockholders’ meeting (provided that such annual meetings are at least fifty weeks apart) shall be considered to have a vesting period of at least one year. </w:t>
      </w:r>
    </w:p>
    <w:p>
      <w:pPr>
        <w:pStyle w:val="TextBody"/>
        <w:spacing w:before="240" w:after="0"/>
        <w:jc w:val="left"/>
        <w:rPr>
          <w:rFonts w:ascii="ARIAL" w:hAnsi="ARIAL"/>
          <w:b/>
          <w:sz w:val="20"/>
        </w:rPr>
      </w:pPr>
      <w:r>
        <w:rPr>
          <w:rFonts w:ascii="ARIAL" w:hAnsi="ARIAL"/>
          <w:b/>
          <w:sz w:val="20"/>
        </w:rPr>
        <w:t xml:space="preserve">Types of Awards Available </w:t>
      </w:r>
    </w:p>
    <w:p>
      <w:pPr>
        <w:pStyle w:val="TextBody"/>
        <w:spacing w:before="240" w:after="0"/>
        <w:jc w:val="left"/>
        <w:rPr>
          <w:rFonts w:ascii="ARIAL" w:hAnsi="ARIAL"/>
          <w:b/>
          <w:i/>
          <w:sz w:val="20"/>
        </w:rPr>
      </w:pPr>
      <w:r>
        <w:rPr>
          <w:rFonts w:ascii="ARIAL" w:hAnsi="ARIAL"/>
          <w:b/>
          <w:i/>
          <w:sz w:val="20"/>
        </w:rPr>
        <w:t xml:space="preserve">Stock Options </w:t>
      </w:r>
    </w:p>
    <w:p>
      <w:pPr>
        <w:pStyle w:val="TextBody"/>
        <w:spacing w:before="240" w:after="0"/>
        <w:jc w:val="left"/>
        <w:rPr>
          <w:rFonts w:ascii="ARIAL" w:hAnsi="ARIAL"/>
          <w:sz w:val="20"/>
        </w:rPr>
      </w:pPr>
      <w:r>
        <w:rPr>
          <w:rFonts w:ascii="ARIAL" w:hAnsi="ARIAL"/>
          <w:sz w:val="20"/>
        </w:rPr>
        <w:t xml:space="preserve">The Compensation Committee may grant both non-qualified stock options and incentive stock options within the meaning of Section 422 of the IRC, the terms and conditions of which will be set forth in an option agreement; provided, however, that incentive stock options may only be granted to eligible individuals who are employees of the Company or its subsidiaries. Subject to the limitations set forth in the first paragraph above under “Shares Subject to Plan,” the Compensation Committee has discretion in determining the number of shares that are to be subject to options granted under the Amended and Restated 2009 Plan and whether any such options are to be incentive stock options or non-qualified stock options. </w:t>
      </w:r>
    </w:p>
    <w:p>
      <w:pPr>
        <w:pStyle w:val="TextBody"/>
        <w:spacing w:before="240" w:after="0"/>
        <w:jc w:val="left"/>
        <w:rPr>
          <w:rFonts w:ascii="ARIAL" w:hAnsi="ARIAL"/>
          <w:sz w:val="20"/>
        </w:rPr>
      </w:pPr>
      <w:r>
        <w:rPr>
          <w:rFonts w:ascii="ARIAL" w:hAnsi="ARIAL"/>
          <w:sz w:val="20"/>
        </w:rPr>
        <w:t xml:space="preserve">The exercise price of any option granted under the Amended and Restated 2009 Plan will be determined by the Compensation Committee. However, the exercise price of any option granted under the Amended and Restated 2009 Plan may not be less than the fair market value of a share of our Common Stock on the date of grant (or in the case of an incentive stock option granted to a 10% stockholder, 100% of the fair market value of a share of our Common Stock). The Amended and Restated 2009 Plan provides that the fair market value of a share of our Common Stock on any date generally will be the closing sales price of a share of such Common Stock as reported by the New York Stock Exchange on that date. The Amended and Restated 2009 Plan includes clarifying language (not included in the 2009 Plan) stating that the determination of “Fair Market Value” for purposes of income tax withholding may be made in the Compensation Committee’s discretion subject to applicable legal requirements and is not required to be consistent with the determination of Fair Market Value for other purposes. </w:t>
      </w:r>
    </w:p>
    <w:p>
      <w:pPr>
        <w:pStyle w:val="TextBody"/>
        <w:spacing w:before="240" w:after="0"/>
        <w:jc w:val="left"/>
        <w:rPr>
          <w:rFonts w:ascii="ARIAL" w:hAnsi="ARIAL"/>
          <w:sz w:val="20"/>
        </w:rPr>
      </w:pPr>
      <w:r>
        <w:rPr>
          <w:rFonts w:ascii="ARIAL" w:hAnsi="ARIAL"/>
          <w:sz w:val="20"/>
        </w:rPr>
        <w:t xml:space="preserve">The duration of any option granted under the Amended and Restated 2009 Plan would be determined by the Compensation Committee. Generally, however, no option would be permitted to be exercised more than ten (10) years from the date of grant (or, in the case of an incentive stock optioned granted to a 10% stockholder, five (5) years).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87 </w:t>
      </w:r>
      <w:r>
        <w:br w:type="page"/>
      </w:r>
    </w:p>
    <w:p>
      <w:pPr>
        <w:pStyle w:val="HorizontalLine"/>
        <w:rPr/>
      </w:pPr>
      <w:r>
        <w:rPr/>
      </w:r>
    </w:p>
    <w:p>
      <w:pPr>
        <w:pStyle w:val="TextBody"/>
        <w:spacing w:before="0" w:after="0"/>
        <w:jc w:val="left"/>
        <w:rPr>
          <w:rFonts w:ascii="ARIAL" w:hAnsi="ARIAL"/>
          <w:sz w:val="20"/>
        </w:rPr>
      </w:pPr>
      <w:r>
        <w:rPr>
          <w:rFonts w:ascii="ARIAL" w:hAnsi="ARIAL"/>
          <w:sz w:val="20"/>
        </w:rPr>
        <w:t xml:space="preserve">The Compensation Committee also would have the discretion to determine the vesting schedule of any options granted under the Amended and Restated 2009 Plan. Under the Amended and Restated 2009 Plan, the Compensation Committee would not be entitled grant dividend equivalent rights with respect to unexercised options. </w:t>
      </w:r>
    </w:p>
    <w:p>
      <w:pPr>
        <w:pStyle w:val="TextBody"/>
        <w:spacing w:before="240" w:after="0"/>
        <w:jc w:val="left"/>
        <w:rPr>
          <w:rFonts w:ascii="ARIAL" w:hAnsi="ARIAL"/>
          <w:b/>
          <w:i/>
          <w:sz w:val="20"/>
        </w:rPr>
      </w:pPr>
      <w:r>
        <w:rPr>
          <w:rFonts w:ascii="ARIAL" w:hAnsi="ARIAL"/>
          <w:b/>
          <w:i/>
          <w:sz w:val="20"/>
        </w:rPr>
        <w:t xml:space="preserve">Stock Appreciation Rights </w:t>
      </w:r>
    </w:p>
    <w:p>
      <w:pPr>
        <w:pStyle w:val="TextBody"/>
        <w:spacing w:before="240" w:after="0"/>
        <w:jc w:val="left"/>
        <w:rPr>
          <w:rFonts w:ascii="ARIAL" w:hAnsi="ARIAL"/>
          <w:sz w:val="20"/>
        </w:rPr>
      </w:pPr>
      <w:r>
        <w:rPr>
          <w:rFonts w:ascii="ARIAL" w:hAnsi="ARIAL"/>
          <w:sz w:val="20"/>
        </w:rPr>
        <w:t xml:space="preserve">Under the Amended and Restated 2009 Plan, the Compensation Committee would be entitled to grant stock appreciation rights either alone or in conjunction with a grant of an option. In conjunction with an option, a stock appreciation right may be granted either at the time of grant of the option or at any time thereafter during the term of the option, and will generally cover the same shares covered by the option and be subject to the same terms and conditions as the related option. In addition, a stock appreciation right granted in conjunction with an option may be exercised at such time and only to the extent that the related option is exercisable. Any exercise of stock appreciation rights would result in a corresponding reduction in the number of shares available under the related option. In the event that the related option is exercised instead, a corresponding reduction in the number of shares available under the stock appreciation right would occur. </w:t>
      </w:r>
    </w:p>
    <w:p>
      <w:pPr>
        <w:pStyle w:val="TextBody"/>
        <w:spacing w:before="240" w:after="0"/>
        <w:jc w:val="left"/>
        <w:rPr>
          <w:rFonts w:ascii="ARIAL" w:hAnsi="ARIAL"/>
          <w:sz w:val="20"/>
        </w:rPr>
      </w:pPr>
      <w:r>
        <w:rPr>
          <w:rFonts w:ascii="ARIAL" w:hAnsi="ARIAL"/>
          <w:sz w:val="20"/>
        </w:rPr>
        <w:t xml:space="preserve">Under the Amended and Restated 2009 Plan, upon exercise of a stock appreciation right, a grantee would generally receive a payment equal to the excess of the fair market value of a share of our Common Stock on the date of the exercise of the right over the per share grant price with respect to such stock appreciation right, multiplied by the number of shares with respect to which the stock appreciation right is being exercised. </w:t>
      </w:r>
    </w:p>
    <w:p>
      <w:pPr>
        <w:pStyle w:val="TextBody"/>
        <w:spacing w:before="240" w:after="0"/>
        <w:jc w:val="left"/>
        <w:rPr>
          <w:rFonts w:ascii="ARIAL" w:hAnsi="ARIAL"/>
          <w:sz w:val="20"/>
        </w:rPr>
      </w:pPr>
      <w:r>
        <w:rPr>
          <w:rFonts w:ascii="ARIAL" w:hAnsi="ARIAL"/>
          <w:sz w:val="20"/>
        </w:rPr>
        <w:t xml:space="preserve">The Amended and Restated 2009 Plan provides that a stock appreciation right may be granted at any time and may be exercised upon such terms and conditions as the Compensation Committee, in its sole discretion, imposes on the stock appreciation right. However, the stock appreciation right may not have a duration that exceeds ten (10) years from the grant date. The Amended and Restated 2009 Plan provides that the Compensation Committee would set the grant price of a stock appreciation right granted independent of an option on the grant date, and such value may not be lower than the fair market value of a share of our Common Stock on the grant date. The grant price of a stock appreciation right granted in conjunction with an option will equal the option price of the related option. </w:t>
      </w:r>
    </w:p>
    <w:p>
      <w:pPr>
        <w:pStyle w:val="TextBody"/>
        <w:spacing w:before="240" w:after="0"/>
        <w:jc w:val="left"/>
        <w:rPr>
          <w:rFonts w:ascii="ARIAL" w:hAnsi="ARIAL"/>
          <w:sz w:val="20"/>
        </w:rPr>
      </w:pPr>
      <w:r>
        <w:rPr>
          <w:rFonts w:ascii="ARIAL" w:hAnsi="ARIAL"/>
          <w:sz w:val="20"/>
        </w:rPr>
        <w:t xml:space="preserve">Notwithstanding the foregoing, the Amended and Restated 2009 Plan provides that the Compensation Committee may limit the amount payable with respect to a grantee’s stock appreciation right by including such limit in the agreement evidencing the grant of the stock appreciation right at the time of grant. The Compensation Committee has the discretion to dictate the disposition of any stock appreciation right (to be set forth in the agreement). </w:t>
      </w:r>
    </w:p>
    <w:p>
      <w:pPr>
        <w:pStyle w:val="TextBody"/>
        <w:spacing w:before="240" w:after="0"/>
        <w:jc w:val="left"/>
        <w:rPr>
          <w:rFonts w:ascii="ARIAL" w:hAnsi="ARIAL"/>
          <w:b/>
          <w:i/>
          <w:sz w:val="20"/>
        </w:rPr>
      </w:pPr>
      <w:r>
        <w:rPr>
          <w:rFonts w:ascii="ARIAL" w:hAnsi="ARIAL"/>
          <w:b/>
          <w:i/>
          <w:sz w:val="20"/>
        </w:rPr>
        <w:t xml:space="preserve">Restricted Stock and Restricted Stock Units </w:t>
      </w:r>
    </w:p>
    <w:p>
      <w:pPr>
        <w:pStyle w:val="TextBody"/>
        <w:spacing w:before="240" w:after="0"/>
        <w:jc w:val="left"/>
        <w:rPr>
          <w:rFonts w:ascii="ARIAL" w:hAnsi="ARIAL"/>
          <w:sz w:val="20"/>
        </w:rPr>
      </w:pPr>
      <w:r>
        <w:rPr>
          <w:rFonts w:ascii="ARIAL" w:hAnsi="ARIAL"/>
          <w:sz w:val="20"/>
        </w:rPr>
        <w:t xml:space="preserve">Restricted stock and restricted stock units may be awarded under the Amended and Restated 2009 Plan, which will be evidenced by a restricted stock or restricted stock unit agreement, as applicable, containing such restrictions, terms and conditions as the Compensation Committee may, in its discretion, determine. </w:t>
      </w:r>
    </w:p>
    <w:p>
      <w:pPr>
        <w:pStyle w:val="TextBody"/>
        <w:spacing w:before="240" w:after="0"/>
        <w:jc w:val="left"/>
        <w:rPr>
          <w:rFonts w:ascii="ARIAL" w:hAnsi="ARIAL"/>
          <w:sz w:val="20"/>
        </w:rPr>
      </w:pPr>
      <w:r>
        <w:rPr>
          <w:rFonts w:ascii="ARIAL" w:hAnsi="ARIAL"/>
          <w:sz w:val="20"/>
        </w:rPr>
        <w:t xml:space="preserve">Shares of restricted stock will be issued in the grantee’s name (or in book entry form) as soon as reasonably practicable after the award is made, provided that, to the extent required by the award agreement and/or the Compensation Committee, the grantee has executed the restricted stock agreement (including via electronic signature) and followed such other procedures and/or executed such other documentation as may be required by the award agreement and/or the Compensation Committee. Unless otherwise determined by the Compensation Committee and as set forth in the award agreement, the grantee will have all of the rights of a stockholder with respect to such shares,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88 </w:t>
      </w:r>
      <w:r>
        <w:br w:type="page"/>
      </w:r>
    </w:p>
    <w:p>
      <w:pPr>
        <w:pStyle w:val="HorizontalLine"/>
        <w:rPr/>
      </w:pPr>
      <w:r>
        <w:rPr/>
      </w:r>
    </w:p>
    <w:p>
      <w:pPr>
        <w:pStyle w:val="TextBody"/>
        <w:spacing w:before="0" w:after="0"/>
        <w:jc w:val="left"/>
        <w:rPr>
          <w:rFonts w:ascii="ARIAL" w:hAnsi="ARIAL"/>
          <w:sz w:val="20"/>
        </w:rPr>
      </w:pPr>
      <w:r>
        <w:rPr>
          <w:rFonts w:ascii="ARIAL" w:hAnsi="ARIAL"/>
          <w:sz w:val="20"/>
        </w:rPr>
        <w:t xml:space="preserve">including the right to vote the shares and to receive all dividends or other distributions paid or made with respect to the shares, provided that, any such dividends will be paid only upon the vesting of the underlying restricted shares, and to the extent that any shares of restricted stock are forfeited, any dividends payable in respect of such restricted stock shall also be forfeited. The Compensation Committee may also grant restricted stock units, each of which represents a right to one hypothetical share of our Common Stock. At the time of grant, the Compensation Committee may provide for dividend equivalent rights with respect to an award of restricted stock units, provided that no dividend equivalent rights may be paid except to the extent the underlying restricted stock unit is paid or settled. </w:t>
      </w:r>
    </w:p>
    <w:p>
      <w:pPr>
        <w:pStyle w:val="TextBody"/>
        <w:spacing w:before="240" w:after="0"/>
        <w:jc w:val="left"/>
        <w:rPr>
          <w:rFonts w:ascii="ARIAL" w:hAnsi="ARIAL"/>
          <w:sz w:val="20"/>
        </w:rPr>
      </w:pPr>
      <w:r>
        <w:rPr>
          <w:rFonts w:ascii="ARIAL" w:hAnsi="ARIAL"/>
          <w:sz w:val="20"/>
        </w:rPr>
        <w:t xml:space="preserve">Restrictions on shares and units awarded under the Amended and Restated 2009 Plan will lapse at such time and on such terms and conditions as the Compensation Committee may determine (which may include the occurrence of a change in control of the Company), which restrictions will be set forth in the award agreement. The Compensation Committee may impose restrictions on any of the shares of restricted stock that are in addition to the restrictions under applicable federal or state securities laws, and may place a legend on the certificates representing such shares to give appropriate notice of any restrictions. </w:t>
      </w:r>
    </w:p>
    <w:p>
      <w:pPr>
        <w:pStyle w:val="TextBody"/>
        <w:spacing w:before="240" w:after="0"/>
        <w:jc w:val="left"/>
        <w:rPr>
          <w:rFonts w:ascii="ARIAL" w:hAnsi="ARIAL"/>
          <w:sz w:val="20"/>
        </w:rPr>
      </w:pPr>
      <w:r>
        <w:rPr>
          <w:rFonts w:ascii="ARIAL" w:hAnsi="ARIAL"/>
          <w:sz w:val="20"/>
        </w:rPr>
        <w:t xml:space="preserve">Upon the lapse of the restrictions on restricted shares or units, the Amended and Restated 2009 Plan provides that the Compensation Committee will cause a stock certificate to be delivered to the grantee with respect to such shares, free of all restrictions under the Amended and Restated 2009 Plan (or, in the case of book entry shares, any restrictions under the plan shall be removed from applicable confirmation and account statements), and, in the case of restricted stock units, such restricted stock units may also be settled in cash at the discretion of the Compensation Committee. </w:t>
      </w:r>
    </w:p>
    <w:p>
      <w:pPr>
        <w:pStyle w:val="TextBody"/>
        <w:spacing w:before="240" w:after="0"/>
        <w:jc w:val="left"/>
        <w:rPr>
          <w:rFonts w:ascii="ARIAL" w:hAnsi="ARIAL"/>
          <w:b/>
          <w:i/>
          <w:sz w:val="20"/>
        </w:rPr>
      </w:pPr>
      <w:r>
        <w:rPr>
          <w:rFonts w:ascii="ARIAL" w:hAnsi="ARIAL"/>
          <w:b/>
          <w:i/>
          <w:sz w:val="20"/>
        </w:rPr>
        <w:t xml:space="preserve">Performance Units and Performance Shares </w:t>
      </w:r>
    </w:p>
    <w:p>
      <w:pPr>
        <w:pStyle w:val="TextBody"/>
        <w:spacing w:before="240" w:after="0"/>
        <w:jc w:val="left"/>
        <w:rPr>
          <w:rFonts w:ascii="ARIAL" w:hAnsi="ARIAL"/>
          <w:sz w:val="20"/>
        </w:rPr>
      </w:pPr>
      <w:r>
        <w:rPr>
          <w:rFonts w:ascii="ARIAL" w:hAnsi="ARIAL"/>
          <w:sz w:val="20"/>
        </w:rPr>
        <w:t xml:space="preserve">The Amended and Restated 2009 Plan provides that the Compensation Committee may grant performance units and performance shares subject to the terms and conditions determined by the Compensation Committee in its discretion and set forth in the agreement evidencing the grant. </w:t>
      </w:r>
    </w:p>
    <w:p>
      <w:pPr>
        <w:pStyle w:val="TextBody"/>
        <w:spacing w:before="240" w:after="0"/>
        <w:jc w:val="left"/>
        <w:rPr>
          <w:rFonts w:ascii="ARIAL" w:hAnsi="ARIAL"/>
          <w:sz w:val="20"/>
        </w:rPr>
      </w:pPr>
      <w:r>
        <w:rPr>
          <w:rFonts w:ascii="ARIAL" w:hAnsi="ARIAL"/>
          <w:sz w:val="20"/>
        </w:rPr>
        <w:t xml:space="preserve">A performance unit represents, upon attaining certain performance goals, a grantee’s right to receive a payment generally equal to (i) the fair market value of a share of our Common Stock determined on the date the performance unit was granted, the date the performance unit became vested or any other date specified by the Compensation Committee or (ii) a percentage (which may be more than 100%) of the amount described in (i) above depending on the level of the performance goal attained. Each agreement evidencing a grant of a performance unit will specify the number of performance units to which it relates, the performance goals which must be satisfied in order for performance units to vest and the performance cycle within which such performance goals must be satisfied. At the time of grant, the Compensation Committee may provide for dividend equivalent rights with respect to an award of performance units, provided that no dividend equivalent rights may be paid except to the extent the underlying performance unit is paid or settled. </w:t>
      </w:r>
    </w:p>
    <w:p>
      <w:pPr>
        <w:pStyle w:val="TextBody"/>
        <w:spacing w:before="240" w:after="0"/>
        <w:jc w:val="left"/>
        <w:rPr>
          <w:rFonts w:ascii="ARIAL" w:hAnsi="ARIAL"/>
          <w:sz w:val="20"/>
        </w:rPr>
      </w:pPr>
      <w:r>
        <w:rPr>
          <w:rFonts w:ascii="ARIAL" w:hAnsi="ARIAL"/>
          <w:sz w:val="20"/>
        </w:rPr>
        <w:t xml:space="preserve">The Compensation Committee must establish the performance goals to be attained in respect of the performance units, the various percentages of performance unit value to be paid out upon the attainment, in whole or in part, of the performance goals and such other performance unit terms, conditions and restrictions as the Compensation Committee deems appropriate. Payment in respect of vested performance units will generally be made as soon as practicable after the last day of the performance cycle to which the award relates. </w:t>
      </w:r>
    </w:p>
    <w:p>
      <w:pPr>
        <w:pStyle w:val="TextBody"/>
        <w:spacing w:before="240" w:after="0"/>
        <w:jc w:val="left"/>
        <w:rPr>
          <w:rFonts w:ascii="ARIAL" w:hAnsi="ARIAL"/>
          <w:sz w:val="20"/>
        </w:rPr>
      </w:pPr>
      <w:r>
        <w:rPr>
          <w:rFonts w:ascii="ARIAL" w:hAnsi="ARIAL"/>
          <w:sz w:val="20"/>
        </w:rPr>
        <w:t xml:space="preserve">Payments may be made entirely in shares of our Common Stock valued at fair market value, entirely in cash, or in such combination of shares and cash as the Compensation Committee may determine in its discretion. If the Compensation Committee, in its discretion, determines to make the payment entirely or partially in restricted shares, the Compensation Committee must determine the extent to which such payment will be in restricted shares and the terms of such shares at the time the performance unit award is granted.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89 </w:t>
      </w:r>
      <w:r>
        <w:br w:type="page"/>
      </w:r>
    </w:p>
    <w:p>
      <w:pPr>
        <w:pStyle w:val="HorizontalLine"/>
        <w:rPr/>
      </w:pPr>
      <w:r>
        <w:rPr/>
      </w:r>
    </w:p>
    <w:p>
      <w:pPr>
        <w:pStyle w:val="TextBody"/>
        <w:spacing w:before="0" w:after="0"/>
        <w:jc w:val="left"/>
        <w:rPr>
          <w:rFonts w:ascii="ARIAL" w:hAnsi="ARIAL"/>
          <w:sz w:val="20"/>
        </w:rPr>
      </w:pPr>
      <w:r>
        <w:rPr>
          <w:rFonts w:ascii="ARIAL" w:hAnsi="ARIAL"/>
          <w:sz w:val="20"/>
        </w:rPr>
        <w:t xml:space="preserve">Performance shares are subject to the same terms as described with respect to restricted stock (described above), except that the Compensation Committee will establish the performance goals to be attained in respect of the performance shares, the various percentages of performance shares to be paid out upon attainment, in whole or in part, of the performance goals and such other performance share terms, conditions and restrictions as the Compensation Committee deems appropriate. </w:t>
      </w:r>
    </w:p>
    <w:p>
      <w:pPr>
        <w:pStyle w:val="TextBody"/>
        <w:spacing w:before="240" w:after="0"/>
        <w:jc w:val="left"/>
        <w:rPr>
          <w:rFonts w:ascii="ARIAL" w:hAnsi="ARIAL"/>
          <w:sz w:val="20"/>
        </w:rPr>
      </w:pPr>
      <w:r>
        <w:rPr>
          <w:rFonts w:ascii="ARIAL" w:hAnsi="ARIAL"/>
          <w:sz w:val="20"/>
        </w:rPr>
        <w:t>The Amended and Restated 2009 Plan provides that performance objectives established by the Compensation Committee for performance unit or performance share awards may be expressed in terms of (i) earnings per share, (ii) net revenue, (iii) EBITDA or adjusted EBITDA, (iv) share price, (v) pre-tax profits, (vi) net earnings, (vii) return on equity or assets, (viii) operating income, (ix) EBITDA or adjusted EBITDA margin, (x) EBITDA or adjusted EBITDA margin improvement, (xi) bad debt expense, (xii) cash receipts, (xiii) uncompensated care expense, (xiv) days in net revenue in net patient accounts receivable, (xv) gross income, (xvi) net income (before or after taxes), (xvii) cash flow, (xviii) gross profit, (xix) gross profit return on investment, (xx) gross margin return on investment, (xxi) gross margin, (xxii) operating margin, (xxiii) working capital, (xxiv) earnings before interest and taxes, (xxv) return on capital, (xxvi) return on invested capital, (xxvii) revenue growth, (xxviii) annual recurring revenues, (xxix) recurring revenues, (xxx) total shareholder return, (xxxi) economic value added, (xxxii) specified objectives with regard to limiting the level of increase in all or a portion of the Company’s bank debt or other long-term or short-term public or private debt or other similar financial obligations of the Company, which may be calculated net of cash balances and/or other offsets and adjustments as may be established by the Compensation Committee in its sole discretion, (xxxiii) reduction in operating expenses, (xxxiv) same-store financial metrics in relation to any of the foregoing, (xxxv) any combination of the foregoing, (xxxvi) individual performance criteria, or (xxxvii) any other quantitative or qualitative performance measures as may be determined by the Compensation Committee in its discretion. Performance objectives may be in respect of the performance of the Company or any of our subsidiaries or divisions or any combination thereof. Performance objectives may be absolute or relative (to prior performance of the Company or to the performance of one or more other entities or external indices) and may be expressed in terms of a progression within a specified range. The Compensation Committee may provide for the manner in which performance will be measured against the performance objectives (or may adjust the performance objectives) to reflect the impact of specified corporate transactions, accounting or tax law changes, other extraordinary, unusual or nonrecurring events, and such other matters that the Compensation Committee determines is consistent with the intent of the performance award.</w:t>
      </w:r>
    </w:p>
    <w:p>
      <w:pPr>
        <w:pStyle w:val="TextBody"/>
        <w:spacing w:before="240" w:after="0"/>
        <w:jc w:val="left"/>
        <w:rPr>
          <w:rFonts w:ascii="ARIAL" w:hAnsi="ARIAL"/>
          <w:b/>
          <w:i/>
          <w:sz w:val="20"/>
        </w:rPr>
      </w:pPr>
      <w:r>
        <w:rPr>
          <w:rFonts w:ascii="ARIAL" w:hAnsi="ARIAL"/>
          <w:b/>
          <w:i/>
          <w:sz w:val="20"/>
        </w:rPr>
        <w:t xml:space="preserve">Other Share-Based Awards </w:t>
      </w:r>
    </w:p>
    <w:p>
      <w:pPr>
        <w:pStyle w:val="TextBody"/>
        <w:spacing w:before="240" w:after="0"/>
        <w:jc w:val="left"/>
        <w:rPr>
          <w:rFonts w:ascii="ARIAL" w:hAnsi="ARIAL"/>
          <w:sz w:val="20"/>
        </w:rPr>
      </w:pPr>
      <w:r>
        <w:rPr>
          <w:rFonts w:ascii="ARIAL" w:hAnsi="ARIAL"/>
          <w:sz w:val="20"/>
        </w:rPr>
        <w:t xml:space="preserve">The 2009 Amended and Restated Plan provides that the Committee may grant other share awards, which shall consist of any right that is (i) not an award of stock options, stock appreciation rights, restricted stock or restricted stock units, or a performance award, and (ii) an award of shares of common stock or an award denominated or payable in, valued in whole or in part by reference to, or otherwise based on or related to, shares of common stock, as determined by the Compensation Committee to be consistent with the purposes of the Amended and Restated 2009 Plan. The Compensation Committee may approve such awards to grantees as additional compensation for service to the Company or any of its subsidiaries or in lieu of cash or other compensation to which grantees have become entitled. </w:t>
      </w:r>
    </w:p>
    <w:p>
      <w:pPr>
        <w:pStyle w:val="TextBody"/>
        <w:spacing w:before="240" w:after="0"/>
        <w:jc w:val="left"/>
        <w:rPr>
          <w:rFonts w:ascii="ARIAL" w:hAnsi="ARIAL"/>
          <w:b/>
          <w:sz w:val="20"/>
        </w:rPr>
      </w:pPr>
      <w:r>
        <w:rPr>
          <w:rFonts w:ascii="ARIAL" w:hAnsi="ARIAL"/>
          <w:b/>
          <w:sz w:val="20"/>
        </w:rPr>
        <w:t xml:space="preserve">No Repricing of Options or Stock Appreciation Rights </w:t>
      </w:r>
    </w:p>
    <w:p>
      <w:pPr>
        <w:pStyle w:val="TextBody"/>
        <w:spacing w:before="240" w:after="0"/>
        <w:jc w:val="left"/>
        <w:rPr>
          <w:rFonts w:ascii="ARIAL" w:hAnsi="ARIAL"/>
          <w:sz w:val="20"/>
        </w:rPr>
      </w:pPr>
      <w:r>
        <w:rPr>
          <w:rFonts w:ascii="ARIAL" w:hAnsi="ARIAL"/>
          <w:sz w:val="20"/>
        </w:rPr>
        <w:t xml:space="preserve">Except in connection with corporate transactions involving the Company (such as a stock dividend, stock split, extraordinary cash dividend, recapitalization, reorganization, merger, consolidation, split-up, spin-off, combination or exchange of shares), neither the Board nor the Compensation Committee shall have the power to (i) lower the exercise price of an option after it is granted, (ii) lower the grant price of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90 </w:t>
      </w:r>
      <w:r>
        <w:br w:type="page"/>
      </w:r>
    </w:p>
    <w:p>
      <w:pPr>
        <w:pStyle w:val="HorizontalLine"/>
        <w:rPr/>
      </w:pPr>
      <w:r>
        <w:rPr/>
      </w:r>
    </w:p>
    <w:p>
      <w:pPr>
        <w:pStyle w:val="TextBody"/>
        <w:spacing w:before="0" w:after="0"/>
        <w:jc w:val="left"/>
        <w:rPr>
          <w:rFonts w:ascii="ARIAL" w:hAnsi="ARIAL"/>
          <w:sz w:val="20"/>
        </w:rPr>
      </w:pPr>
      <w:r>
        <w:rPr>
          <w:rFonts w:ascii="ARIAL" w:hAnsi="ARIAL"/>
          <w:sz w:val="20"/>
        </w:rPr>
        <w:t xml:space="preserve">a stock appreciation right after it is granted, (iii) cancel an option when the exercise price thereof exceeds the fair market value of the underlying shares in exchange for cash or another award or grant substitute options with a lower exercise price than the cancelled options, (iv) cancel a stock appreciation right when the grant price exceeds the fair market value of the underlying Common Stock in exchange for cash or another award, or grant substitute stock appreciation rights with a lower grant price than the cancelled award, or (v) take any other action with respect to an option or stock appreciation right that would be treated as a repricing under the rules and regulations of the principal securities exchange on which the Company’s Common Stock is traded, in each case without the approval of the Company’s stockholders. </w:t>
      </w:r>
    </w:p>
    <w:p>
      <w:pPr>
        <w:pStyle w:val="TextBody"/>
        <w:spacing w:before="240" w:after="0"/>
        <w:jc w:val="left"/>
        <w:rPr>
          <w:rFonts w:ascii="ARIAL" w:hAnsi="ARIAL"/>
          <w:b/>
          <w:sz w:val="20"/>
        </w:rPr>
      </w:pPr>
      <w:r>
        <w:rPr>
          <w:rFonts w:ascii="ARIAL" w:hAnsi="ARIAL"/>
          <w:b/>
          <w:sz w:val="20"/>
        </w:rPr>
        <w:t xml:space="preserve">Transferability of Awards </w:t>
      </w:r>
    </w:p>
    <w:p>
      <w:pPr>
        <w:pStyle w:val="TextBody"/>
        <w:spacing w:before="240" w:after="0"/>
        <w:jc w:val="left"/>
        <w:rPr>
          <w:rFonts w:ascii="ARIAL" w:hAnsi="ARIAL"/>
          <w:sz w:val="20"/>
        </w:rPr>
      </w:pPr>
      <w:r>
        <w:rPr>
          <w:rFonts w:ascii="ARIAL" w:hAnsi="ARIAL"/>
          <w:sz w:val="20"/>
        </w:rPr>
        <w:t xml:space="preserve">Awards under the Amended and Restated 2009 Plan are generally not transferable (and may not be pledged or otherwise hypothecated) prior to vesting or until all restrictions have lapsed, except by will or under the laws of descent and distribution, and all rights with respect to such awards are generally exercisable only by the grantee during his or her lifetime, except that the Compensation Committee may provide that, in respect of any non-qualified stock option, the option may be transferred to the grantee’s immediate family members. In addition, the Compensation Committee may permit the non-qualified stock option to be transferred to trusts solely for the benefit of the grantee’s immediate family members and to partnerships in which the immediate family members and/or trusts are the only partners. </w:t>
      </w:r>
    </w:p>
    <w:p>
      <w:pPr>
        <w:pStyle w:val="TextBody"/>
        <w:spacing w:before="240" w:after="0"/>
        <w:jc w:val="left"/>
        <w:rPr>
          <w:rFonts w:ascii="ARIAL" w:hAnsi="ARIAL"/>
          <w:b/>
          <w:sz w:val="20"/>
        </w:rPr>
      </w:pPr>
      <w:r>
        <w:rPr>
          <w:rFonts w:ascii="ARIAL" w:hAnsi="ARIAL"/>
          <w:b/>
          <w:sz w:val="20"/>
        </w:rPr>
        <w:t xml:space="preserve">Certain Transactions </w:t>
      </w:r>
    </w:p>
    <w:p>
      <w:pPr>
        <w:pStyle w:val="TextBody"/>
        <w:spacing w:before="240" w:after="0"/>
        <w:jc w:val="left"/>
        <w:rPr>
          <w:rFonts w:ascii="ARIAL" w:hAnsi="ARIAL"/>
          <w:sz w:val="20"/>
        </w:rPr>
      </w:pPr>
      <w:r>
        <w:rPr>
          <w:rFonts w:ascii="ARIAL" w:hAnsi="ARIAL"/>
          <w:sz w:val="20"/>
        </w:rPr>
        <w:t xml:space="preserve">In the event of liquidation, dissolution, merger or consolidation of the Company, the Amended and Restated 2009 Plan and the awards issued under the plan will continue in accordance with the respective terms and any terms set forth in an agreement evidencing the award. Notwithstanding the foregoing, following any such transaction, awards will be treated as provided in the agreement entered into in connection with the transaction. If not so provided in that agreement, following any such transaction, the grantee will be entitled to receive in respect of each share of our Common Stock subject to his or her award, upon the exercise of any option or stock appreciation right or upon the payment or transfer related to any other award, the same number and kind of stock, securities, cash, property, or other consideration that each holder of a share of Common Stock was entitled to receive in the transaction in respect of such share. The stock, securities, cash, property, or other consideration will remain subject to all of the conditions, restrictions and performance criteria which were applicable to the award prior to the transaction. </w:t>
      </w:r>
    </w:p>
    <w:p>
      <w:pPr>
        <w:pStyle w:val="TextBody"/>
        <w:spacing w:before="240" w:after="0"/>
        <w:jc w:val="left"/>
        <w:rPr>
          <w:rFonts w:ascii="ARIAL" w:hAnsi="ARIAL"/>
          <w:b/>
          <w:sz w:val="20"/>
        </w:rPr>
      </w:pPr>
      <w:r>
        <w:rPr>
          <w:rFonts w:ascii="ARIAL" w:hAnsi="ARIAL"/>
          <w:b/>
          <w:sz w:val="20"/>
        </w:rPr>
        <w:t xml:space="preserve">Change in Control </w:t>
      </w:r>
    </w:p>
    <w:p>
      <w:pPr>
        <w:pStyle w:val="TextBody"/>
        <w:spacing w:before="240" w:after="0"/>
        <w:jc w:val="left"/>
        <w:rPr>
          <w:rFonts w:ascii="ARIAL" w:hAnsi="ARIAL"/>
          <w:sz w:val="20"/>
        </w:rPr>
      </w:pPr>
      <w:r>
        <w:rPr>
          <w:rFonts w:ascii="ARIAL" w:hAnsi="ARIAL"/>
          <w:sz w:val="20"/>
        </w:rPr>
        <w:t xml:space="preserve">The Amended and Restated 2009 Plan provides that, notwithstanding any other provision in the plan to the contrary, in the event of a change in control of the Company, awards will be treated as follows (except to the extent an award agreement provides otherwise): (a) if the successor entity assumes, continues, or replaces the awards (upon equivalent or more favorable terms, as described in the plan), then the awards will not accelerate and will continue; and (b) if the awards are not assumed, continued, or replaced, then they will immediately, upon the consummation of the change in control, accelerate and the excess value thereof will be paid in any combination of cash and/or property as determined by the Board of Directors in its sole discretion, with performance awards vesting and becoming payable at target performance levels. In the event a grantee’s employment, or other service providing capacity, is terminated by the Company or any of its subsidiaries or successors (except for cause) or by the grantee for good reason, within two years of the consummation of the change in control, then any unvested awards continued in accordance to clause (a) above shall immediately accelerate and be paid in accordance with clause (b) applied at the time of the applicable termination.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91 </w:t>
      </w:r>
      <w:r>
        <w:br w:type="page"/>
      </w:r>
    </w:p>
    <w:p>
      <w:pPr>
        <w:pStyle w:val="HorizontalLine"/>
        <w:rPr/>
      </w:pPr>
      <w:r>
        <w:rPr/>
      </w:r>
    </w:p>
    <w:p>
      <w:pPr>
        <w:pStyle w:val="TextBody"/>
        <w:spacing w:before="0" w:after="0"/>
        <w:jc w:val="left"/>
        <w:rPr>
          <w:rFonts w:ascii="ARIAL" w:hAnsi="ARIAL"/>
          <w:sz w:val="20"/>
        </w:rPr>
      </w:pPr>
      <w:r>
        <w:rPr>
          <w:rFonts w:ascii="ARIAL" w:hAnsi="ARIAL"/>
          <w:sz w:val="20"/>
        </w:rPr>
        <w:t xml:space="preserve">If awards were not continued in accordance with clause (a) above, the Board of Directors may, in its sole discretion, provide for cancellation of such outstanding awards at the time of the change in control in which case a payment of cash, property or a combination thereof would be made to each such grantee upon the consummation of the change in control that is determined by the Board of Directors in its sole discretion and that is at least equal to the excess (if any) of the value of the consideration that would be received in such change in control by the holders of the Company’s securities related to such awards over the exercise or purchase price (if any) for such awards (except that, in the case of an option or stock appreciation right, such payment shall be limited as necessary to present the option or stock appreciation right from being subject to tax under Code Section 409A). </w:t>
      </w:r>
    </w:p>
    <w:p>
      <w:pPr>
        <w:pStyle w:val="TextBody"/>
        <w:spacing w:before="240" w:after="0"/>
        <w:jc w:val="left"/>
        <w:rPr>
          <w:rFonts w:ascii="ARIAL" w:hAnsi="ARIAL"/>
          <w:sz w:val="20"/>
        </w:rPr>
      </w:pPr>
      <w:r>
        <w:rPr>
          <w:rFonts w:ascii="ARIAL" w:hAnsi="ARIAL"/>
          <w:sz w:val="20"/>
        </w:rPr>
        <w:t xml:space="preserve">Subject to certain qualifications and exceptions set forth in the Amended and Restated 2009 Plan, the plan defines a “change in control” of the Company to mean: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85"/>
        <w:gridCol w:w="9945"/>
      </w:tblGrid>
      <w:tr>
        <w:trPr/>
        <w:tc>
          <w:tcPr>
            <w:tcW w:w="75" w:type="dxa"/>
            <w:tcBorders/>
            <w:shd w:fill="auto" w:val="clear"/>
            <w:vAlign w:val="center"/>
          </w:tcPr>
          <w:p>
            <w:pPr>
              <w:pStyle w:val="TableContents"/>
              <w:spacing w:before="0" w:after="283"/>
              <w:rPr/>
            </w:pPr>
            <w:r>
              <w:rPr/>
              <w:t> </w:t>
            </w:r>
          </w:p>
        </w:tc>
        <w:tc>
          <w:tcPr>
            <w:tcW w:w="185" w:type="dxa"/>
            <w:tcBorders/>
            <w:shd w:fill="auto" w:val="clear"/>
            <w:vAlign w:val="center"/>
          </w:tcPr>
          <w:p>
            <w:pPr>
              <w:pStyle w:val="TableContents"/>
              <w:spacing w:before="0" w:after="283"/>
              <w:jc w:val="left"/>
              <w:rPr/>
            </w:pPr>
            <w:r>
              <w:rPr/>
              <w:t>a.</w:t>
            </w:r>
          </w:p>
        </w:tc>
        <w:tc>
          <w:tcPr>
            <w:tcW w:w="9945" w:type="dxa"/>
            <w:tcBorders/>
            <w:shd w:fill="auto" w:val="clear"/>
            <w:vAlign w:val="center"/>
          </w:tcPr>
          <w:p>
            <w:pPr>
              <w:pStyle w:val="TableContents"/>
              <w:spacing w:before="0" w:after="0"/>
              <w:jc w:val="left"/>
              <w:rPr>
                <w:rFonts w:ascii="ARIAL" w:hAnsi="ARIAL"/>
                <w:sz w:val="20"/>
              </w:rPr>
            </w:pPr>
            <w:r>
              <w:rPr>
                <w:rFonts w:ascii="ARIAL" w:hAnsi="ARIAL"/>
                <w:sz w:val="20"/>
              </w:rPr>
              <w:t xml:space="preserve">Any person (with certain exceptions) is or becomes the beneficial owner of more than fifty percent of the then outstanding voting securities of the Company;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200"/>
        <w:gridCol w:w="9930"/>
      </w:tblGrid>
      <w:tr>
        <w:trPr/>
        <w:tc>
          <w:tcPr>
            <w:tcW w:w="75"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jc w:val="left"/>
              <w:rPr/>
            </w:pPr>
            <w:r>
              <w:rPr/>
              <w:t>b.</w:t>
            </w:r>
          </w:p>
        </w:tc>
        <w:tc>
          <w:tcPr>
            <w:tcW w:w="9930" w:type="dxa"/>
            <w:tcBorders/>
            <w:shd w:fill="auto" w:val="clear"/>
            <w:vAlign w:val="center"/>
          </w:tcPr>
          <w:p>
            <w:pPr>
              <w:pStyle w:val="TableContents"/>
              <w:spacing w:before="0" w:after="0"/>
              <w:jc w:val="left"/>
              <w:rPr>
                <w:rFonts w:ascii="ARIAL" w:hAnsi="ARIAL"/>
                <w:sz w:val="20"/>
              </w:rPr>
            </w:pPr>
            <w:r>
              <w:rPr>
                <w:rFonts w:ascii="ARIAL" w:hAnsi="ARIAL"/>
                <w:sz w:val="20"/>
              </w:rPr>
              <w:t xml:space="preserve">The incumbent members of the Board of Directors cease for any reason to constitute a majority of the Board of Directors, treating any individual whose election or nomination for election was approved by at least two-thirds of the Board of Directors as an incumbent member of the Board of Directors, unless such individual initially assumed office as a result of an actual, threatened or settled proxy contest;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85"/>
        <w:gridCol w:w="9945"/>
      </w:tblGrid>
      <w:tr>
        <w:trPr/>
        <w:tc>
          <w:tcPr>
            <w:tcW w:w="75" w:type="dxa"/>
            <w:tcBorders/>
            <w:shd w:fill="auto" w:val="clear"/>
            <w:vAlign w:val="center"/>
          </w:tcPr>
          <w:p>
            <w:pPr>
              <w:pStyle w:val="TableContents"/>
              <w:spacing w:before="0" w:after="283"/>
              <w:rPr/>
            </w:pPr>
            <w:r>
              <w:rPr/>
              <w:t> </w:t>
            </w:r>
          </w:p>
        </w:tc>
        <w:tc>
          <w:tcPr>
            <w:tcW w:w="185" w:type="dxa"/>
            <w:tcBorders/>
            <w:shd w:fill="auto" w:val="clear"/>
            <w:vAlign w:val="center"/>
          </w:tcPr>
          <w:p>
            <w:pPr>
              <w:pStyle w:val="TableContents"/>
              <w:spacing w:before="0" w:after="283"/>
              <w:jc w:val="left"/>
              <w:rPr/>
            </w:pPr>
            <w:r>
              <w:rPr/>
              <w:t>c.</w:t>
            </w:r>
          </w:p>
        </w:tc>
        <w:tc>
          <w:tcPr>
            <w:tcW w:w="9945" w:type="dxa"/>
            <w:tcBorders/>
            <w:shd w:fill="auto" w:val="clear"/>
            <w:vAlign w:val="center"/>
          </w:tcPr>
          <w:p>
            <w:pPr>
              <w:pStyle w:val="TableContents"/>
              <w:spacing w:before="0" w:after="0"/>
              <w:jc w:val="left"/>
              <w:rPr>
                <w:rFonts w:ascii="ARIAL" w:hAnsi="ARIAL"/>
                <w:sz w:val="20"/>
              </w:rPr>
            </w:pPr>
            <w:r>
              <w:rPr>
                <w:rFonts w:ascii="ARIAL" w:hAnsi="ARIAL"/>
                <w:sz w:val="20"/>
              </w:rPr>
              <w:t xml:space="preserve">The consummation of a merger, consolidation, or reorganization, unless (1) the stockholders of the Company immediately prior to such transaction own at least fifty percent of the combined voting power in (A) the surviving entity (but only if another person does not beneficially own, directly or indirectly, fifty percent or more of the combined voting power of such surviving entity) or (B) the ultimate parent of such surviving entity; and (2) the individuals who were members of the incumbent Board of Directors immediately prior to the execution of the agreement providing for such transaction constitute at least a majority of the members of the board of directors of the surviving entity or its parent; </w:t>
            </w:r>
          </w:p>
        </w:tc>
      </w:tr>
    </w:tbl>
    <w:p>
      <w:pPr>
        <w:pStyle w:val="TextBody"/>
        <w:spacing w:before="0" w:after="0"/>
        <w:jc w:val="left"/>
        <w:rPr/>
      </w:pPr>
      <w:r>
        <w:rPr/>
        <w:t> </w:t>
      </w:r>
    </w:p>
    <w:tbl>
      <w:tblPr>
        <w:tblW w:w="5230" w:type="dxa"/>
        <w:jc w:val="left"/>
        <w:tblInd w:w="0" w:type="dxa"/>
        <w:tblCellMar>
          <w:top w:w="0" w:type="dxa"/>
          <w:left w:w="0" w:type="dxa"/>
          <w:bottom w:w="0" w:type="dxa"/>
          <w:right w:w="0" w:type="dxa"/>
        </w:tblCellMar>
      </w:tblPr>
      <w:tblGrid>
        <w:gridCol w:w="75"/>
        <w:gridCol w:w="200"/>
        <w:gridCol w:w="4955"/>
      </w:tblGrid>
      <w:tr>
        <w:trPr/>
        <w:tc>
          <w:tcPr>
            <w:tcW w:w="75"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jc w:val="left"/>
              <w:rPr/>
            </w:pPr>
            <w:r>
              <w:rPr/>
              <w:t>d.</w:t>
            </w:r>
          </w:p>
        </w:tc>
        <w:tc>
          <w:tcPr>
            <w:tcW w:w="4955" w:type="dxa"/>
            <w:tcBorders/>
            <w:shd w:fill="auto" w:val="clear"/>
            <w:vAlign w:val="center"/>
          </w:tcPr>
          <w:p>
            <w:pPr>
              <w:pStyle w:val="TableContents"/>
              <w:spacing w:before="0" w:after="0"/>
              <w:jc w:val="left"/>
              <w:rPr>
                <w:rFonts w:ascii="ARIAL" w:hAnsi="ARIAL"/>
                <w:sz w:val="20"/>
              </w:rPr>
            </w:pPr>
            <w:r>
              <w:rPr>
                <w:rFonts w:ascii="ARIAL" w:hAnsi="ARIAL"/>
                <w:sz w:val="20"/>
              </w:rPr>
              <w:t xml:space="preserve">A complete liquidation or dissolution of the Company; or </w:t>
            </w:r>
          </w:p>
        </w:tc>
      </w:tr>
    </w:tbl>
    <w:p>
      <w:pPr>
        <w:pStyle w:val="TextBody"/>
        <w:spacing w:before="0" w:after="0"/>
        <w:jc w:val="left"/>
        <w:rPr/>
      </w:pPr>
      <w:r>
        <w:rPr/>
        <w:t> </w:t>
      </w:r>
    </w:p>
    <w:tbl>
      <w:tblPr>
        <w:tblW w:w="7630" w:type="dxa"/>
        <w:jc w:val="left"/>
        <w:tblInd w:w="0" w:type="dxa"/>
        <w:tblCellMar>
          <w:top w:w="0" w:type="dxa"/>
          <w:left w:w="0" w:type="dxa"/>
          <w:bottom w:w="0" w:type="dxa"/>
          <w:right w:w="0" w:type="dxa"/>
        </w:tblCellMar>
      </w:tblPr>
      <w:tblGrid>
        <w:gridCol w:w="75"/>
        <w:gridCol w:w="185"/>
        <w:gridCol w:w="7370"/>
      </w:tblGrid>
      <w:tr>
        <w:trPr/>
        <w:tc>
          <w:tcPr>
            <w:tcW w:w="75" w:type="dxa"/>
            <w:tcBorders/>
            <w:shd w:fill="auto" w:val="clear"/>
            <w:vAlign w:val="center"/>
          </w:tcPr>
          <w:p>
            <w:pPr>
              <w:pStyle w:val="TableContents"/>
              <w:spacing w:before="0" w:after="283"/>
              <w:rPr/>
            </w:pPr>
            <w:r>
              <w:rPr/>
              <w:t> </w:t>
            </w:r>
          </w:p>
        </w:tc>
        <w:tc>
          <w:tcPr>
            <w:tcW w:w="185" w:type="dxa"/>
            <w:tcBorders/>
            <w:shd w:fill="auto" w:val="clear"/>
            <w:vAlign w:val="center"/>
          </w:tcPr>
          <w:p>
            <w:pPr>
              <w:pStyle w:val="TableContents"/>
              <w:spacing w:before="0" w:after="283"/>
              <w:jc w:val="left"/>
              <w:rPr/>
            </w:pPr>
            <w:r>
              <w:rPr/>
              <w:t>e.</w:t>
            </w:r>
          </w:p>
        </w:tc>
        <w:tc>
          <w:tcPr>
            <w:tcW w:w="7370" w:type="dxa"/>
            <w:tcBorders/>
            <w:shd w:fill="auto" w:val="clear"/>
            <w:vAlign w:val="center"/>
          </w:tcPr>
          <w:p>
            <w:pPr>
              <w:pStyle w:val="TableContents"/>
              <w:spacing w:before="0" w:after="0"/>
              <w:jc w:val="left"/>
              <w:rPr>
                <w:rFonts w:ascii="ARIAL" w:hAnsi="ARIAL"/>
                <w:sz w:val="20"/>
              </w:rPr>
            </w:pPr>
            <w:r>
              <w:rPr>
                <w:rFonts w:ascii="ARIAL" w:hAnsi="ARIAL"/>
                <w:sz w:val="20"/>
              </w:rPr>
              <w:t xml:space="preserve">The sale or other disposition of all or substantially all of the assets of the Company. </w:t>
            </w:r>
          </w:p>
        </w:tc>
      </w:tr>
    </w:tbl>
    <w:p>
      <w:pPr>
        <w:pStyle w:val="TextBody"/>
        <w:spacing w:before="240" w:after="0"/>
        <w:jc w:val="left"/>
        <w:rPr>
          <w:rFonts w:ascii="ARIAL" w:hAnsi="ARIAL"/>
          <w:b/>
          <w:sz w:val="20"/>
        </w:rPr>
      </w:pPr>
      <w:r>
        <w:rPr>
          <w:rFonts w:ascii="ARIAL" w:hAnsi="ARIAL"/>
          <w:b/>
          <w:sz w:val="20"/>
        </w:rPr>
        <w:t xml:space="preserve">Clawbacks </w:t>
      </w:r>
    </w:p>
    <w:p>
      <w:pPr>
        <w:pStyle w:val="TextBody"/>
        <w:spacing w:before="240" w:after="0"/>
        <w:jc w:val="left"/>
        <w:rPr>
          <w:rFonts w:ascii="ARIAL" w:hAnsi="ARIAL"/>
          <w:sz w:val="20"/>
        </w:rPr>
      </w:pPr>
      <w:r>
        <w:rPr>
          <w:rFonts w:ascii="ARIAL" w:hAnsi="ARIAL"/>
          <w:sz w:val="20"/>
        </w:rPr>
        <w:t xml:space="preserve">The Amended and Restated 2009 Plan includes certain clarifying revisions to the recoupment provisions in the 2009 Plan in connection with the final SEC recoupment rules adopted on October 26, 2022 (the “Final SEC Recoupment Rules”). The Amended and Restated 2009 Plan provides that awards under the plan will be subject to forfeiture, repayment or reimbursement by the grantee to the Company to the extent (i) set forth in any award agreement, (ii) set forth in the Company’s current clawback policy (the “Current Clawback Policy”), as it may be amended from time to time, (iii) any grantee becomes subject to any recoupment or clawback policy hereafter adopted by the Company, including any such clawback policy (or amended version of the Current Clawback Policy) adopted by the Company to comply with the requirements of any applicable laws, rules, or regulations, including pursuant to the Final SEC Recoupment Rules and/or the final NYSE listing standards with respect to recoupment to be adopted in connection therewith (such Final SEC Recoupment Rules and/or final NYSE listing standards, the “Dodd-Frank Clawback Requirements”) (such policies referenced in clause (ii) or (iii) above, the “Policies”), or (iv) required under any applicable laws which impose mandatory recoupment, including pursuant to the Sarbanes-Oxley Act and the Dodd-Frank Clawback Requirements. The Amended and Restated 2009 Plan provides that the Company may utilize any method of recovery specified in the Policies in connection with any award recoupment required or permitted under the Policies. As discussed above, the Company intends to amend the Current Clawback Policy, and/or adopt a new clawback policy, to satisfy all applicable requirements under the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92 </w:t>
      </w:r>
      <w:r>
        <w:br w:type="page"/>
      </w:r>
    </w:p>
    <w:p>
      <w:pPr>
        <w:pStyle w:val="HorizontalLine"/>
        <w:rPr/>
      </w:pPr>
      <w:r>
        <w:rPr/>
      </w:r>
    </w:p>
    <w:p>
      <w:pPr>
        <w:pStyle w:val="TextBody"/>
        <w:spacing w:before="0" w:after="0"/>
        <w:jc w:val="left"/>
        <w:rPr>
          <w:rFonts w:ascii="ARIAL" w:hAnsi="ARIAL"/>
          <w:sz w:val="20"/>
        </w:rPr>
      </w:pPr>
      <w:r>
        <w:rPr>
          <w:rFonts w:ascii="ARIAL" w:hAnsi="ARIAL"/>
          <w:sz w:val="20"/>
        </w:rPr>
        <w:t xml:space="preserve">Final SEC Recoupment Rules and the final NYSE listing standards to be adopted in connection therewith, within the timeframe that is specified in such Final SEC Recoupment Rules and final NYSE listing standards. For a discussion of the Company’s Clawback Policy, see “Compensation Discussion and Analysis — Executive Compensation Policies — Compensation Clawback Policy” above. </w:t>
      </w:r>
    </w:p>
    <w:p>
      <w:pPr>
        <w:pStyle w:val="TextBody"/>
        <w:spacing w:before="240" w:after="0"/>
        <w:jc w:val="left"/>
        <w:rPr>
          <w:rFonts w:ascii="ARIAL" w:hAnsi="ARIAL"/>
          <w:b/>
          <w:sz w:val="20"/>
        </w:rPr>
      </w:pPr>
      <w:r>
        <w:rPr>
          <w:rFonts w:ascii="ARIAL" w:hAnsi="ARIAL"/>
          <w:b/>
          <w:sz w:val="20"/>
        </w:rPr>
        <w:t xml:space="preserve">Amendment or Termination </w:t>
      </w:r>
    </w:p>
    <w:p>
      <w:pPr>
        <w:pStyle w:val="TextBody"/>
        <w:spacing w:before="240" w:after="0"/>
        <w:jc w:val="left"/>
        <w:rPr>
          <w:rFonts w:ascii="ARIAL" w:hAnsi="ARIAL"/>
          <w:sz w:val="20"/>
        </w:rPr>
      </w:pPr>
      <w:r>
        <w:rPr>
          <w:rFonts w:ascii="ARIAL" w:hAnsi="ARIAL"/>
          <w:sz w:val="20"/>
        </w:rPr>
        <w:t xml:space="preserve">In the event that the Amended and Restated 2009 Plan is approved by our stockholders, the Amended and Restated 2009 Plan would terminate on March 21, 2033 (the “Expiration Date”), which is the day preceding the tenth anniversary of the Board of Director’s approval of the Amended and Restated 2009 Plan effective as of the Restatement Effective Date, and no award may be granted after the Expiration Date. The Amended and Restated 2009 Plan provides that, subject to such stockholder approval, the Amended and Restated 2009 Plan would amend and restate the 2009 Plan, provided that, except as otherwise provided in the Amended and Restated 2009 Plan, any awards made prior to the Restatement Effective Date would be subject to the terms of the 2009 Plan (or prior versions of the 2009 Plan) in effect at the time any such award was granted. </w:t>
      </w:r>
    </w:p>
    <w:p>
      <w:pPr>
        <w:pStyle w:val="TextBody"/>
        <w:spacing w:before="240" w:after="0"/>
        <w:jc w:val="left"/>
        <w:rPr>
          <w:rFonts w:ascii="ARIAL" w:hAnsi="ARIAL"/>
          <w:sz w:val="20"/>
        </w:rPr>
      </w:pPr>
      <w:r>
        <w:rPr>
          <w:rFonts w:ascii="ARIAL" w:hAnsi="ARIAL"/>
          <w:sz w:val="20"/>
        </w:rPr>
        <w:t xml:space="preserve">In addition, the Amended and Restated 2009 Plan provides that our Board of Directors may sooner terminate the plan and may amend, modify or suspend the plan at any time or from time to time. However, no amendment, suspension or termination may impair or materially and adversely alter the rights of an optionee or grantee with respect to awards granted prior to such action, or deprive an optionee or grantee of any shares which may have been acquired under the plan, unless his or her written consent is obtained. The Amended and Restated 2009 Plan provides that, to the extent necessary under any applicable law, regulation or exchange requirement with which the Compensation Committee determines it is necessary or desirable for the Company to comply, no amendment will be effective unless approved by our stockholders in accordance with such applicable law, regulation or exchange requirement. In addition, the Amended and Restated 2009 Plan provides that no option or stock appreciation right will be repriced without stockholder approval. </w:t>
      </w:r>
    </w:p>
    <w:p>
      <w:pPr>
        <w:pStyle w:val="TextBody"/>
        <w:spacing w:before="240" w:after="0"/>
        <w:jc w:val="left"/>
        <w:rPr>
          <w:rFonts w:ascii="ARIAL" w:hAnsi="ARIAL"/>
          <w:sz w:val="20"/>
        </w:rPr>
      </w:pPr>
      <w:r>
        <w:rPr>
          <w:rFonts w:ascii="ARIAL" w:hAnsi="ARIAL"/>
          <w:sz w:val="20"/>
        </w:rPr>
        <w:t xml:space="preserve">The Amended and Restated Plan provides that the Committee may approve amendments to any award agreement; provided, however, that no modification of an agreement evidencing an award may materially and adversely alter or impair any rights or obligations under the award unless the consent of the grantee is obtained. </w:t>
      </w:r>
    </w:p>
    <w:p>
      <w:pPr>
        <w:pStyle w:val="TextBody"/>
        <w:spacing w:before="240" w:after="0"/>
        <w:jc w:val="left"/>
        <w:rPr>
          <w:rFonts w:ascii="ARIAL" w:hAnsi="ARIAL"/>
          <w:b/>
          <w:sz w:val="20"/>
        </w:rPr>
      </w:pPr>
      <w:r>
        <w:rPr>
          <w:rFonts w:ascii="ARIAL" w:hAnsi="ARIAL"/>
          <w:b/>
          <w:sz w:val="20"/>
        </w:rPr>
        <w:t xml:space="preserve">No Additional Rights </w:t>
      </w:r>
    </w:p>
    <w:p>
      <w:pPr>
        <w:pStyle w:val="TextBody"/>
        <w:spacing w:before="240" w:after="0"/>
        <w:jc w:val="left"/>
        <w:rPr>
          <w:rFonts w:ascii="ARIAL" w:hAnsi="ARIAL"/>
          <w:sz w:val="20"/>
        </w:rPr>
      </w:pPr>
      <w:r>
        <w:rPr>
          <w:rFonts w:ascii="ARIAL" w:hAnsi="ARIAL"/>
          <w:sz w:val="20"/>
        </w:rPr>
        <w:t xml:space="preserve">An optionee does not have any rights as a stockholder of the Company with respect to any shares of our Common Stock issuable upon exercise of an option generally until the Company issues and delivers shares (whether or not certificated) to the optionee, a securities broker acting on behalf of the optionee or other nominee of the optionee. </w:t>
      </w:r>
    </w:p>
    <w:p>
      <w:pPr>
        <w:pStyle w:val="TextBody"/>
        <w:spacing w:before="240" w:after="0"/>
        <w:jc w:val="left"/>
        <w:rPr>
          <w:rFonts w:ascii="ARIAL" w:hAnsi="ARIAL"/>
          <w:b/>
          <w:sz w:val="20"/>
        </w:rPr>
      </w:pPr>
      <w:r>
        <w:rPr>
          <w:rFonts w:ascii="ARIAL" w:hAnsi="ARIAL"/>
          <w:b/>
          <w:sz w:val="20"/>
        </w:rPr>
        <w:t xml:space="preserve">Certain U.S. Federal Income Tax Consequences </w:t>
      </w:r>
    </w:p>
    <w:p>
      <w:pPr>
        <w:pStyle w:val="TextBody"/>
        <w:spacing w:before="240" w:after="0"/>
        <w:jc w:val="left"/>
        <w:rPr>
          <w:rFonts w:ascii="ARIAL" w:hAnsi="ARIAL"/>
          <w:sz w:val="20"/>
        </w:rPr>
      </w:pPr>
      <w:r>
        <w:rPr>
          <w:rFonts w:ascii="ARIAL" w:hAnsi="ARIAL"/>
          <w:sz w:val="20"/>
        </w:rPr>
        <w:t xml:space="preserve">The following is a brief summary of certain U.S. federal income tax aspects of awards under the Amended and Restated 2009 Plan based upon the U.S. federal income tax laws in effect on the date hereof. This summary is not intended to be exhaustive and the exact tax consequences to any grantee will depend upon his or her particular circumstances and other factors. This discussion does not address the effects of other U.S. federal taxes or taxes imposed under state, local or foreign tax laws. Grantees under the plan are urged to consult a tax advisor as to the tax consequences of participation in the plan. The Amended and Restated 2009 Plan is not intended to be a “qualified plan” under Section 401(a) of the IRC or otherwise subject to the requirements of the Employee Retirement Income Security Act of 1974.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93 </w:t>
      </w:r>
      <w:r>
        <w:br w:type="page"/>
      </w:r>
    </w:p>
    <w:p>
      <w:pPr>
        <w:pStyle w:val="HorizontalLine"/>
        <w:rPr/>
      </w:pPr>
      <w:r>
        <w:rPr/>
      </w:r>
    </w:p>
    <w:p>
      <w:pPr>
        <w:pStyle w:val="TextBody"/>
        <w:spacing w:before="0" w:after="0"/>
        <w:jc w:val="left"/>
        <w:rPr>
          <w:rFonts w:ascii="ARIAL" w:hAnsi="ARIAL"/>
          <w:b/>
          <w:sz w:val="20"/>
        </w:rPr>
      </w:pPr>
      <w:r>
        <w:rPr>
          <w:rFonts w:ascii="ARIAL" w:hAnsi="ARIAL"/>
          <w:b/>
          <w:sz w:val="20"/>
        </w:rPr>
        <w:t xml:space="preserve">Stock Options </w:t>
      </w:r>
    </w:p>
    <w:p>
      <w:pPr>
        <w:pStyle w:val="TextBody"/>
        <w:spacing w:before="240" w:after="0"/>
        <w:jc w:val="left"/>
        <w:rPr>
          <w:rFonts w:ascii="ARIAL" w:hAnsi="ARIAL"/>
          <w:sz w:val="20"/>
        </w:rPr>
      </w:pPr>
      <w:r>
        <w:rPr>
          <w:rFonts w:ascii="ARIAL" w:hAnsi="ARIAL"/>
          <w:sz w:val="20"/>
        </w:rPr>
        <w:t xml:space="preserve">The grant of a stock option with an exercise price equal to the fair market value of the Common Stock on the date of grant is generally not a taxable event to the grantee or the Company. A grantee will not have taxable income upon exercising an incentive stock option (except that the alternative minimum tax may apply). Upon the exercise of a nonqualified stock option, a grantee will recognize ordinary compensation income to the extent that the fair market value of the Common Stock acquired pursuant to the exercise of the stock option, as of the exercise date, is greater than the exercise price of the stock option. Any income recognized by the grantee as a result of the exercise of a nonqualified stock option will be ordinary compensation income and will be subject to income and employment tax withholding at the time the Common Stock is acquired. Subject to certain limitations, the Company generally is entitled to a deduction in an amount equal to the compensation income recognized by the grantee. </w:t>
      </w:r>
    </w:p>
    <w:p>
      <w:pPr>
        <w:pStyle w:val="TextBody"/>
        <w:spacing w:before="240" w:after="0"/>
        <w:jc w:val="left"/>
        <w:rPr>
          <w:rFonts w:ascii="ARIAL" w:hAnsi="ARIAL"/>
          <w:b/>
          <w:sz w:val="20"/>
        </w:rPr>
      </w:pPr>
      <w:r>
        <w:rPr>
          <w:rFonts w:ascii="ARIAL" w:hAnsi="ARIAL"/>
          <w:b/>
          <w:sz w:val="20"/>
        </w:rPr>
        <w:t xml:space="preserve">Sale of Common Stock </w:t>
      </w:r>
    </w:p>
    <w:p>
      <w:pPr>
        <w:pStyle w:val="TextBody"/>
        <w:spacing w:before="240" w:after="0"/>
        <w:jc w:val="left"/>
        <w:rPr>
          <w:rFonts w:ascii="ARIAL" w:hAnsi="ARIAL"/>
          <w:sz w:val="20"/>
        </w:rPr>
      </w:pPr>
      <w:r>
        <w:rPr>
          <w:rFonts w:ascii="ARIAL" w:hAnsi="ARIAL"/>
          <w:sz w:val="20"/>
        </w:rPr>
        <w:t xml:space="preserve">The sale or other taxable disposition of Common Stock acquired upon the exercise of a stock option generally will be a taxable event to the grantee. In general, the grantee selling such Common Stock will recognize gain or loss equal to the difference between the amount realized by the grantee upon such sale or disposition and the grantee’s adjusted tax basis in such Common Stock. A participant’s adjusted tax basis in Common Stock purchased upon exercise of a stock option generally will be the exercise price paid for such shares plus the amount, if any, of ordinary income recognized in connection with the exercise of the option. If a grantee exercises an incentive stock option and disposes of any of the shares of Common Stock acquired upon exercise before the end of two years from the date of grant and one year from the date of exercise of the option, a portion of the grantee’s gain will be characterized as ordinary income in an amount equal to the difference between (i) the fair market value of such shares on the date of exercise of the incentive stock option (or, if less, the amount realized upon the disposition of such Common Stock), and (ii) the exercise price, and the Company will generally be entitled to a deduction of the same amount. </w:t>
      </w:r>
    </w:p>
    <w:p>
      <w:pPr>
        <w:pStyle w:val="TextBody"/>
        <w:spacing w:before="240" w:after="0"/>
        <w:jc w:val="left"/>
        <w:rPr>
          <w:rFonts w:ascii="ARIAL" w:hAnsi="ARIAL"/>
          <w:sz w:val="20"/>
        </w:rPr>
      </w:pPr>
      <w:r>
        <w:rPr>
          <w:rFonts w:ascii="ARIAL" w:hAnsi="ARIAL"/>
          <w:sz w:val="20"/>
        </w:rPr>
        <w:t xml:space="preserve">Except as described above for Common Stock acquired by exercise of an incentive stock option for which the required holding periods have not been met, any gain or loss resulting from a sale or disposition of Common Stock obtained by the grantee through the exercise of an option generally will be taxed as capital gain or loss. This gain or loss will be treated as long-term capital gain or loss if at the time of any such sale or disposition the grantee has held the Common Stock for more than one year. The time that a grantee holds a stock option is not taken into account for purposes of determining whether the grantee has held the Common Stock received upon exercise of that option for more than one year. Long-term capital gains of individuals are currently subject to tax at preferential rates. In addition, there are limits on the deductibility of capital losses by the grantee. </w:t>
      </w:r>
    </w:p>
    <w:p>
      <w:pPr>
        <w:pStyle w:val="TextBody"/>
        <w:spacing w:before="240" w:after="0"/>
        <w:jc w:val="left"/>
        <w:rPr>
          <w:rFonts w:ascii="ARIAL" w:hAnsi="ARIAL"/>
          <w:b/>
          <w:sz w:val="20"/>
        </w:rPr>
      </w:pPr>
      <w:r>
        <w:rPr>
          <w:rFonts w:ascii="ARIAL" w:hAnsi="ARIAL"/>
          <w:b/>
          <w:sz w:val="20"/>
        </w:rPr>
        <w:t xml:space="preserve">Stock Appreciation Rights </w:t>
      </w:r>
    </w:p>
    <w:p>
      <w:pPr>
        <w:pStyle w:val="TextBody"/>
        <w:spacing w:before="240" w:after="0"/>
        <w:jc w:val="left"/>
        <w:rPr>
          <w:rFonts w:ascii="ARIAL" w:hAnsi="ARIAL"/>
          <w:sz w:val="20"/>
        </w:rPr>
      </w:pPr>
      <w:r>
        <w:rPr>
          <w:rFonts w:ascii="ARIAL" w:hAnsi="ARIAL"/>
          <w:sz w:val="20"/>
        </w:rPr>
        <w:t xml:space="preserve">The grant of a stock appreciation right with a grant price at least equal to the fair market value of the Common Stock to which it relates on the date of grant is generally not a taxable event to the grantee or the Company. A grantee who exercises a stock appreciation right will recognize ordinary income equal to the value of the Common Stock (or cash, if applicable) received upon exercise of the stock appreciation right. The Company generally will be allowed a deduction for the amount of ordinary income recognized by the grantee with respect to the exercise of a stock appreciation right. Upon the sale or disposition of any Common Stock acquired through the exercise of a stock appreciation right, a grantee will recognize gain or loss as described above under “Sale of Common Stock.” For this purpose, the grantee’s basis in the Common Stock is its fair market value at the time the stock appreciation right is exercised. The gain or loss will be treated as long-term capital gain or loss if at the time of any such sale or disposition the grantee held the Common Stock for more than one year.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94 </w:t>
      </w:r>
      <w:r>
        <w:br w:type="page"/>
      </w:r>
    </w:p>
    <w:p>
      <w:pPr>
        <w:pStyle w:val="HorizontalLine"/>
        <w:rPr/>
      </w:pPr>
      <w:r>
        <w:rPr/>
      </w:r>
    </w:p>
    <w:p>
      <w:pPr>
        <w:pStyle w:val="TextBody"/>
        <w:spacing w:before="0" w:after="0"/>
        <w:jc w:val="left"/>
        <w:rPr>
          <w:rFonts w:ascii="ARIAL" w:hAnsi="ARIAL"/>
          <w:b/>
          <w:sz w:val="20"/>
        </w:rPr>
      </w:pPr>
      <w:r>
        <w:rPr>
          <w:rFonts w:ascii="ARIAL" w:hAnsi="ARIAL"/>
          <w:b/>
          <w:sz w:val="20"/>
        </w:rPr>
        <w:t xml:space="preserve">Other Equity-Based Awards </w:t>
      </w:r>
    </w:p>
    <w:p>
      <w:pPr>
        <w:pStyle w:val="TextBody"/>
        <w:spacing w:before="240" w:after="0"/>
        <w:jc w:val="left"/>
        <w:rPr>
          <w:rFonts w:ascii="ARIAL" w:hAnsi="ARIAL"/>
          <w:sz w:val="20"/>
        </w:rPr>
      </w:pPr>
      <w:r>
        <w:rPr>
          <w:rFonts w:ascii="ARIAL" w:hAnsi="ARIAL"/>
          <w:sz w:val="20"/>
        </w:rPr>
        <w:t xml:space="preserve">A grantee who receives a grant of any equity-based award (other than an option or stock appreciation right) that is not subject to any vesting or forfeiture restrictions, generally will recognize, in the year of grant (or, if later, the year of payment in case of stock units and similar awards), ordinary income equal to the fair market value of the Common Stock or the amount of cash received. If such equity-based award is in the form of property that is subject to restrictions, such as a restricted stock award, the grantee would generally not recognize ordinary income until the restrictions lapse and the equity-based award becomes vested, unless the grantee makes a Section 83(b) Election (as discussed below). If such other equity-based award is in the form of a restricted stock unit or similar award that does not provide for the delivery of shares or cash until a vesting condition has been satisfied or some later date, the grantee would not generally recognize ordinary income until the date the vesting condition is satisfied and the shares or cash have been made available to the grantee. The Company is entitled to a deduction for the amount of ordinary income recognized by the grantee with respect to the other equity-based award in the same year as the ordinary income is recognized by the grantee, subject to certain limitations discussed below. </w:t>
      </w:r>
    </w:p>
    <w:p>
      <w:pPr>
        <w:pStyle w:val="TextBody"/>
        <w:spacing w:before="240" w:after="0"/>
        <w:jc w:val="left"/>
        <w:rPr>
          <w:rFonts w:ascii="ARIAL" w:hAnsi="ARIAL"/>
          <w:b/>
          <w:sz w:val="20"/>
        </w:rPr>
      </w:pPr>
      <w:r>
        <w:rPr>
          <w:rFonts w:ascii="ARIAL" w:hAnsi="ARIAL"/>
          <w:b/>
          <w:sz w:val="20"/>
        </w:rPr>
        <w:t xml:space="preserve">Performance-Based Awards </w:t>
      </w:r>
    </w:p>
    <w:p>
      <w:pPr>
        <w:pStyle w:val="TextBody"/>
        <w:spacing w:before="240" w:after="0"/>
        <w:jc w:val="left"/>
        <w:rPr>
          <w:rFonts w:ascii="ARIAL" w:hAnsi="ARIAL"/>
          <w:sz w:val="20"/>
        </w:rPr>
      </w:pPr>
      <w:r>
        <w:rPr>
          <w:rFonts w:ascii="ARIAL" w:hAnsi="ARIAL"/>
          <w:sz w:val="20"/>
        </w:rPr>
        <w:t xml:space="preserve">Payments made (or shares or Common Stock delivered) pursuant to performance-based awards are taxable as ordinary income at the time the performance goals are attained and the payments (whether in cash or Common Stock) are made available to, and are transferable by, the grantee. Grantees receiving performance shares will recognize ordinary income equal to the fair market value of the Common Stock received as the performance goals are met and such shares vest, less any amount paid (if any) by the grantee for the performance shares, unless the grantee makes a Section 83(b) Election (discussed below) to be taxed at the time of the grant. A Section 83(b) Election may not be available with respect to certain forms of performance awards. Upon the grantee’s subsequent sale or other disposition of any shares of Common Stock acquired in connection with a performance award, the grantee generally will recognize capital gain or loss as described above under “Sale of Common Stock.” For this purpose, the grantee’s basis in the Common Stock generally will be its fair market value at the time the award vests or is made available to the grantee. </w:t>
      </w:r>
    </w:p>
    <w:p>
      <w:pPr>
        <w:pStyle w:val="TextBody"/>
        <w:spacing w:before="240" w:after="0"/>
        <w:jc w:val="left"/>
        <w:rPr>
          <w:rFonts w:ascii="ARIAL" w:hAnsi="ARIAL"/>
          <w:b/>
          <w:sz w:val="20"/>
        </w:rPr>
      </w:pPr>
      <w:r>
        <w:rPr>
          <w:rFonts w:ascii="ARIAL" w:hAnsi="ARIAL"/>
          <w:b/>
          <w:sz w:val="20"/>
        </w:rPr>
        <w:t xml:space="preserve">Section 83(b) Considerations </w:t>
      </w:r>
    </w:p>
    <w:p>
      <w:pPr>
        <w:pStyle w:val="TextBody"/>
        <w:spacing w:before="240" w:after="0"/>
        <w:jc w:val="left"/>
        <w:rPr>
          <w:rFonts w:ascii="ARIAL" w:hAnsi="ARIAL"/>
          <w:sz w:val="20"/>
        </w:rPr>
      </w:pPr>
      <w:r>
        <w:rPr>
          <w:rFonts w:ascii="ARIAL" w:hAnsi="ARIAL"/>
          <w:sz w:val="20"/>
        </w:rPr>
        <w:t xml:space="preserve">Pursuant to Section 83(b) of the IRC, a participant may elect (a “Section 83(b) Election”) to recognize taxable ordinary income at the time of receipt of an award of restricted shares (including as a performance award) in an amount equal to the fair market value of the shares of Common Stock subject to the award, less the amount paid (if any) for such shares. A Section 83(b) Election must be made no later than 30 days following the grant of the award to which it relates. If a Section 83(b) Election is made in a timely manner, the grantee will not recognize any additional income when the award to which such election relates becomes vested and transferable. A Section 83(b) Election may be disadvantageous, however, if the shares of Common Stock to which the election relates decreases in value following their grant or if the grantee ultimately forfeits such shares. </w:t>
      </w:r>
    </w:p>
    <w:p>
      <w:pPr>
        <w:pStyle w:val="TextBody"/>
        <w:spacing w:before="240" w:after="0"/>
        <w:jc w:val="left"/>
        <w:rPr>
          <w:rFonts w:ascii="ARIAL" w:hAnsi="ARIAL"/>
          <w:b/>
          <w:sz w:val="20"/>
        </w:rPr>
      </w:pPr>
      <w:r>
        <w:rPr>
          <w:rFonts w:ascii="ARIAL" w:hAnsi="ARIAL"/>
          <w:b/>
          <w:sz w:val="20"/>
        </w:rPr>
        <w:t xml:space="preserve">Section 162(m) </w:t>
      </w:r>
    </w:p>
    <w:p>
      <w:pPr>
        <w:pStyle w:val="TextBody"/>
        <w:spacing w:before="240" w:after="0"/>
        <w:jc w:val="left"/>
        <w:rPr>
          <w:rFonts w:ascii="ARIAL" w:hAnsi="ARIAL"/>
          <w:sz w:val="20"/>
        </w:rPr>
      </w:pPr>
      <w:r>
        <w:rPr>
          <w:rFonts w:ascii="ARIAL" w:hAnsi="ARIAL"/>
          <w:sz w:val="20"/>
        </w:rPr>
        <w:t xml:space="preserve">For a discussion of the tax consequences applicable to us in connection with executive compensation pursuant to Section 162(m) of the IRC, see “Compensation Discussion and Analysis – Tax Considerations” above. </w:t>
      </w:r>
    </w:p>
    <w:p>
      <w:pPr>
        <w:pStyle w:val="TextBody"/>
        <w:spacing w:before="240" w:after="0"/>
        <w:jc w:val="left"/>
        <w:rPr>
          <w:rFonts w:ascii="ARIAL" w:hAnsi="ARIAL"/>
          <w:b/>
          <w:sz w:val="20"/>
        </w:rPr>
      </w:pPr>
      <w:r>
        <w:rPr>
          <w:rFonts w:ascii="ARIAL" w:hAnsi="ARIAL"/>
          <w:b/>
          <w:sz w:val="20"/>
        </w:rPr>
        <w:t xml:space="preserve">New Plan Benefits </w:t>
      </w:r>
    </w:p>
    <w:p>
      <w:pPr>
        <w:pStyle w:val="TextBody"/>
        <w:spacing w:before="240" w:after="0"/>
        <w:jc w:val="left"/>
        <w:rPr>
          <w:rFonts w:ascii="ARIAL" w:hAnsi="ARIAL"/>
          <w:sz w:val="20"/>
        </w:rPr>
      </w:pPr>
      <w:r>
        <w:rPr>
          <w:rFonts w:ascii="ARIAL" w:hAnsi="ARIAL"/>
          <w:sz w:val="20"/>
        </w:rPr>
        <w:t xml:space="preserve">The Amended and Restated 2009 Plan does not provide for set benefits or amounts of awards and we have not approved any awards that are conditioned on stockholder approval of the Amended and Restated 2009 Plan. Rather, the terms and number of awards to be granted under the Amended and Restated 2009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95 </w:t>
      </w:r>
      <w:r>
        <w:br w:type="page"/>
      </w:r>
    </w:p>
    <w:p>
      <w:pPr>
        <w:pStyle w:val="HorizontalLine"/>
        <w:rPr/>
      </w:pPr>
      <w:r>
        <w:rPr/>
      </w:r>
    </w:p>
    <w:p>
      <w:pPr>
        <w:pStyle w:val="TextBody"/>
        <w:spacing w:before="0" w:after="0"/>
        <w:jc w:val="left"/>
        <w:rPr>
          <w:rFonts w:ascii="ARIAL" w:hAnsi="ARIAL"/>
          <w:sz w:val="20"/>
        </w:rPr>
      </w:pPr>
      <w:r>
        <w:rPr>
          <w:rFonts w:ascii="ARIAL" w:hAnsi="ARIAL"/>
          <w:sz w:val="20"/>
        </w:rPr>
        <w:t xml:space="preserve">Plan following any stockholder approval of the Amended and Restated 2009 Plan are to be determined at the discretion of the Compensation Committee and/or the Board. Since no such determination regarding awards to be made under the Amended and Restated 2009 Plan have been made, the benefits that will be awarded under the Amended and Restated 2009 Plan are not currently determinable. </w:t>
      </w:r>
    </w:p>
    <w:p>
      <w:pPr>
        <w:pStyle w:val="TextBody"/>
        <w:spacing w:before="240" w:after="0"/>
        <w:jc w:val="left"/>
        <w:rPr>
          <w:rFonts w:ascii="ARIAL" w:hAnsi="ARIAL"/>
          <w:b/>
          <w:sz w:val="20"/>
        </w:rPr>
      </w:pPr>
      <w:r>
        <w:rPr>
          <w:rFonts w:ascii="ARIAL" w:hAnsi="ARIAL"/>
          <w:b/>
          <w:sz w:val="20"/>
        </w:rPr>
        <w:t xml:space="preserve">Equity Compensation Plan Information </w:t>
      </w:r>
    </w:p>
    <w:p>
      <w:pPr>
        <w:pStyle w:val="TextBody"/>
        <w:spacing w:before="240" w:after="0"/>
        <w:jc w:val="left"/>
        <w:rPr>
          <w:rFonts w:ascii="ARIAL" w:hAnsi="ARIAL"/>
          <w:sz w:val="20"/>
        </w:rPr>
      </w:pPr>
      <w:r>
        <w:rPr>
          <w:rFonts w:ascii="ARIAL" w:hAnsi="ARIAL"/>
          <w:sz w:val="20"/>
        </w:rPr>
        <w:t xml:space="preserve">The following table includes information with respect to our equity compensation plans (and any individual compensation arrangements under which our equity securities are authorized for issuance to employees or non-employees) as of December 31, 2022 (which does not take into account the 2023 Annual Equity Grants).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882"/>
        <w:gridCol w:w="60"/>
        <w:gridCol w:w="137"/>
        <w:gridCol w:w="2238"/>
        <w:gridCol w:w="60"/>
        <w:gridCol w:w="60"/>
        <w:gridCol w:w="565"/>
        <w:gridCol w:w="1781"/>
        <w:gridCol w:w="60"/>
        <w:gridCol w:w="60"/>
        <w:gridCol w:w="128"/>
        <w:gridCol w:w="2097"/>
        <w:gridCol w:w="77"/>
      </w:tblGrid>
      <w:tr>
        <w:trPr/>
        <w:tc>
          <w:tcPr>
            <w:tcW w:w="288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22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65" w:type="dxa"/>
            <w:tcBorders/>
            <w:shd w:fill="auto" w:val="clear"/>
            <w:vAlign w:val="center"/>
          </w:tcPr>
          <w:p>
            <w:pPr>
              <w:pStyle w:val="TableContents"/>
              <w:spacing w:before="0" w:after="283"/>
              <w:rPr>
                <w:sz w:val="4"/>
                <w:szCs w:val="4"/>
              </w:rPr>
            </w:pPr>
            <w:r>
              <w:rPr>
                <w:sz w:val="4"/>
                <w:szCs w:val="4"/>
              </w:rPr>
            </w:r>
          </w:p>
        </w:tc>
        <w:tc>
          <w:tcPr>
            <w:tcW w:w="178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2097" w:type="dxa"/>
            <w:tcBorders/>
            <w:shd w:fill="auto" w:val="clear"/>
            <w:vAlign w:val="center"/>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283"/>
              <w:rPr>
                <w:sz w:val="4"/>
                <w:szCs w:val="4"/>
              </w:rPr>
            </w:pPr>
            <w:r>
              <w:rPr>
                <w:sz w:val="4"/>
                <w:szCs w:val="4"/>
              </w:rPr>
            </w:r>
          </w:p>
        </w:tc>
      </w:tr>
      <w:tr>
        <w:trPr/>
        <w:tc>
          <w:tcPr>
            <w:tcW w:w="2882"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75" w:type="dxa"/>
            <w:gridSpan w:val="2"/>
            <w:tcBorders>
              <w:bottom w:val="single" w:sz="2" w:space="0" w:color="000000"/>
            </w:tcBorders>
            <w:shd w:fill="auto" w:val="clear"/>
            <w:tcMar>
              <w:bottom w:w="28" w:type="dxa"/>
            </w:tcMar>
            <w:vAlign w:val="center"/>
          </w:tcPr>
          <w:p>
            <w:pPr>
              <w:pStyle w:val="TableContents"/>
              <w:spacing w:before="0" w:after="283"/>
              <w:jc w:val="center"/>
              <w:rPr>
                <w:b/>
              </w:rPr>
            </w:pPr>
            <w:r>
              <w:rPr>
                <w:b/>
              </w:rPr>
              <w:t>Number of securities to</w:t>
              <w:br/>
              <w:t>be issued upon</w:t>
              <w:br/>
              <w:t>exercise of outstanding</w:t>
              <w:br/>
              <w:t>options, warrants and</w:t>
              <w:br/>
              <w:t>rights (a) (1)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46" w:type="dxa"/>
            <w:gridSpan w:val="2"/>
            <w:tcBorders>
              <w:bottom w:val="single" w:sz="2" w:space="0" w:color="000000"/>
            </w:tcBorders>
            <w:shd w:fill="auto" w:val="clear"/>
            <w:tcMar>
              <w:bottom w:w="28" w:type="dxa"/>
            </w:tcMar>
            <w:vAlign w:val="center"/>
          </w:tcPr>
          <w:p>
            <w:pPr>
              <w:pStyle w:val="TableContents"/>
              <w:spacing w:before="0" w:after="283"/>
              <w:jc w:val="center"/>
              <w:rPr>
                <w:b/>
              </w:rPr>
            </w:pPr>
            <w:r>
              <w:rPr>
                <w:b/>
              </w:rPr>
              <w:t>Weighted average</w:t>
              <w:br/>
              <w:t>exercise price of</w:t>
              <w:br/>
              <w:t>outstanding options</w:t>
              <w:br/>
              <w:t>warrants and rights (b)</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225" w:type="dxa"/>
            <w:gridSpan w:val="2"/>
            <w:tcBorders>
              <w:bottom w:val="single" w:sz="2" w:space="0" w:color="000000"/>
            </w:tcBorders>
            <w:shd w:fill="auto" w:val="clear"/>
            <w:tcMar>
              <w:bottom w:w="28" w:type="dxa"/>
            </w:tcMar>
            <w:vAlign w:val="center"/>
          </w:tcPr>
          <w:p>
            <w:pPr>
              <w:pStyle w:val="TableContents"/>
              <w:spacing w:before="0" w:after="283"/>
              <w:jc w:val="center"/>
              <w:rPr>
                <w:b/>
              </w:rPr>
            </w:pPr>
            <w:r>
              <w:rPr>
                <w:b/>
              </w:rPr>
              <w:t>Number of Securities</w:t>
              <w:br/>
              <w:t>available for future</w:t>
              <w:br/>
              <w:t>issuance under equity</w:t>
              <w:br/>
              <w:t>compensations plans</w:t>
              <w:br/>
              <w:t>(excluding securities</w:t>
              <w:br/>
              <w:t>reflected in</w:t>
              <w:br/>
              <w:t>column (a)) (c) (2)</w:t>
            </w:r>
          </w:p>
        </w:tc>
        <w:tc>
          <w:tcPr>
            <w:tcW w:w="77" w:type="dxa"/>
            <w:tcBorders/>
            <w:shd w:fill="auto" w:val="clear"/>
            <w:vAlign w:val="center"/>
          </w:tcPr>
          <w:p>
            <w:pPr>
              <w:pStyle w:val="TableContents"/>
              <w:spacing w:before="0" w:after="283"/>
              <w:rPr/>
            </w:pPr>
            <w:r>
              <w:rPr/>
              <w:t> </w:t>
            </w:r>
          </w:p>
        </w:tc>
      </w:tr>
      <w:tr>
        <w:trPr/>
        <w:tc>
          <w:tcPr>
            <w:tcW w:w="288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37" w:type="dxa"/>
            <w:tcBorders/>
            <w:shd w:fill="auto" w:val="clear"/>
            <w:vAlign w:val="center"/>
          </w:tcPr>
          <w:p>
            <w:pPr>
              <w:pStyle w:val="TableContents"/>
              <w:spacing w:before="0" w:after="283"/>
              <w:rPr>
                <w:sz w:val="4"/>
                <w:szCs w:val="4"/>
              </w:rPr>
            </w:pPr>
            <w:r>
              <w:rPr>
                <w:sz w:val="4"/>
                <w:szCs w:val="4"/>
              </w:rPr>
            </w:r>
          </w:p>
        </w:tc>
        <w:tc>
          <w:tcPr>
            <w:tcW w:w="22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565" w:type="dxa"/>
            <w:tcBorders/>
            <w:shd w:fill="auto" w:val="clear"/>
            <w:vAlign w:val="center"/>
          </w:tcPr>
          <w:p>
            <w:pPr>
              <w:pStyle w:val="TableContents"/>
              <w:spacing w:before="0" w:after="283"/>
              <w:rPr>
                <w:sz w:val="4"/>
                <w:szCs w:val="4"/>
              </w:rPr>
            </w:pPr>
            <w:r>
              <w:rPr>
                <w:sz w:val="4"/>
                <w:szCs w:val="4"/>
              </w:rPr>
            </w:r>
          </w:p>
        </w:tc>
        <w:tc>
          <w:tcPr>
            <w:tcW w:w="178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28" w:type="dxa"/>
            <w:tcBorders/>
            <w:shd w:fill="auto" w:val="clear"/>
            <w:vAlign w:val="center"/>
          </w:tcPr>
          <w:p>
            <w:pPr>
              <w:pStyle w:val="TableContents"/>
              <w:spacing w:before="0" w:after="283"/>
              <w:rPr>
                <w:sz w:val="4"/>
                <w:szCs w:val="4"/>
              </w:rPr>
            </w:pPr>
            <w:r>
              <w:rPr>
                <w:sz w:val="4"/>
                <w:szCs w:val="4"/>
              </w:rPr>
            </w:r>
          </w:p>
        </w:tc>
        <w:tc>
          <w:tcPr>
            <w:tcW w:w="2097" w:type="dxa"/>
            <w:tcBorders/>
            <w:shd w:fill="auto" w:val="clear"/>
            <w:vAlign w:val="center"/>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283"/>
              <w:rPr>
                <w:sz w:val="4"/>
                <w:szCs w:val="4"/>
              </w:rPr>
            </w:pPr>
            <w:r>
              <w:rPr>
                <w:sz w:val="4"/>
                <w:szCs w:val="4"/>
              </w:rPr>
            </w:r>
          </w:p>
        </w:tc>
      </w:tr>
      <w:tr>
        <w:trPr/>
        <w:tc>
          <w:tcPr>
            <w:tcW w:w="2882" w:type="dxa"/>
            <w:tcBorders/>
            <w:shd w:fill="CEE8F6" w:val="clear"/>
            <w:vAlign w:val="center"/>
          </w:tcPr>
          <w:p>
            <w:pPr>
              <w:pStyle w:val="TableContents"/>
              <w:spacing w:before="0" w:after="0"/>
              <w:rPr>
                <w:rFonts w:ascii="ARIAL" w:hAnsi="ARIAL"/>
                <w:sz w:val="18"/>
              </w:rPr>
            </w:pPr>
            <w:r>
              <w:rPr>
                <w:rFonts w:ascii="ARIAL" w:hAnsi="ARIAL"/>
                <w:sz w:val="18"/>
              </w:rPr>
              <w:t>Equity Compensation plans approved by security holders</w:t>
            </w:r>
          </w:p>
        </w:tc>
        <w:tc>
          <w:tcPr>
            <w:tcW w:w="60" w:type="dxa"/>
            <w:tcBorders/>
            <w:shd w:fill="CEE8F6" w:val="clear"/>
            <w:vAlign w:val="center"/>
          </w:tcPr>
          <w:p>
            <w:pPr>
              <w:pStyle w:val="TableContents"/>
              <w:spacing w:before="0" w:after="283"/>
              <w:rPr/>
            </w:pPr>
            <w:r>
              <w:rPr/>
              <w:t> </w:t>
            </w:r>
          </w:p>
        </w:tc>
        <w:tc>
          <w:tcPr>
            <w:tcW w:w="137" w:type="dxa"/>
            <w:tcBorders/>
            <w:shd w:fill="CEE8F6" w:val="clear"/>
            <w:vAlign w:val="center"/>
          </w:tcPr>
          <w:p>
            <w:pPr>
              <w:pStyle w:val="TableContents"/>
              <w:spacing w:before="0" w:after="283"/>
              <w:rPr/>
            </w:pPr>
            <w:r>
              <w:rPr/>
              <w:t> </w:t>
            </w:r>
          </w:p>
        </w:tc>
        <w:tc>
          <w:tcPr>
            <w:tcW w:w="2238" w:type="dxa"/>
            <w:tcBorders/>
            <w:shd w:fill="CEE8F6" w:val="clear"/>
            <w:vAlign w:val="center"/>
          </w:tcPr>
          <w:p>
            <w:pPr>
              <w:pStyle w:val="TableContents"/>
              <w:spacing w:before="0" w:after="283"/>
              <w:jc w:val="right"/>
              <w:rPr/>
            </w:pPr>
            <w:r>
              <w:rPr/>
              <w:t>2,831,751</w:t>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before="0" w:after="283"/>
              <w:rPr/>
            </w:pPr>
            <w:r>
              <w:rPr/>
              <w:t> </w:t>
            </w:r>
          </w:p>
        </w:tc>
        <w:tc>
          <w:tcPr>
            <w:tcW w:w="565" w:type="dxa"/>
            <w:tcBorders/>
            <w:shd w:fill="CEE8F6" w:val="clear"/>
            <w:vAlign w:val="center"/>
          </w:tcPr>
          <w:p>
            <w:pPr>
              <w:pStyle w:val="TableContents"/>
              <w:spacing w:before="0" w:after="283"/>
              <w:rPr/>
            </w:pPr>
            <w:r>
              <w:rPr/>
              <w:t>$</w:t>
            </w:r>
          </w:p>
        </w:tc>
        <w:tc>
          <w:tcPr>
            <w:tcW w:w="1781" w:type="dxa"/>
            <w:tcBorders/>
            <w:shd w:fill="CEE8F6" w:val="clear"/>
            <w:vAlign w:val="center"/>
          </w:tcPr>
          <w:p>
            <w:pPr>
              <w:pStyle w:val="TableContents"/>
              <w:spacing w:before="0" w:after="283"/>
              <w:jc w:val="right"/>
              <w:rPr/>
            </w:pPr>
            <w:r>
              <w:rPr/>
              <w:t>7.32</w:t>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before="0" w:after="283"/>
              <w:rPr/>
            </w:pPr>
            <w:r>
              <w:rPr/>
              <w:t> </w:t>
            </w:r>
          </w:p>
        </w:tc>
        <w:tc>
          <w:tcPr>
            <w:tcW w:w="128" w:type="dxa"/>
            <w:tcBorders/>
            <w:shd w:fill="CEE8F6" w:val="clear"/>
            <w:vAlign w:val="center"/>
          </w:tcPr>
          <w:p>
            <w:pPr>
              <w:pStyle w:val="TableContents"/>
              <w:spacing w:before="0" w:after="283"/>
              <w:rPr/>
            </w:pPr>
            <w:r>
              <w:rPr/>
              <w:t> </w:t>
            </w:r>
          </w:p>
        </w:tc>
        <w:tc>
          <w:tcPr>
            <w:tcW w:w="2097" w:type="dxa"/>
            <w:tcBorders/>
            <w:shd w:fill="CEE8F6" w:val="clear"/>
            <w:vAlign w:val="center"/>
          </w:tcPr>
          <w:p>
            <w:pPr>
              <w:pStyle w:val="TableContents"/>
              <w:spacing w:before="0" w:after="283"/>
              <w:jc w:val="right"/>
              <w:rPr/>
            </w:pPr>
            <w:r>
              <w:rPr/>
              <w:t>4,112,131</w:t>
            </w:r>
          </w:p>
        </w:tc>
        <w:tc>
          <w:tcPr>
            <w:tcW w:w="77" w:type="dxa"/>
            <w:tcBorders/>
            <w:shd w:fill="CEE8F6" w:val="clear"/>
            <w:vAlign w:val="center"/>
          </w:tcPr>
          <w:p>
            <w:pPr>
              <w:pStyle w:val="TableContents"/>
              <w:spacing w:before="0" w:after="283"/>
              <w:rPr/>
            </w:pPr>
            <w:r>
              <w:rPr/>
              <w:t> </w:t>
            </w:r>
          </w:p>
        </w:tc>
      </w:tr>
      <w:tr>
        <w:trPr/>
        <w:tc>
          <w:tcPr>
            <w:tcW w:w="2882" w:type="dxa"/>
            <w:tcBorders/>
            <w:shd w:fill="auto" w:val="clear"/>
            <w:vAlign w:val="center"/>
          </w:tcPr>
          <w:p>
            <w:pPr>
              <w:pStyle w:val="TableContents"/>
              <w:spacing w:before="0" w:after="0"/>
              <w:rPr>
                <w:rFonts w:ascii="ARIAL" w:hAnsi="ARIAL"/>
                <w:sz w:val="18"/>
              </w:rPr>
            </w:pPr>
            <w:r>
              <w:rPr>
                <w:rFonts w:ascii="ARIAL" w:hAnsi="ARIAL"/>
                <w:sz w:val="18"/>
              </w:rPr>
              <w:t>Equity Compensation plans not approved by security holders</w:t>
            </w:r>
          </w:p>
        </w:tc>
        <w:tc>
          <w:tcPr>
            <w:tcW w:w="60" w:type="dxa"/>
            <w:tcBorders/>
            <w:shd w:fill="auto" w:val="clear"/>
            <w:vAlign w:val="center"/>
          </w:tcPr>
          <w:p>
            <w:pPr>
              <w:pStyle w:val="TableContents"/>
              <w:spacing w:before="0" w:after="283"/>
              <w:rPr/>
            </w:pPr>
            <w:r>
              <w:rPr/>
              <w:t> </w:t>
            </w:r>
          </w:p>
        </w:tc>
        <w:tc>
          <w:tcPr>
            <w:tcW w:w="137" w:type="dxa"/>
            <w:tcBorders/>
            <w:shd w:fill="auto" w:val="clear"/>
            <w:vAlign w:val="center"/>
          </w:tcPr>
          <w:p>
            <w:pPr>
              <w:pStyle w:val="TableContents"/>
              <w:spacing w:before="0" w:after="283"/>
              <w:rPr/>
            </w:pPr>
            <w:r>
              <w:rPr/>
              <w:t> </w:t>
            </w:r>
          </w:p>
        </w:tc>
        <w:tc>
          <w:tcPr>
            <w:tcW w:w="2238"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5" w:type="dxa"/>
            <w:tcBorders/>
            <w:shd w:fill="auto" w:val="clear"/>
            <w:vAlign w:val="center"/>
          </w:tcPr>
          <w:p>
            <w:pPr>
              <w:pStyle w:val="TableContents"/>
              <w:spacing w:before="0" w:after="283"/>
              <w:rPr/>
            </w:pPr>
            <w:r>
              <w:rPr/>
              <w:t> </w:t>
            </w:r>
          </w:p>
        </w:tc>
        <w:tc>
          <w:tcPr>
            <w:tcW w:w="1781"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8" w:type="dxa"/>
            <w:tcBorders/>
            <w:shd w:fill="auto" w:val="clear"/>
            <w:vAlign w:val="center"/>
          </w:tcPr>
          <w:p>
            <w:pPr>
              <w:pStyle w:val="TableContents"/>
              <w:spacing w:before="0" w:after="283"/>
              <w:rPr/>
            </w:pPr>
            <w:r>
              <w:rPr/>
              <w:t> </w:t>
            </w:r>
          </w:p>
        </w:tc>
        <w:tc>
          <w:tcPr>
            <w:tcW w:w="2097" w:type="dxa"/>
            <w:tcBorders/>
            <w:shd w:fill="auto" w:val="clear"/>
            <w:vAlign w:val="center"/>
          </w:tcPr>
          <w:p>
            <w:pPr>
              <w:pStyle w:val="TableContents"/>
              <w:spacing w:before="0" w:after="283"/>
              <w:jc w:val="right"/>
              <w:rPr/>
            </w:pPr>
            <w:r>
              <w:rPr/>
              <w:t>-</w:t>
            </w:r>
          </w:p>
        </w:tc>
        <w:tc>
          <w:tcPr>
            <w:tcW w:w="77" w:type="dxa"/>
            <w:tcBorders/>
            <w:shd w:fill="auto" w:val="clear"/>
            <w:vAlign w:val="center"/>
          </w:tcPr>
          <w:p>
            <w:pPr>
              <w:pStyle w:val="TableContents"/>
              <w:spacing w:before="0" w:after="283"/>
              <w:rPr/>
            </w:pPr>
            <w:r>
              <w:rPr/>
              <w:t> </w:t>
            </w:r>
          </w:p>
        </w:tc>
      </w:tr>
      <w:tr>
        <w:trPr/>
        <w:tc>
          <w:tcPr>
            <w:tcW w:w="288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37" w:type="dxa"/>
            <w:tcBorders/>
            <w:shd w:fill="auto" w:val="clear"/>
            <w:vAlign w:val="center"/>
          </w:tcPr>
          <w:p>
            <w:pPr>
              <w:pStyle w:val="TableContents"/>
              <w:pBdr>
                <w:top w:val="single" w:sz="2" w:space="1" w:color="000000"/>
              </w:pBdr>
              <w:spacing w:before="0" w:after="0"/>
              <w:rPr/>
            </w:pPr>
            <w:r>
              <w:rPr/>
              <w:t> </w:t>
            </w:r>
          </w:p>
        </w:tc>
        <w:tc>
          <w:tcPr>
            <w:tcW w:w="2238" w:type="dxa"/>
            <w:tcBorders/>
            <w:shd w:fill="auto" w:val="clear"/>
            <w:vAlign w:val="center"/>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5" w:type="dxa"/>
            <w:tcBorders/>
            <w:shd w:fill="auto" w:val="clear"/>
            <w:vAlign w:val="center"/>
          </w:tcPr>
          <w:p>
            <w:pPr>
              <w:pStyle w:val="TableContents"/>
              <w:pBdr>
                <w:top w:val="single" w:sz="2" w:space="1" w:color="000000"/>
              </w:pBdr>
              <w:spacing w:before="0" w:after="0"/>
              <w:rPr/>
            </w:pPr>
            <w:r>
              <w:rPr/>
              <w:t> </w:t>
            </w:r>
          </w:p>
        </w:tc>
        <w:tc>
          <w:tcPr>
            <w:tcW w:w="1781" w:type="dxa"/>
            <w:tcBorders/>
            <w:shd w:fill="auto" w:val="clear"/>
            <w:vAlign w:val="center"/>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8" w:type="dxa"/>
            <w:tcBorders/>
            <w:shd w:fill="auto" w:val="clear"/>
            <w:vAlign w:val="center"/>
          </w:tcPr>
          <w:p>
            <w:pPr>
              <w:pStyle w:val="TableContents"/>
              <w:pBdr>
                <w:top w:val="single" w:sz="2" w:space="1" w:color="000000"/>
              </w:pBdr>
              <w:spacing w:before="0" w:after="0"/>
              <w:rPr/>
            </w:pPr>
            <w:r>
              <w:rPr/>
              <w:t> </w:t>
            </w:r>
          </w:p>
        </w:tc>
        <w:tc>
          <w:tcPr>
            <w:tcW w:w="2097" w:type="dxa"/>
            <w:tcBorders/>
            <w:shd w:fill="auto" w:val="clear"/>
            <w:vAlign w:val="center"/>
          </w:tcPr>
          <w:p>
            <w:pPr>
              <w:pStyle w:val="TableContents"/>
              <w:pBdr>
                <w:top w:val="single" w:sz="2" w:space="1" w:color="000000"/>
              </w:pBdr>
              <w:spacing w:before="0" w:after="0"/>
              <w:rPr/>
            </w:pPr>
            <w:r>
              <w:rPr/>
              <w:t> </w:t>
            </w:r>
          </w:p>
        </w:tc>
        <w:tc>
          <w:tcPr>
            <w:tcW w:w="77" w:type="dxa"/>
            <w:tcBorders/>
            <w:shd w:fill="auto" w:val="clear"/>
            <w:vAlign w:val="center"/>
          </w:tcPr>
          <w:p>
            <w:pPr>
              <w:pStyle w:val="TableContents"/>
              <w:spacing w:before="0" w:after="283"/>
              <w:rPr/>
            </w:pPr>
            <w:r>
              <w:rPr/>
              <w:t> </w:t>
            </w:r>
          </w:p>
        </w:tc>
      </w:tr>
      <w:tr>
        <w:trPr/>
        <w:tc>
          <w:tcPr>
            <w:tcW w:w="2882" w:type="dxa"/>
            <w:tcBorders/>
            <w:shd w:fill="CEE8F6" w:val="clear"/>
            <w:vAlign w:val="center"/>
          </w:tcPr>
          <w:p>
            <w:pPr>
              <w:pStyle w:val="TableContents"/>
              <w:spacing w:before="0" w:after="0"/>
              <w:rPr>
                <w:rFonts w:ascii="ARIAL" w:hAnsi="ARIAL"/>
                <w:sz w:val="18"/>
              </w:rPr>
            </w:pPr>
            <w:r>
              <w:rPr>
                <w:rFonts w:ascii="ARIAL" w:hAnsi="ARIAL"/>
                <w:sz w:val="18"/>
              </w:rPr>
              <w:t>Total</w:t>
            </w:r>
          </w:p>
        </w:tc>
        <w:tc>
          <w:tcPr>
            <w:tcW w:w="60" w:type="dxa"/>
            <w:tcBorders/>
            <w:shd w:fill="CEE8F6" w:val="clear"/>
            <w:vAlign w:val="center"/>
          </w:tcPr>
          <w:p>
            <w:pPr>
              <w:pStyle w:val="TableContents"/>
              <w:spacing w:before="0" w:after="283"/>
              <w:rPr/>
            </w:pPr>
            <w:r>
              <w:rPr/>
              <w:t> </w:t>
            </w:r>
          </w:p>
        </w:tc>
        <w:tc>
          <w:tcPr>
            <w:tcW w:w="137" w:type="dxa"/>
            <w:tcBorders/>
            <w:shd w:fill="CEE8F6" w:val="clear"/>
            <w:vAlign w:val="center"/>
          </w:tcPr>
          <w:p>
            <w:pPr>
              <w:pStyle w:val="TableContents"/>
              <w:spacing w:before="0" w:after="283"/>
              <w:rPr/>
            </w:pPr>
            <w:r>
              <w:rPr/>
              <w:t> </w:t>
            </w:r>
          </w:p>
        </w:tc>
        <w:tc>
          <w:tcPr>
            <w:tcW w:w="2238" w:type="dxa"/>
            <w:tcBorders/>
            <w:shd w:fill="CEE8F6" w:val="clear"/>
            <w:vAlign w:val="center"/>
          </w:tcPr>
          <w:p>
            <w:pPr>
              <w:pStyle w:val="TableContents"/>
              <w:spacing w:before="0" w:after="283"/>
              <w:jc w:val="right"/>
              <w:rPr/>
            </w:pPr>
            <w:r>
              <w:rPr/>
              <w:t>2,831,751</w:t>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before="0" w:after="283"/>
              <w:rPr/>
            </w:pPr>
            <w:r>
              <w:rPr/>
              <w:t> </w:t>
            </w:r>
          </w:p>
        </w:tc>
        <w:tc>
          <w:tcPr>
            <w:tcW w:w="565" w:type="dxa"/>
            <w:tcBorders/>
            <w:shd w:fill="CEE8F6" w:val="clear"/>
            <w:vAlign w:val="center"/>
          </w:tcPr>
          <w:p>
            <w:pPr>
              <w:pStyle w:val="TableContents"/>
              <w:spacing w:before="0" w:after="283"/>
              <w:rPr/>
            </w:pPr>
            <w:r>
              <w:rPr/>
              <w:t>$</w:t>
            </w:r>
          </w:p>
        </w:tc>
        <w:tc>
          <w:tcPr>
            <w:tcW w:w="1781" w:type="dxa"/>
            <w:tcBorders/>
            <w:shd w:fill="CEE8F6" w:val="clear"/>
            <w:vAlign w:val="center"/>
          </w:tcPr>
          <w:p>
            <w:pPr>
              <w:pStyle w:val="TableContents"/>
              <w:spacing w:before="0" w:after="283"/>
              <w:jc w:val="right"/>
              <w:rPr/>
            </w:pPr>
            <w:r>
              <w:rPr/>
              <w:t>7.32</w:t>
            </w:r>
          </w:p>
        </w:tc>
        <w:tc>
          <w:tcPr>
            <w:tcW w:w="60" w:type="dxa"/>
            <w:tcBorders/>
            <w:shd w:fill="CEE8F6" w:val="clear"/>
            <w:vAlign w:val="center"/>
          </w:tcPr>
          <w:p>
            <w:pPr>
              <w:pStyle w:val="TableContents"/>
              <w:spacing w:before="0" w:after="283"/>
              <w:rPr/>
            </w:pPr>
            <w:r>
              <w:rPr/>
              <w:t> </w:t>
            </w:r>
          </w:p>
        </w:tc>
        <w:tc>
          <w:tcPr>
            <w:tcW w:w="60" w:type="dxa"/>
            <w:tcBorders/>
            <w:shd w:fill="CEE8F6" w:val="clear"/>
            <w:vAlign w:val="center"/>
          </w:tcPr>
          <w:p>
            <w:pPr>
              <w:pStyle w:val="TableContents"/>
              <w:spacing w:before="0" w:after="283"/>
              <w:rPr/>
            </w:pPr>
            <w:r>
              <w:rPr/>
              <w:t> </w:t>
            </w:r>
          </w:p>
        </w:tc>
        <w:tc>
          <w:tcPr>
            <w:tcW w:w="128" w:type="dxa"/>
            <w:tcBorders/>
            <w:shd w:fill="CEE8F6" w:val="clear"/>
            <w:vAlign w:val="center"/>
          </w:tcPr>
          <w:p>
            <w:pPr>
              <w:pStyle w:val="TableContents"/>
              <w:spacing w:before="0" w:after="283"/>
              <w:rPr/>
            </w:pPr>
            <w:r>
              <w:rPr/>
              <w:t> </w:t>
            </w:r>
          </w:p>
        </w:tc>
        <w:tc>
          <w:tcPr>
            <w:tcW w:w="2097" w:type="dxa"/>
            <w:tcBorders/>
            <w:shd w:fill="CEE8F6" w:val="clear"/>
            <w:vAlign w:val="center"/>
          </w:tcPr>
          <w:p>
            <w:pPr>
              <w:pStyle w:val="TableContents"/>
              <w:spacing w:before="0" w:after="283"/>
              <w:jc w:val="right"/>
              <w:rPr/>
            </w:pPr>
            <w:r>
              <w:rPr/>
              <w:t>4,112,131</w:t>
            </w:r>
          </w:p>
        </w:tc>
        <w:tc>
          <w:tcPr>
            <w:tcW w:w="77" w:type="dxa"/>
            <w:tcBorders/>
            <w:shd w:fill="CEE8F6" w:val="clear"/>
            <w:vAlign w:val="center"/>
          </w:tcPr>
          <w:p>
            <w:pPr>
              <w:pStyle w:val="TableContents"/>
              <w:spacing w:before="0" w:after="283"/>
              <w:rPr/>
            </w:pPr>
            <w:r>
              <w:rPr/>
              <w:t> </w:t>
            </w:r>
          </w:p>
        </w:tc>
      </w:tr>
      <w:tr>
        <w:trPr/>
        <w:tc>
          <w:tcPr>
            <w:tcW w:w="288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37" w:type="dxa"/>
            <w:tcBorders/>
            <w:shd w:fill="auto" w:val="clear"/>
            <w:vAlign w:val="center"/>
          </w:tcPr>
          <w:p>
            <w:pPr>
              <w:pStyle w:val="TableContents"/>
              <w:pBdr>
                <w:top w:val="double" w:sz="6" w:space="1" w:color="000000"/>
              </w:pBdr>
              <w:spacing w:before="0" w:after="0"/>
              <w:rPr/>
            </w:pPr>
            <w:r>
              <w:rPr/>
              <w:t> </w:t>
            </w:r>
          </w:p>
        </w:tc>
        <w:tc>
          <w:tcPr>
            <w:tcW w:w="2238" w:type="dxa"/>
            <w:tcBorders/>
            <w:shd w:fill="auto" w:val="clear"/>
            <w:vAlign w:val="center"/>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5" w:type="dxa"/>
            <w:tcBorders/>
            <w:shd w:fill="auto" w:val="clear"/>
            <w:vAlign w:val="center"/>
          </w:tcPr>
          <w:p>
            <w:pPr>
              <w:pStyle w:val="TableContents"/>
              <w:pBdr>
                <w:top w:val="double" w:sz="6" w:space="1" w:color="000000"/>
              </w:pBdr>
              <w:spacing w:before="0" w:after="0"/>
              <w:rPr/>
            </w:pPr>
            <w:r>
              <w:rPr/>
              <w:t> </w:t>
            </w:r>
          </w:p>
        </w:tc>
        <w:tc>
          <w:tcPr>
            <w:tcW w:w="1781" w:type="dxa"/>
            <w:tcBorders/>
            <w:shd w:fill="auto" w:val="clear"/>
            <w:vAlign w:val="center"/>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8" w:type="dxa"/>
            <w:tcBorders/>
            <w:shd w:fill="auto" w:val="clear"/>
            <w:vAlign w:val="center"/>
          </w:tcPr>
          <w:p>
            <w:pPr>
              <w:pStyle w:val="TableContents"/>
              <w:pBdr>
                <w:top w:val="double" w:sz="6" w:space="1" w:color="000000"/>
              </w:pBdr>
              <w:spacing w:before="0" w:after="0"/>
              <w:rPr/>
            </w:pPr>
            <w:r>
              <w:rPr/>
              <w:t> </w:t>
            </w:r>
          </w:p>
        </w:tc>
        <w:tc>
          <w:tcPr>
            <w:tcW w:w="2097" w:type="dxa"/>
            <w:tcBorders/>
            <w:shd w:fill="auto" w:val="clear"/>
            <w:vAlign w:val="center"/>
          </w:tcPr>
          <w:p>
            <w:pPr>
              <w:pStyle w:val="TableContents"/>
              <w:pBdr>
                <w:top w:val="double" w:sz="6" w:space="1" w:color="000000"/>
              </w:pBdr>
              <w:spacing w:before="0" w:after="0"/>
              <w:rPr/>
            </w:pPr>
            <w:r>
              <w:rPr/>
              <w:t> </w:t>
            </w:r>
          </w:p>
        </w:tc>
        <w:tc>
          <w:tcPr>
            <w:tcW w:w="77" w:type="dxa"/>
            <w:tcBorders/>
            <w:shd w:fill="auto" w:val="clear"/>
            <w:vAlign w:val="center"/>
          </w:tcPr>
          <w:p>
            <w:pPr>
              <w:pStyle w:val="TableContents"/>
              <w:spacing w:before="0" w:after="283"/>
              <w:rPr/>
            </w:pPr>
            <w:r>
              <w:rPr/>
              <w:t> </w:t>
            </w:r>
          </w:p>
        </w:tc>
      </w:tr>
    </w:tbl>
    <w:p>
      <w:pPr>
        <w:pStyle w:val="TextBody"/>
        <w:pBdr>
          <w:bottom w:val="single" w:sz="2" w:space="1" w:color="000000"/>
        </w:pBdr>
        <w:spacing w:lineRule="atLeast" w:line="160" w:before="0" w:after="40"/>
        <w:jc w:val="left"/>
        <w:rPr/>
      </w:pPr>
      <w:r>
        <w:rPr/>
        <w:t> </w:t>
      </w:r>
    </w:p>
    <w:tbl>
      <w:tblPr>
        <w:tblW w:w="10205" w:type="dxa"/>
        <w:jc w:val="left"/>
        <w:tblInd w:w="0" w:type="dxa"/>
        <w:tblCellMar>
          <w:top w:w="0" w:type="dxa"/>
          <w:left w:w="0" w:type="dxa"/>
          <w:bottom w:w="0" w:type="dxa"/>
          <w:right w:w="0" w:type="dxa"/>
        </w:tblCellMar>
      </w:tblPr>
      <w:tblGrid>
        <w:gridCol w:w="287"/>
        <w:gridCol w:w="9918"/>
      </w:tblGrid>
      <w:tr>
        <w:trPr/>
        <w:tc>
          <w:tcPr>
            <w:tcW w:w="287" w:type="dxa"/>
            <w:tcBorders/>
            <w:shd w:fill="auto" w:val="clear"/>
            <w:vAlign w:val="center"/>
          </w:tcPr>
          <w:p>
            <w:pPr>
              <w:pStyle w:val="TableContents"/>
              <w:spacing w:before="0" w:after="283"/>
              <w:jc w:val="left"/>
              <w:rPr/>
            </w:pPr>
            <w:r>
              <w:rPr/>
              <w:t>(1)</w:t>
            </w:r>
          </w:p>
        </w:tc>
        <w:tc>
          <w:tcPr>
            <w:tcW w:w="9918" w:type="dxa"/>
            <w:tcBorders/>
            <w:shd w:fill="auto" w:val="clear"/>
            <w:vAlign w:val="center"/>
          </w:tcPr>
          <w:p>
            <w:pPr>
              <w:pStyle w:val="TableContents"/>
              <w:spacing w:before="0" w:after="0"/>
              <w:jc w:val="left"/>
              <w:rPr>
                <w:rFonts w:ascii="ARIAL" w:hAnsi="ARIAL"/>
                <w:sz w:val="20"/>
              </w:rPr>
            </w:pPr>
            <w:r>
              <w:rPr>
                <w:rFonts w:ascii="ARIAL" w:hAnsi="ARIAL"/>
                <w:sz w:val="20"/>
              </w:rPr>
              <w:t xml:space="preserve">Represents shares of our Common Stock that may be issued pursuant to stock options granted under the 2009 Plan as of December 31, 2022.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37"/>
        <w:gridCol w:w="9968"/>
      </w:tblGrid>
      <w:tr>
        <w:trPr/>
        <w:tc>
          <w:tcPr>
            <w:tcW w:w="237" w:type="dxa"/>
            <w:tcBorders/>
            <w:shd w:fill="auto" w:val="clear"/>
            <w:vAlign w:val="center"/>
          </w:tcPr>
          <w:p>
            <w:pPr>
              <w:pStyle w:val="TableContents"/>
              <w:spacing w:before="0" w:after="283"/>
              <w:jc w:val="left"/>
              <w:rPr/>
            </w:pPr>
            <w:r>
              <w:rPr/>
              <w:t>(2)</w:t>
            </w:r>
          </w:p>
        </w:tc>
        <w:tc>
          <w:tcPr>
            <w:tcW w:w="9968" w:type="dxa"/>
            <w:tcBorders/>
            <w:shd w:fill="auto" w:val="clear"/>
            <w:vAlign w:val="center"/>
          </w:tcPr>
          <w:p>
            <w:pPr>
              <w:pStyle w:val="TableContents"/>
              <w:spacing w:before="0" w:after="0"/>
              <w:jc w:val="left"/>
              <w:rPr>
                <w:rFonts w:ascii="ARIAL" w:hAnsi="ARIAL"/>
                <w:sz w:val="20"/>
              </w:rPr>
            </w:pPr>
            <w:r>
              <w:rPr>
                <w:rFonts w:ascii="ARIAL" w:hAnsi="ARIAL"/>
                <w:sz w:val="20"/>
              </w:rPr>
              <w:t xml:space="preserve">Represents shares of our Common Stock that may be issued pursuant to non-qualified stock options, incentive stock options, stock appreciation rights, restricted stock, performance units, performance-based shares and other share awards under the 2009 Plan. Prior to giving effect to the amendment and restatement contemplated by the Amended and Restated 2009 Plan, awards granted pursuant to the 2009 Plan as “full-value awards” (including restricted stock, restricted stock units, share-settled performance awards, and other share awards) reduce the number of shares available for grant under the 2009 Plan by 1.52 shares for each share subject to such award. In addition, in the event that the Amended and Restated 2009 Plan is approved by our stockholders, awards granted under the Amended and Restated 2009 Plan as full-value awards would reduce the number of shares available for grant under the Amended and Restated 2009 Plan by 1.20 shares for each share subject to such award. </w:t>
            </w:r>
          </w:p>
        </w:tc>
      </w:tr>
    </w:tbl>
    <w:p>
      <w:pPr>
        <w:pStyle w:val="TextBody"/>
        <w:spacing w:before="240" w:after="0"/>
        <w:jc w:val="left"/>
        <w:rPr>
          <w:rFonts w:ascii="ARIAL" w:hAnsi="ARIAL"/>
          <w:b/>
          <w:i/>
          <w:sz w:val="20"/>
        </w:rPr>
      </w:pPr>
      <w:r>
        <w:rPr>
          <w:rFonts w:ascii="ARIAL" w:hAnsi="ARIAL"/>
          <w:b/>
          <w:i/>
          <w:sz w:val="20"/>
        </w:rPr>
        <w:t xml:space="preserve">Required Vote </w:t>
      </w:r>
    </w:p>
    <w:p>
      <w:pPr>
        <w:pStyle w:val="TextBody"/>
        <w:spacing w:before="240" w:after="0"/>
        <w:jc w:val="left"/>
        <w:rPr>
          <w:rFonts w:ascii="ARIAL" w:hAnsi="ARIAL"/>
          <w:sz w:val="20"/>
        </w:rPr>
      </w:pPr>
      <w:r>
        <w:rPr>
          <w:rFonts w:ascii="ARIAL" w:hAnsi="ARIAL"/>
          <w:sz w:val="20"/>
        </w:rPr>
        <w:t xml:space="preserve">The affirmative vote of a majority of the shares of Common Stock entitled to vote and present in person or represented by proxy at the Meeting is necessary to approve the amendment and restatement of our 2009 Stock Option and Award Plan (as previously amended and restated), which was approved by the Board on March 22, 2023, subject to stockholder approval. Abstentions will be considered a vote against this proposal and broker non-votes will have no effect on such matter since these votes will not be considered present and entitled to vote for this purpose. </w:t>
      </w:r>
    </w:p>
    <w:p>
      <w:pPr>
        <w:pStyle w:val="TextBody"/>
        <w:spacing w:before="240" w:after="0"/>
        <w:jc w:val="left"/>
        <w:rPr>
          <w:rFonts w:ascii="ARIAL" w:hAnsi="ARIAL"/>
          <w:b/>
          <w:sz w:val="20"/>
        </w:rPr>
      </w:pPr>
      <w:r>
        <w:rPr>
          <w:rFonts w:ascii="ARIAL" w:hAnsi="ARIAL"/>
          <w:b/>
          <w:sz w:val="20"/>
        </w:rPr>
        <w:t xml:space="preserve">THE BOARD OF DIRECTORS RECOMMENDS THAT YOU VOTE “FOR” THE APPROVAL OF THE AMENDMENT AND RESTATEMENT OF THE COMMUNITY HEALTH SYSTEMS, INC. 2009 STOCK OPTION AND AWARD PLAN (AS PREVIOUSLY AMENDED AND RESTATED), WHICH WAS APPROVED BY THE BOARD ON MARCH 22, 2023 (SUBJECT TO STOCKHOLDER APPROVAL).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96 </w:t>
      </w:r>
      <w:r>
        <w:br w:type="page"/>
      </w:r>
    </w:p>
    <w:p>
      <w:pPr>
        <w:pStyle w:val="HorizontalLine"/>
        <w:rPr/>
      </w:pPr>
      <w:r>
        <w:rPr/>
      </w:r>
    </w:p>
    <w:p>
      <w:pPr>
        <w:pStyle w:val="TextBody"/>
        <w:spacing w:before="0" w:after="0"/>
        <w:jc w:val="left"/>
        <w:rPr>
          <w:rFonts w:ascii="ARIAL" w:hAnsi="ARIAL"/>
          <w:b/>
          <w:i/>
          <w:sz w:val="20"/>
        </w:rPr>
      </w:pPr>
      <w:bookmarkStart w:id="27" w:name="toc360141_24"/>
      <w:bookmarkEnd w:id="27"/>
      <w:r>
        <w:rPr>
          <w:rFonts w:ascii="ARIAL" w:hAnsi="ARIAL"/>
          <w:b/>
          <w:i/>
          <w:sz w:val="20"/>
        </w:rPr>
        <w:t xml:space="preserve">PROPOSAL 5 — RATIFICATION OF THE APPOINTMENT OF INDEPENDENT REGISTERED PUBLIC ACCOUNTING FIRM </w:t>
      </w:r>
    </w:p>
    <w:p>
      <w:pPr>
        <w:pStyle w:val="TextBody"/>
        <w:spacing w:before="240" w:after="0"/>
        <w:jc w:val="left"/>
        <w:rPr>
          <w:rFonts w:ascii="ARIAL" w:hAnsi="ARIAL"/>
          <w:sz w:val="20"/>
        </w:rPr>
      </w:pPr>
      <w:r>
        <w:rPr>
          <w:rFonts w:ascii="ARIAL" w:hAnsi="ARIAL"/>
          <w:sz w:val="20"/>
        </w:rPr>
        <w:t xml:space="preserve">The Board proposes that the stockholders ratify the appointment by the Board of Deloitte &amp; Touche LLP as our independent registered public accounting firm for the fiscal year ending December 31, 2023. A representative of Deloitte &amp; Touche LLP will be present at the Meeting and will be available to respond to appropriate questions submitted by stockholders at the Meeting. Deloitte &amp; Touche LLP will have the opportunity to make a statement if it desires to do so. </w:t>
      </w:r>
    </w:p>
    <w:p>
      <w:pPr>
        <w:pStyle w:val="TextBody"/>
        <w:spacing w:before="240" w:after="0"/>
        <w:jc w:val="left"/>
        <w:rPr>
          <w:rFonts w:ascii="ARIAL" w:hAnsi="ARIAL"/>
          <w:b/>
          <w:sz w:val="20"/>
        </w:rPr>
      </w:pPr>
      <w:r>
        <w:rPr>
          <w:rFonts w:ascii="ARIAL" w:hAnsi="ARIAL"/>
          <w:b/>
          <w:sz w:val="20"/>
        </w:rPr>
        <w:t xml:space="preserve">Fees Paid to Auditors </w:t>
      </w:r>
    </w:p>
    <w:p>
      <w:pPr>
        <w:pStyle w:val="TextBody"/>
        <w:spacing w:before="240" w:after="0"/>
        <w:jc w:val="left"/>
        <w:rPr>
          <w:rFonts w:ascii="ARIAL" w:hAnsi="ARIAL"/>
          <w:sz w:val="20"/>
        </w:rPr>
      </w:pPr>
      <w:r>
        <w:rPr>
          <w:rFonts w:ascii="ARIAL" w:hAnsi="ARIAL"/>
          <w:sz w:val="20"/>
        </w:rPr>
        <w:t xml:space="preserve">The following table summarizes the aggregate fees billed to the Company by Deloitte &amp; Touche LLP (in thousands): </w:t>
      </w:r>
    </w:p>
    <w:p>
      <w:pPr>
        <w:pStyle w:val="TextBody"/>
        <w:spacing w:before="0" w:after="0"/>
        <w:jc w:val="left"/>
        <w:rPr/>
      </w:pPr>
      <w:r>
        <w:rPr/>
        <w:t> </w:t>
      </w:r>
    </w:p>
    <w:tbl>
      <w:tblPr>
        <w:tblW w:w="5145" w:type="dxa"/>
        <w:jc w:val="left"/>
        <w:tblInd w:w="0" w:type="dxa"/>
        <w:tblCellMar>
          <w:top w:w="0" w:type="dxa"/>
          <w:left w:w="0" w:type="dxa"/>
          <w:bottom w:w="0" w:type="dxa"/>
          <w:right w:w="0" w:type="dxa"/>
        </w:tblCellMar>
      </w:tblPr>
      <w:tblGrid>
        <w:gridCol w:w="1850"/>
        <w:gridCol w:w="120"/>
        <w:gridCol w:w="157"/>
        <w:gridCol w:w="1303"/>
        <w:gridCol w:w="60"/>
        <w:gridCol w:w="120"/>
        <w:gridCol w:w="157"/>
        <w:gridCol w:w="1303"/>
        <w:gridCol w:w="75"/>
      </w:tblGrid>
      <w:tr>
        <w:trPr/>
        <w:tc>
          <w:tcPr>
            <w:tcW w:w="18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30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303"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85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60" w:type="dxa"/>
            <w:gridSpan w:val="2"/>
            <w:tcBorders>
              <w:bottom w:val="single" w:sz="8" w:space="0" w:color="000000"/>
            </w:tcBorders>
            <w:shd w:fill="auto" w:val="clear"/>
            <w:tcMar>
              <w:bottom w:w="28" w:type="dxa"/>
            </w:tcMar>
            <w:vAlign w:val="center"/>
          </w:tcPr>
          <w:p>
            <w:pPr>
              <w:pStyle w:val="TableContents"/>
              <w:spacing w:before="0" w:after="283"/>
              <w:jc w:val="center"/>
              <w:rPr/>
            </w:pPr>
            <w:r>
              <w:rPr/>
              <w:t>        </w:t>
            </w:r>
            <w:r>
              <w:rPr>
                <w:b/>
              </w:rPr>
              <w:t>2022        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60" w:type="dxa"/>
            <w:gridSpan w:val="2"/>
            <w:tcBorders>
              <w:bottom w:val="single" w:sz="8" w:space="0" w:color="000000"/>
            </w:tcBorders>
            <w:shd w:fill="auto" w:val="clear"/>
            <w:tcMar>
              <w:bottom w:w="28" w:type="dxa"/>
            </w:tcMar>
            <w:vAlign w:val="center"/>
          </w:tcPr>
          <w:p>
            <w:pPr>
              <w:pStyle w:val="TableContents"/>
              <w:spacing w:before="0" w:after="283"/>
              <w:jc w:val="center"/>
              <w:rPr/>
            </w:pPr>
            <w:r>
              <w:rPr/>
              <w:t>        </w:t>
            </w:r>
            <w:r>
              <w:rPr>
                <w:b/>
              </w:rPr>
              <w:t>2021        </w:t>
            </w:r>
          </w:p>
        </w:tc>
        <w:tc>
          <w:tcPr>
            <w:tcW w:w="75" w:type="dxa"/>
            <w:tcBorders/>
            <w:shd w:fill="auto" w:val="clear"/>
            <w:vAlign w:val="center"/>
          </w:tcPr>
          <w:p>
            <w:pPr>
              <w:pStyle w:val="TableContents"/>
              <w:spacing w:before="0" w:after="283"/>
              <w:rPr/>
            </w:pPr>
            <w:r>
              <w:rPr/>
              <w:t> </w:t>
            </w:r>
          </w:p>
        </w:tc>
      </w:tr>
      <w:tr>
        <w:trPr/>
        <w:tc>
          <w:tcPr>
            <w:tcW w:w="1850" w:type="dxa"/>
            <w:tcBorders/>
            <w:shd w:fill="auto" w:val="clear"/>
            <w:vAlign w:val="center"/>
          </w:tcPr>
          <w:p>
            <w:pPr>
              <w:pStyle w:val="TableContents"/>
              <w:spacing w:before="0" w:after="0"/>
              <w:rPr>
                <w:rFonts w:ascii="ARIAL" w:hAnsi="ARIAL"/>
                <w:sz w:val="20"/>
              </w:rPr>
            </w:pPr>
            <w:r>
              <w:rPr>
                <w:rFonts w:ascii="ARIAL" w:hAnsi="ARIAL"/>
                <w:sz w:val="20"/>
              </w:rPr>
              <w:t>Audit fees (a)</w:t>
            </w:r>
          </w:p>
        </w:tc>
        <w:tc>
          <w:tcPr>
            <w:tcW w:w="120" w:type="dxa"/>
            <w:tcBorders/>
            <w:shd w:fill="auto" w:val="clear"/>
            <w:vAlign w:val="center"/>
          </w:tcPr>
          <w:p>
            <w:pPr>
              <w:pStyle w:val="TableContents"/>
              <w:spacing w:before="0" w:after="283"/>
              <w:rPr/>
            </w:pPr>
            <w:r>
              <w:rPr/>
              <w:t>  </w:t>
            </w:r>
          </w:p>
        </w:tc>
        <w:tc>
          <w:tcPr>
            <w:tcW w:w="157" w:type="dxa"/>
            <w:tcBorders/>
            <w:shd w:fill="auto" w:val="clear"/>
            <w:vAlign w:val="center"/>
          </w:tcPr>
          <w:p>
            <w:pPr>
              <w:pStyle w:val="TableContents"/>
              <w:spacing w:before="0" w:after="283"/>
              <w:rPr/>
            </w:pPr>
            <w:r>
              <w:rPr/>
              <w:t>$</w:t>
            </w:r>
          </w:p>
        </w:tc>
        <w:tc>
          <w:tcPr>
            <w:tcW w:w="1303" w:type="dxa"/>
            <w:tcBorders/>
            <w:shd w:fill="auto" w:val="clear"/>
            <w:vAlign w:val="center"/>
          </w:tcPr>
          <w:p>
            <w:pPr>
              <w:pStyle w:val="TableContents"/>
              <w:spacing w:before="0" w:after="283"/>
              <w:jc w:val="right"/>
              <w:rPr/>
            </w:pPr>
            <w:r>
              <w:rPr/>
              <w:t>5,300  </w:t>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57" w:type="dxa"/>
            <w:tcBorders/>
            <w:shd w:fill="auto" w:val="clear"/>
            <w:vAlign w:val="center"/>
          </w:tcPr>
          <w:p>
            <w:pPr>
              <w:pStyle w:val="TableContents"/>
              <w:spacing w:before="0" w:after="283"/>
              <w:rPr/>
            </w:pPr>
            <w:r>
              <w:rPr/>
              <w:t>$</w:t>
            </w:r>
          </w:p>
        </w:tc>
        <w:tc>
          <w:tcPr>
            <w:tcW w:w="1303" w:type="dxa"/>
            <w:tcBorders/>
            <w:shd w:fill="auto" w:val="clear"/>
            <w:vAlign w:val="center"/>
          </w:tcPr>
          <w:p>
            <w:pPr>
              <w:pStyle w:val="TableContents"/>
              <w:spacing w:before="0" w:after="283"/>
              <w:jc w:val="right"/>
              <w:rPr/>
            </w:pPr>
            <w:r>
              <w:rPr/>
              <w:t>        </w:t>
            </w:r>
            <w:r>
              <w:rPr/>
              <w:t>5,075  </w:t>
            </w:r>
          </w:p>
        </w:tc>
        <w:tc>
          <w:tcPr>
            <w:tcW w:w="75" w:type="dxa"/>
            <w:tcBorders/>
            <w:shd w:fill="auto" w:val="clear"/>
            <w:vAlign w:val="center"/>
          </w:tcPr>
          <w:p>
            <w:pPr>
              <w:pStyle w:val="TableContents"/>
              <w:spacing w:before="0" w:after="283"/>
              <w:rPr>
                <w:sz w:val="4"/>
                <w:szCs w:val="4"/>
              </w:rPr>
            </w:pPr>
            <w:r>
              <w:rPr>
                <w:sz w:val="4"/>
                <w:szCs w:val="4"/>
              </w:rPr>
            </w:r>
          </w:p>
        </w:tc>
      </w:tr>
      <w:tr>
        <w:trPr/>
        <w:tc>
          <w:tcPr>
            <w:tcW w:w="1850" w:type="dxa"/>
            <w:tcBorders/>
            <w:shd w:fill="auto" w:val="clear"/>
            <w:vAlign w:val="center"/>
          </w:tcPr>
          <w:p>
            <w:pPr>
              <w:pStyle w:val="TableContents"/>
              <w:spacing w:before="0" w:after="0"/>
              <w:rPr>
                <w:rFonts w:ascii="ARIAL" w:hAnsi="ARIAL"/>
                <w:sz w:val="20"/>
              </w:rPr>
            </w:pPr>
            <w:r>
              <w:rPr>
                <w:rFonts w:ascii="ARIAL" w:hAnsi="ARIAL"/>
                <w:sz w:val="20"/>
              </w:rPr>
              <w:t>Audit-related fees (b)</w:t>
            </w:r>
          </w:p>
        </w:tc>
        <w:tc>
          <w:tcPr>
            <w:tcW w:w="120" w:type="dxa"/>
            <w:tcBorders/>
            <w:shd w:fill="auto" w:val="clear"/>
            <w:vAlign w:val="center"/>
          </w:tcPr>
          <w:p>
            <w:pPr>
              <w:pStyle w:val="TableContents"/>
              <w:spacing w:before="0" w:after="283"/>
              <w:rPr/>
            </w:pPr>
            <w:r>
              <w:rPr/>
              <w:t>  </w:t>
            </w:r>
          </w:p>
        </w:tc>
        <w:tc>
          <w:tcPr>
            <w:tcW w:w="157" w:type="dxa"/>
            <w:tcBorders/>
            <w:shd w:fill="auto" w:val="clear"/>
            <w:vAlign w:val="center"/>
          </w:tcPr>
          <w:p>
            <w:pPr>
              <w:pStyle w:val="TableContents"/>
              <w:spacing w:before="0" w:after="283"/>
              <w:rPr/>
            </w:pPr>
            <w:r>
              <w:rPr/>
              <w:t> </w:t>
            </w:r>
          </w:p>
        </w:tc>
        <w:tc>
          <w:tcPr>
            <w:tcW w:w="1303" w:type="dxa"/>
            <w:tcBorders/>
            <w:shd w:fill="auto" w:val="clear"/>
            <w:vAlign w:val="center"/>
          </w:tcPr>
          <w:p>
            <w:pPr>
              <w:pStyle w:val="TableContents"/>
              <w:spacing w:before="0" w:after="283"/>
              <w:jc w:val="right"/>
              <w:rPr/>
            </w:pPr>
            <w:r>
              <w:rPr/>
              <w:t>685  </w:t>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57" w:type="dxa"/>
            <w:tcBorders/>
            <w:shd w:fill="auto" w:val="clear"/>
            <w:vAlign w:val="center"/>
          </w:tcPr>
          <w:p>
            <w:pPr>
              <w:pStyle w:val="TableContents"/>
              <w:spacing w:before="0" w:after="283"/>
              <w:rPr/>
            </w:pPr>
            <w:r>
              <w:rPr/>
              <w:t> </w:t>
            </w:r>
          </w:p>
        </w:tc>
        <w:tc>
          <w:tcPr>
            <w:tcW w:w="1303" w:type="dxa"/>
            <w:tcBorders/>
            <w:shd w:fill="auto" w:val="clear"/>
            <w:vAlign w:val="center"/>
          </w:tcPr>
          <w:p>
            <w:pPr>
              <w:pStyle w:val="TableContents"/>
              <w:spacing w:before="0" w:after="283"/>
              <w:jc w:val="right"/>
              <w:rPr/>
            </w:pPr>
            <w:r>
              <w:rPr/>
              <w:t>864  </w:t>
            </w:r>
          </w:p>
        </w:tc>
        <w:tc>
          <w:tcPr>
            <w:tcW w:w="75" w:type="dxa"/>
            <w:tcBorders/>
            <w:shd w:fill="auto" w:val="clear"/>
            <w:vAlign w:val="center"/>
          </w:tcPr>
          <w:p>
            <w:pPr>
              <w:pStyle w:val="TableContents"/>
              <w:spacing w:before="0" w:after="283"/>
              <w:rPr>
                <w:sz w:val="4"/>
                <w:szCs w:val="4"/>
              </w:rPr>
            </w:pPr>
            <w:r>
              <w:rPr>
                <w:sz w:val="4"/>
                <w:szCs w:val="4"/>
              </w:rPr>
            </w:r>
          </w:p>
        </w:tc>
      </w:tr>
      <w:tr>
        <w:trPr/>
        <w:tc>
          <w:tcPr>
            <w:tcW w:w="1850" w:type="dxa"/>
            <w:tcBorders/>
            <w:shd w:fill="auto" w:val="clear"/>
            <w:vAlign w:val="center"/>
          </w:tcPr>
          <w:p>
            <w:pPr>
              <w:pStyle w:val="TableContents"/>
              <w:spacing w:before="0" w:after="0"/>
              <w:rPr>
                <w:rFonts w:ascii="ARIAL" w:hAnsi="ARIAL"/>
                <w:sz w:val="20"/>
              </w:rPr>
            </w:pPr>
            <w:r>
              <w:rPr>
                <w:rFonts w:ascii="ARIAL" w:hAnsi="ARIAL"/>
                <w:sz w:val="20"/>
              </w:rPr>
              <w:t>Tax fees (c)</w:t>
            </w:r>
          </w:p>
        </w:tc>
        <w:tc>
          <w:tcPr>
            <w:tcW w:w="120" w:type="dxa"/>
            <w:tcBorders/>
            <w:shd w:fill="auto" w:val="clear"/>
            <w:vAlign w:val="center"/>
          </w:tcPr>
          <w:p>
            <w:pPr>
              <w:pStyle w:val="TableContents"/>
              <w:spacing w:before="0" w:after="283"/>
              <w:rPr/>
            </w:pPr>
            <w:r>
              <w:rPr/>
              <w:t>  </w:t>
            </w:r>
          </w:p>
        </w:tc>
        <w:tc>
          <w:tcPr>
            <w:tcW w:w="157" w:type="dxa"/>
            <w:tcBorders/>
            <w:shd w:fill="auto" w:val="clear"/>
            <w:vAlign w:val="center"/>
          </w:tcPr>
          <w:p>
            <w:pPr>
              <w:pStyle w:val="TableContents"/>
              <w:spacing w:before="0" w:after="283"/>
              <w:rPr/>
            </w:pPr>
            <w:r>
              <w:rPr/>
              <w:t> </w:t>
            </w:r>
          </w:p>
        </w:tc>
        <w:tc>
          <w:tcPr>
            <w:tcW w:w="1303" w:type="dxa"/>
            <w:tcBorders/>
            <w:shd w:fill="auto" w:val="clear"/>
            <w:vAlign w:val="center"/>
          </w:tcPr>
          <w:p>
            <w:pPr>
              <w:pStyle w:val="TableContents"/>
              <w:spacing w:before="0" w:after="283"/>
              <w:jc w:val="right"/>
              <w:rPr/>
            </w:pPr>
            <w:r>
              <w:rPr/>
              <w:t>805  </w:t>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57" w:type="dxa"/>
            <w:tcBorders/>
            <w:shd w:fill="auto" w:val="clear"/>
            <w:vAlign w:val="center"/>
          </w:tcPr>
          <w:p>
            <w:pPr>
              <w:pStyle w:val="TableContents"/>
              <w:spacing w:before="0" w:after="283"/>
              <w:rPr/>
            </w:pPr>
            <w:r>
              <w:rPr/>
              <w:t> </w:t>
            </w:r>
          </w:p>
        </w:tc>
        <w:tc>
          <w:tcPr>
            <w:tcW w:w="1303" w:type="dxa"/>
            <w:tcBorders/>
            <w:shd w:fill="auto" w:val="clear"/>
            <w:vAlign w:val="center"/>
          </w:tcPr>
          <w:p>
            <w:pPr>
              <w:pStyle w:val="TableContents"/>
              <w:spacing w:before="0" w:after="283"/>
              <w:jc w:val="right"/>
              <w:rPr/>
            </w:pPr>
            <w:r>
              <w:rPr/>
              <w:t>1,329  </w:t>
            </w:r>
          </w:p>
        </w:tc>
        <w:tc>
          <w:tcPr>
            <w:tcW w:w="75" w:type="dxa"/>
            <w:tcBorders/>
            <w:shd w:fill="auto" w:val="clear"/>
            <w:vAlign w:val="center"/>
          </w:tcPr>
          <w:p>
            <w:pPr>
              <w:pStyle w:val="TableContents"/>
              <w:spacing w:before="0" w:after="283"/>
              <w:rPr>
                <w:sz w:val="4"/>
                <w:szCs w:val="4"/>
              </w:rPr>
            </w:pPr>
            <w:r>
              <w:rPr>
                <w:sz w:val="4"/>
                <w:szCs w:val="4"/>
              </w:rPr>
            </w:r>
          </w:p>
        </w:tc>
      </w:tr>
      <w:tr>
        <w:trPr/>
        <w:tc>
          <w:tcPr>
            <w:tcW w:w="1850" w:type="dxa"/>
            <w:tcBorders/>
            <w:shd w:fill="auto" w:val="clear"/>
            <w:vAlign w:val="center"/>
          </w:tcPr>
          <w:p>
            <w:pPr>
              <w:pStyle w:val="TableContents"/>
              <w:spacing w:before="0" w:after="0"/>
              <w:rPr>
                <w:rFonts w:ascii="ARIAL" w:hAnsi="ARIAL"/>
                <w:sz w:val="20"/>
              </w:rPr>
            </w:pPr>
            <w:r>
              <w:rPr>
                <w:rFonts w:ascii="ARIAL" w:hAnsi="ARIAL"/>
                <w:sz w:val="20"/>
              </w:rPr>
              <w:t>All other fees (d)</w:t>
            </w:r>
          </w:p>
        </w:tc>
        <w:tc>
          <w:tcPr>
            <w:tcW w:w="120" w:type="dxa"/>
            <w:tcBorders/>
            <w:shd w:fill="auto" w:val="clear"/>
            <w:vAlign w:val="center"/>
          </w:tcPr>
          <w:p>
            <w:pPr>
              <w:pStyle w:val="TableContents"/>
              <w:spacing w:before="0" w:after="283"/>
              <w:rPr/>
            </w:pPr>
            <w:r>
              <w:rPr/>
              <w:t>  </w:t>
            </w:r>
          </w:p>
        </w:tc>
        <w:tc>
          <w:tcPr>
            <w:tcW w:w="157" w:type="dxa"/>
            <w:tcBorders/>
            <w:shd w:fill="auto" w:val="clear"/>
            <w:vAlign w:val="center"/>
          </w:tcPr>
          <w:p>
            <w:pPr>
              <w:pStyle w:val="TableContents"/>
              <w:spacing w:before="0" w:after="283"/>
              <w:rPr/>
            </w:pPr>
            <w:r>
              <w:rPr/>
              <w:t> </w:t>
            </w:r>
          </w:p>
        </w:tc>
        <w:tc>
          <w:tcPr>
            <w:tcW w:w="1303" w:type="dxa"/>
            <w:tcBorders/>
            <w:shd w:fill="auto" w:val="clear"/>
            <w:vAlign w:val="center"/>
          </w:tcPr>
          <w:p>
            <w:pPr>
              <w:pStyle w:val="TableContents"/>
              <w:spacing w:before="0" w:after="283"/>
              <w:jc w:val="right"/>
              <w:rPr/>
            </w:pPr>
            <w:r>
              <w:rPr/>
              <w:t>4  </w:t>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57" w:type="dxa"/>
            <w:tcBorders/>
            <w:shd w:fill="auto" w:val="clear"/>
            <w:vAlign w:val="center"/>
          </w:tcPr>
          <w:p>
            <w:pPr>
              <w:pStyle w:val="TableContents"/>
              <w:spacing w:before="0" w:after="283"/>
              <w:rPr/>
            </w:pPr>
            <w:r>
              <w:rPr/>
              <w:t> </w:t>
            </w:r>
          </w:p>
        </w:tc>
        <w:tc>
          <w:tcPr>
            <w:tcW w:w="1303" w:type="dxa"/>
            <w:tcBorders/>
            <w:shd w:fill="auto" w:val="clear"/>
            <w:vAlign w:val="center"/>
          </w:tcPr>
          <w:p>
            <w:pPr>
              <w:pStyle w:val="TableContents"/>
              <w:spacing w:before="0" w:after="283"/>
              <w:jc w:val="right"/>
              <w:rPr/>
            </w:pPr>
            <w:r>
              <w:rPr/>
              <w:t>4  </w:t>
            </w:r>
          </w:p>
        </w:tc>
        <w:tc>
          <w:tcPr>
            <w:tcW w:w="75" w:type="dxa"/>
            <w:tcBorders/>
            <w:shd w:fill="auto" w:val="clear"/>
            <w:vAlign w:val="center"/>
          </w:tcPr>
          <w:p>
            <w:pPr>
              <w:pStyle w:val="TableContents"/>
              <w:spacing w:before="0" w:after="283"/>
              <w:rPr>
                <w:sz w:val="4"/>
                <w:szCs w:val="4"/>
              </w:rPr>
            </w:pPr>
            <w:r>
              <w:rPr>
                <w:sz w:val="4"/>
                <w:szCs w:val="4"/>
              </w:rPr>
            </w:r>
          </w:p>
        </w:tc>
      </w:tr>
      <w:tr>
        <w:trPr/>
        <w:tc>
          <w:tcPr>
            <w:tcW w:w="18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57" w:type="dxa"/>
            <w:tcBorders/>
            <w:shd w:fill="auto" w:val="clear"/>
            <w:vAlign w:val="center"/>
          </w:tcPr>
          <w:p>
            <w:pPr>
              <w:pStyle w:val="TableContents"/>
              <w:pBdr>
                <w:top w:val="single" w:sz="2" w:space="1" w:color="000000"/>
              </w:pBdr>
              <w:spacing w:before="0" w:after="0"/>
              <w:rPr/>
            </w:pPr>
            <w:r>
              <w:rPr/>
              <w:t> </w:t>
            </w:r>
          </w:p>
        </w:tc>
        <w:tc>
          <w:tcPr>
            <w:tcW w:w="1303" w:type="dxa"/>
            <w:tcBorders/>
            <w:shd w:fill="auto" w:val="clear"/>
            <w:vAlign w:val="center"/>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7" w:type="dxa"/>
            <w:tcBorders/>
            <w:shd w:fill="auto" w:val="clear"/>
            <w:vAlign w:val="center"/>
          </w:tcPr>
          <w:p>
            <w:pPr>
              <w:pStyle w:val="TableContents"/>
              <w:pBdr>
                <w:top w:val="single" w:sz="2" w:space="1" w:color="000000"/>
              </w:pBdr>
              <w:spacing w:before="0" w:after="0"/>
              <w:rPr/>
            </w:pPr>
            <w:r>
              <w:rPr/>
              <w:t> </w:t>
            </w:r>
          </w:p>
        </w:tc>
        <w:tc>
          <w:tcPr>
            <w:tcW w:w="1303" w:type="dxa"/>
            <w:tcBorders/>
            <w:shd w:fill="auto" w:val="clear"/>
            <w:vAlign w:val="center"/>
          </w:tcPr>
          <w:p>
            <w:pPr>
              <w:pStyle w:val="TableContents"/>
              <w:pBdr>
                <w:top w:val="single" w:sz="2" w:space="1" w:color="000000"/>
              </w:pBdr>
              <w:spacing w:before="0" w:after="0"/>
              <w:rPr/>
            </w:pPr>
            <w:r>
              <w:rPr/>
              <w:t> </w:t>
            </w:r>
          </w:p>
        </w:tc>
        <w:tc>
          <w:tcPr>
            <w:tcW w:w="75" w:type="dxa"/>
            <w:tcBorders/>
            <w:shd w:fill="auto" w:val="clear"/>
            <w:vAlign w:val="center"/>
          </w:tcPr>
          <w:p>
            <w:pPr>
              <w:pStyle w:val="TableContents"/>
              <w:spacing w:before="0" w:after="283"/>
              <w:rPr/>
            </w:pPr>
            <w:r>
              <w:rPr/>
              <w:t> </w:t>
            </w:r>
          </w:p>
        </w:tc>
      </w:tr>
      <w:tr>
        <w:trPr/>
        <w:tc>
          <w:tcPr>
            <w:tcW w:w="1850" w:type="dxa"/>
            <w:tcBorders/>
            <w:shd w:fill="auto" w:val="clear"/>
            <w:vAlign w:val="center"/>
          </w:tcPr>
          <w:p>
            <w:pPr>
              <w:pStyle w:val="TableContents"/>
              <w:spacing w:before="0" w:after="0"/>
              <w:rPr>
                <w:rFonts w:ascii="ARIAL" w:hAnsi="ARIAL"/>
                <w:sz w:val="20"/>
              </w:rPr>
            </w:pPr>
            <w:r>
              <w:rPr>
                <w:rFonts w:ascii="ARIAL" w:hAnsi="ARIAL"/>
                <w:sz w:val="20"/>
              </w:rPr>
              <w:t>Total</w:t>
            </w:r>
          </w:p>
        </w:tc>
        <w:tc>
          <w:tcPr>
            <w:tcW w:w="120" w:type="dxa"/>
            <w:tcBorders/>
            <w:shd w:fill="auto" w:val="clear"/>
            <w:vAlign w:val="center"/>
          </w:tcPr>
          <w:p>
            <w:pPr>
              <w:pStyle w:val="TableContents"/>
              <w:spacing w:before="0" w:after="283"/>
              <w:rPr/>
            </w:pPr>
            <w:r>
              <w:rPr/>
              <w:t>  </w:t>
            </w:r>
          </w:p>
        </w:tc>
        <w:tc>
          <w:tcPr>
            <w:tcW w:w="157" w:type="dxa"/>
            <w:tcBorders/>
            <w:shd w:fill="auto" w:val="clear"/>
            <w:vAlign w:val="center"/>
          </w:tcPr>
          <w:p>
            <w:pPr>
              <w:pStyle w:val="TableContents"/>
              <w:spacing w:before="0" w:after="283"/>
              <w:rPr/>
            </w:pPr>
            <w:r>
              <w:rPr/>
              <w:t>$</w:t>
            </w:r>
          </w:p>
        </w:tc>
        <w:tc>
          <w:tcPr>
            <w:tcW w:w="1303" w:type="dxa"/>
            <w:tcBorders/>
            <w:shd w:fill="auto" w:val="clear"/>
            <w:vAlign w:val="center"/>
          </w:tcPr>
          <w:p>
            <w:pPr>
              <w:pStyle w:val="TableContents"/>
              <w:spacing w:before="0" w:after="283"/>
              <w:jc w:val="right"/>
              <w:rPr/>
            </w:pPr>
            <w:r>
              <w:rPr/>
              <w:t>        </w:t>
            </w:r>
            <w:r>
              <w:rPr/>
              <w:t>6,794  </w:t>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57" w:type="dxa"/>
            <w:tcBorders/>
            <w:shd w:fill="auto" w:val="clear"/>
            <w:vAlign w:val="center"/>
          </w:tcPr>
          <w:p>
            <w:pPr>
              <w:pStyle w:val="TableContents"/>
              <w:spacing w:before="0" w:after="283"/>
              <w:rPr/>
            </w:pPr>
            <w:r>
              <w:rPr/>
              <w:t>$</w:t>
            </w:r>
          </w:p>
        </w:tc>
        <w:tc>
          <w:tcPr>
            <w:tcW w:w="1303" w:type="dxa"/>
            <w:tcBorders/>
            <w:shd w:fill="auto" w:val="clear"/>
            <w:vAlign w:val="center"/>
          </w:tcPr>
          <w:p>
            <w:pPr>
              <w:pStyle w:val="TableContents"/>
              <w:spacing w:before="0" w:after="283"/>
              <w:jc w:val="right"/>
              <w:rPr/>
            </w:pPr>
            <w:r>
              <w:rPr/>
              <w:t>7,272  </w:t>
            </w:r>
          </w:p>
        </w:tc>
        <w:tc>
          <w:tcPr>
            <w:tcW w:w="75" w:type="dxa"/>
            <w:tcBorders/>
            <w:shd w:fill="auto" w:val="clear"/>
            <w:vAlign w:val="center"/>
          </w:tcPr>
          <w:p>
            <w:pPr>
              <w:pStyle w:val="TableContents"/>
              <w:spacing w:before="0" w:after="283"/>
              <w:rPr>
                <w:sz w:val="4"/>
                <w:szCs w:val="4"/>
              </w:rPr>
            </w:pPr>
            <w:r>
              <w:rPr>
                <w:sz w:val="4"/>
                <w:szCs w:val="4"/>
              </w:rPr>
            </w:r>
          </w:p>
        </w:tc>
      </w:tr>
      <w:tr>
        <w:trPr/>
        <w:tc>
          <w:tcPr>
            <w:tcW w:w="18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57" w:type="dxa"/>
            <w:tcBorders/>
            <w:shd w:fill="auto" w:val="clear"/>
            <w:vAlign w:val="center"/>
          </w:tcPr>
          <w:p>
            <w:pPr>
              <w:pStyle w:val="TableContents"/>
              <w:pBdr>
                <w:top w:val="double" w:sz="6" w:space="1" w:color="000000"/>
              </w:pBdr>
              <w:spacing w:before="0" w:after="0"/>
              <w:rPr/>
            </w:pPr>
            <w:r>
              <w:rPr/>
              <w:t> </w:t>
            </w:r>
          </w:p>
        </w:tc>
        <w:tc>
          <w:tcPr>
            <w:tcW w:w="1303" w:type="dxa"/>
            <w:tcBorders/>
            <w:shd w:fill="auto" w:val="clear"/>
            <w:vAlign w:val="center"/>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7" w:type="dxa"/>
            <w:tcBorders/>
            <w:shd w:fill="auto" w:val="clear"/>
            <w:vAlign w:val="center"/>
          </w:tcPr>
          <w:p>
            <w:pPr>
              <w:pStyle w:val="TableContents"/>
              <w:pBdr>
                <w:top w:val="double" w:sz="6" w:space="1" w:color="000000"/>
              </w:pBdr>
              <w:spacing w:before="0" w:after="0"/>
              <w:rPr/>
            </w:pPr>
            <w:r>
              <w:rPr/>
              <w:t> </w:t>
            </w:r>
          </w:p>
        </w:tc>
        <w:tc>
          <w:tcPr>
            <w:tcW w:w="1303" w:type="dxa"/>
            <w:tcBorders/>
            <w:shd w:fill="auto" w:val="clear"/>
            <w:vAlign w:val="center"/>
          </w:tcPr>
          <w:p>
            <w:pPr>
              <w:pStyle w:val="TableContents"/>
              <w:pBdr>
                <w:top w:val="double" w:sz="6" w:space="1" w:color="000000"/>
              </w:pBdr>
              <w:spacing w:before="0" w:after="0"/>
              <w:rPr/>
            </w:pPr>
            <w:r>
              <w:rPr/>
              <w:t> </w:t>
            </w:r>
          </w:p>
        </w:tc>
        <w:tc>
          <w:tcPr>
            <w:tcW w:w="75" w:type="dxa"/>
            <w:tcBorders/>
            <w:shd w:fill="auto" w:val="clear"/>
            <w:vAlign w:val="center"/>
          </w:tcPr>
          <w:p>
            <w:pPr>
              <w:pStyle w:val="TableContents"/>
              <w:spacing w:before="0" w:after="283"/>
              <w:rPr/>
            </w:pPr>
            <w:r>
              <w:rPr/>
              <w: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245"/>
        <w:gridCol w:w="9885"/>
      </w:tblGrid>
      <w:tr>
        <w:trPr/>
        <w:tc>
          <w:tcPr>
            <w:tcW w:w="75"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jc w:val="left"/>
              <w:rPr/>
            </w:pPr>
            <w:r>
              <w:rPr/>
              <w:t>(a)</w:t>
            </w:r>
          </w:p>
        </w:tc>
        <w:tc>
          <w:tcPr>
            <w:tcW w:w="9885" w:type="dxa"/>
            <w:tcBorders/>
            <w:shd w:fill="auto" w:val="clear"/>
            <w:vAlign w:val="center"/>
          </w:tcPr>
          <w:p>
            <w:pPr>
              <w:pStyle w:val="TableContents"/>
              <w:spacing w:before="0" w:after="0"/>
              <w:jc w:val="left"/>
              <w:rPr>
                <w:rFonts w:ascii="ARIAL" w:hAnsi="ARIAL"/>
                <w:sz w:val="20"/>
              </w:rPr>
            </w:pPr>
            <w:r>
              <w:rPr>
                <w:rFonts w:ascii="ARIAL" w:hAnsi="ARIAL"/>
                <w:sz w:val="20"/>
              </w:rPr>
              <w:t xml:space="preserve">Audit fees include professional services for the integrated audits of our annual consolidated financial statements and the reviews of our quarterly consolidated financial statements. </w:t>
            </w:r>
          </w:p>
        </w:tc>
      </w:tr>
    </w:tbl>
    <w:p>
      <w:pPr>
        <w:pStyle w:val="TextBody"/>
        <w:spacing w:before="0" w:after="0"/>
        <w:jc w:val="left"/>
        <w:rPr/>
      </w:pPr>
      <w:r>
        <w:rPr/>
        <w:t> </w:t>
      </w:r>
    </w:p>
    <w:tbl>
      <w:tblPr>
        <w:tblW w:w="9400" w:type="dxa"/>
        <w:jc w:val="left"/>
        <w:tblInd w:w="0" w:type="dxa"/>
        <w:tblCellMar>
          <w:top w:w="0" w:type="dxa"/>
          <w:left w:w="0" w:type="dxa"/>
          <w:bottom w:w="0" w:type="dxa"/>
          <w:right w:w="0" w:type="dxa"/>
        </w:tblCellMar>
      </w:tblPr>
      <w:tblGrid>
        <w:gridCol w:w="75"/>
        <w:gridCol w:w="290"/>
        <w:gridCol w:w="9035"/>
      </w:tblGrid>
      <w:tr>
        <w:trPr/>
        <w:tc>
          <w:tcPr>
            <w:tcW w:w="75"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jc w:val="left"/>
              <w:rPr/>
            </w:pPr>
            <w:r>
              <w:rPr/>
              <w:t>(b)</w:t>
            </w:r>
          </w:p>
        </w:tc>
        <w:tc>
          <w:tcPr>
            <w:tcW w:w="9035" w:type="dxa"/>
            <w:tcBorders/>
            <w:shd w:fill="auto" w:val="clear"/>
            <w:vAlign w:val="center"/>
          </w:tcPr>
          <w:p>
            <w:pPr>
              <w:pStyle w:val="TableContents"/>
              <w:spacing w:before="0" w:after="0"/>
              <w:jc w:val="left"/>
              <w:rPr>
                <w:rFonts w:ascii="ARIAL" w:hAnsi="ARIAL"/>
                <w:sz w:val="20"/>
              </w:rPr>
            </w:pPr>
            <w:r>
              <w:rPr>
                <w:rFonts w:ascii="ARIAL" w:hAnsi="ARIAL"/>
                <w:sz w:val="20"/>
              </w:rPr>
              <w:t xml:space="preserve">Audit-related fees consists of fees paid principally in connection with services provided with respect to: </w:t>
            </w:r>
          </w:p>
        </w:tc>
      </w:tr>
    </w:tbl>
    <w:p>
      <w:pPr>
        <w:pStyle w:val="TextBody"/>
        <w:spacing w:before="0" w:after="0"/>
        <w:jc w:val="left"/>
        <w:rPr/>
      </w:pPr>
      <w:r>
        <w:rPr/>
        <w:t> </w:t>
      </w:r>
    </w:p>
    <w:tbl>
      <w:tblPr>
        <w:tblW w:w="3040" w:type="dxa"/>
        <w:jc w:val="left"/>
        <w:tblInd w:w="0" w:type="dxa"/>
        <w:tblCellMar>
          <w:top w:w="0" w:type="dxa"/>
          <w:left w:w="0" w:type="dxa"/>
          <w:bottom w:w="0" w:type="dxa"/>
          <w:right w:w="0" w:type="dxa"/>
        </w:tblCellMar>
      </w:tblPr>
      <w:tblGrid>
        <w:gridCol w:w="75"/>
        <w:gridCol w:w="110"/>
        <w:gridCol w:w="60"/>
        <w:gridCol w:w="279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795" w:type="dxa"/>
            <w:tcBorders/>
            <w:shd w:fill="auto" w:val="clear"/>
            <w:vAlign w:val="center"/>
          </w:tcPr>
          <w:p>
            <w:pPr>
              <w:pStyle w:val="TableContents"/>
              <w:spacing w:before="0" w:after="0"/>
              <w:jc w:val="left"/>
              <w:rPr>
                <w:rFonts w:ascii="ARIAL" w:hAnsi="ARIAL"/>
                <w:sz w:val="20"/>
              </w:rPr>
            </w:pPr>
            <w:r>
              <w:rPr>
                <w:rFonts w:ascii="ARIAL" w:hAnsi="ARIAL"/>
                <w:sz w:val="20"/>
              </w:rPr>
              <w:t xml:space="preserve">statutory and regulatory audits; </w:t>
            </w:r>
          </w:p>
        </w:tc>
      </w:tr>
    </w:tbl>
    <w:p>
      <w:pPr>
        <w:pStyle w:val="TextBody"/>
        <w:spacing w:before="0" w:after="0"/>
        <w:jc w:val="left"/>
        <w:rPr/>
      </w:pPr>
      <w:r>
        <w:rPr/>
        <w:t> </w:t>
      </w:r>
    </w:p>
    <w:tbl>
      <w:tblPr>
        <w:tblW w:w="7225" w:type="dxa"/>
        <w:jc w:val="left"/>
        <w:tblInd w:w="0" w:type="dxa"/>
        <w:tblCellMar>
          <w:top w:w="0" w:type="dxa"/>
          <w:left w:w="0" w:type="dxa"/>
          <w:bottom w:w="0" w:type="dxa"/>
          <w:right w:w="0" w:type="dxa"/>
        </w:tblCellMar>
      </w:tblPr>
      <w:tblGrid>
        <w:gridCol w:w="75"/>
        <w:gridCol w:w="110"/>
        <w:gridCol w:w="60"/>
        <w:gridCol w:w="698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980" w:type="dxa"/>
            <w:tcBorders/>
            <w:shd w:fill="auto" w:val="clear"/>
            <w:vAlign w:val="center"/>
          </w:tcPr>
          <w:p>
            <w:pPr>
              <w:pStyle w:val="TableContents"/>
              <w:spacing w:before="0" w:after="0"/>
              <w:jc w:val="left"/>
              <w:rPr>
                <w:rFonts w:ascii="ARIAL" w:hAnsi="ARIAL"/>
                <w:sz w:val="20"/>
              </w:rPr>
            </w:pPr>
            <w:r>
              <w:rPr>
                <w:rFonts w:ascii="ARIAL" w:hAnsi="ARIAL"/>
                <w:sz w:val="20"/>
              </w:rPr>
              <w:t xml:space="preserve">consents and procedures related to SEC filings and/or refinancing transactions; </w:t>
            </w:r>
          </w:p>
        </w:tc>
      </w:tr>
    </w:tbl>
    <w:p>
      <w:pPr>
        <w:pStyle w:val="TextBody"/>
        <w:spacing w:before="0" w:after="0"/>
        <w:jc w:val="left"/>
        <w:rPr/>
      </w:pPr>
      <w:r>
        <w:rPr/>
        <w:t> </w:t>
      </w:r>
    </w:p>
    <w:tbl>
      <w:tblPr>
        <w:tblW w:w="3715" w:type="dxa"/>
        <w:jc w:val="left"/>
        <w:tblInd w:w="0" w:type="dxa"/>
        <w:tblCellMar>
          <w:top w:w="0" w:type="dxa"/>
          <w:left w:w="0" w:type="dxa"/>
          <w:bottom w:w="0" w:type="dxa"/>
          <w:right w:w="0" w:type="dxa"/>
        </w:tblCellMar>
      </w:tblPr>
      <w:tblGrid>
        <w:gridCol w:w="75"/>
        <w:gridCol w:w="110"/>
        <w:gridCol w:w="60"/>
        <w:gridCol w:w="347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470" w:type="dxa"/>
            <w:tcBorders/>
            <w:shd w:fill="auto" w:val="clear"/>
            <w:vAlign w:val="center"/>
          </w:tcPr>
          <w:p>
            <w:pPr>
              <w:pStyle w:val="TableContents"/>
              <w:spacing w:before="0" w:after="0"/>
              <w:jc w:val="left"/>
              <w:rPr>
                <w:rFonts w:ascii="ARIAL" w:hAnsi="ARIAL"/>
                <w:sz w:val="20"/>
              </w:rPr>
            </w:pPr>
            <w:r>
              <w:rPr>
                <w:rFonts w:ascii="ARIAL" w:hAnsi="ARIAL"/>
                <w:sz w:val="20"/>
              </w:rPr>
              <w:t xml:space="preserve">agreed-upon procedures engagements. </w:t>
            </w:r>
          </w:p>
        </w:tc>
      </w:tr>
    </w:tbl>
    <w:p>
      <w:pPr>
        <w:pStyle w:val="TextBody"/>
        <w:spacing w:before="0" w:after="0"/>
        <w:jc w:val="left"/>
        <w:rPr/>
      </w:pPr>
      <w:r>
        <w:rPr/>
        <w:t> </w:t>
      </w:r>
    </w:p>
    <w:tbl>
      <w:tblPr>
        <w:tblW w:w="8260" w:type="dxa"/>
        <w:jc w:val="left"/>
        <w:tblInd w:w="0" w:type="dxa"/>
        <w:tblCellMar>
          <w:top w:w="0" w:type="dxa"/>
          <w:left w:w="0" w:type="dxa"/>
          <w:bottom w:w="0" w:type="dxa"/>
          <w:right w:w="0" w:type="dxa"/>
        </w:tblCellMar>
      </w:tblPr>
      <w:tblGrid>
        <w:gridCol w:w="75"/>
        <w:gridCol w:w="275"/>
        <w:gridCol w:w="7910"/>
      </w:tblGrid>
      <w:tr>
        <w:trPr/>
        <w:tc>
          <w:tcPr>
            <w:tcW w:w="75"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left"/>
              <w:rPr/>
            </w:pPr>
            <w:r>
              <w:rPr/>
              <w:t>(c)</w:t>
            </w:r>
          </w:p>
        </w:tc>
        <w:tc>
          <w:tcPr>
            <w:tcW w:w="7910" w:type="dxa"/>
            <w:tcBorders/>
            <w:shd w:fill="auto" w:val="clear"/>
            <w:vAlign w:val="center"/>
          </w:tcPr>
          <w:p>
            <w:pPr>
              <w:pStyle w:val="TableContents"/>
              <w:spacing w:before="0" w:after="0"/>
              <w:jc w:val="left"/>
              <w:rPr>
                <w:rFonts w:ascii="ARIAL" w:hAnsi="ARIAL"/>
                <w:sz w:val="20"/>
              </w:rPr>
            </w:pPr>
            <w:r>
              <w:rPr>
                <w:rFonts w:ascii="ARIAL" w:hAnsi="ARIAL"/>
                <w:sz w:val="20"/>
              </w:rPr>
              <w:t xml:space="preserve">Tax fees consist of professional services for tax compliance, tax advice and tax planning. </w:t>
            </w:r>
          </w:p>
        </w:tc>
      </w:tr>
    </w:tbl>
    <w:p>
      <w:pPr>
        <w:pStyle w:val="TextBody"/>
        <w:spacing w:before="0" w:after="0"/>
        <w:jc w:val="left"/>
        <w:rPr/>
      </w:pPr>
      <w:r>
        <w:rPr/>
        <w:t> </w:t>
      </w:r>
    </w:p>
    <w:tbl>
      <w:tblPr>
        <w:tblW w:w="8320" w:type="dxa"/>
        <w:jc w:val="left"/>
        <w:tblInd w:w="0" w:type="dxa"/>
        <w:tblCellMar>
          <w:top w:w="0" w:type="dxa"/>
          <w:left w:w="0" w:type="dxa"/>
          <w:bottom w:w="0" w:type="dxa"/>
          <w:right w:w="0" w:type="dxa"/>
        </w:tblCellMar>
      </w:tblPr>
      <w:tblGrid>
        <w:gridCol w:w="75"/>
        <w:gridCol w:w="290"/>
        <w:gridCol w:w="7955"/>
      </w:tblGrid>
      <w:tr>
        <w:trPr/>
        <w:tc>
          <w:tcPr>
            <w:tcW w:w="75"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jc w:val="left"/>
              <w:rPr/>
            </w:pPr>
            <w:r>
              <w:rPr/>
              <w:t>(d)</w:t>
            </w:r>
          </w:p>
        </w:tc>
        <w:tc>
          <w:tcPr>
            <w:tcW w:w="7955" w:type="dxa"/>
            <w:tcBorders/>
            <w:shd w:fill="auto" w:val="clear"/>
            <w:vAlign w:val="center"/>
          </w:tcPr>
          <w:p>
            <w:pPr>
              <w:pStyle w:val="TableContents"/>
              <w:spacing w:before="0" w:after="0"/>
              <w:jc w:val="left"/>
              <w:rPr>
                <w:rFonts w:ascii="ARIAL" w:hAnsi="ARIAL"/>
                <w:sz w:val="20"/>
              </w:rPr>
            </w:pPr>
            <w:r>
              <w:rPr>
                <w:rFonts w:ascii="ARIAL" w:hAnsi="ARIAL"/>
                <w:sz w:val="20"/>
              </w:rPr>
              <w:t xml:space="preserve">All other fees consist of products or consulting services other than those described above. </w:t>
            </w:r>
          </w:p>
        </w:tc>
      </w:tr>
    </w:tbl>
    <w:p>
      <w:pPr>
        <w:pStyle w:val="TextBody"/>
        <w:spacing w:before="240" w:after="0"/>
        <w:jc w:val="left"/>
        <w:rPr>
          <w:rFonts w:ascii="ARIAL" w:hAnsi="ARIAL"/>
          <w:sz w:val="20"/>
        </w:rPr>
      </w:pPr>
      <w:r>
        <w:rPr>
          <w:rFonts w:ascii="ARIAL" w:hAnsi="ARIAL"/>
          <w:sz w:val="20"/>
        </w:rPr>
        <w:t xml:space="preserve">The Audit and Compliance Committee considered the nature of the services provided by the independent registered public accounting firm, and determined that such services were compatible with the provision of independent audit services. The Audit and Compliance Committee discussed these services with the independent registered public accounting firm and Company management to determine that they were permitted under all applicable legal requirements concerning auditor independence, including the rules and regulations promulgated by the SEC to implement the Sarbanes-Oxley Act of 2002, as well as the rules and regulations of the American Institute of Certified Public Accountants. </w:t>
      </w:r>
    </w:p>
    <w:p>
      <w:pPr>
        <w:pStyle w:val="TextBody"/>
        <w:spacing w:before="240" w:after="0"/>
        <w:jc w:val="left"/>
        <w:rPr>
          <w:rFonts w:ascii="ARIAL" w:hAnsi="ARIAL"/>
          <w:b/>
          <w:sz w:val="20"/>
        </w:rPr>
      </w:pPr>
      <w:r>
        <w:rPr>
          <w:rFonts w:ascii="ARIAL" w:hAnsi="ARIAL"/>
          <w:b/>
          <w:sz w:val="20"/>
        </w:rPr>
        <w:t xml:space="preserve">Pre-Approval of Audit and Non-Audit Services </w:t>
      </w:r>
    </w:p>
    <w:p>
      <w:pPr>
        <w:pStyle w:val="TextBody"/>
        <w:spacing w:before="240" w:after="0"/>
        <w:jc w:val="left"/>
        <w:rPr>
          <w:rFonts w:ascii="ARIAL" w:hAnsi="ARIAL"/>
          <w:sz w:val="20"/>
        </w:rPr>
      </w:pPr>
      <w:r>
        <w:rPr>
          <w:rFonts w:ascii="ARIAL" w:hAnsi="ARIAL"/>
          <w:sz w:val="20"/>
        </w:rPr>
        <w:t xml:space="preserve">The Audit and Compliance Committee is directly responsible for the appointment, compensation, retention and oversight of the Company’s independent registered public accounting firm retained to perform audit services to be performed by our independent registered public accounting firm. All audit and non-audit services performed by the independent registered public accounting firm during 2022 were pre-approved by the Audit and Compliance Committee prior to the commencement of such services.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97 </w:t>
      </w:r>
      <w:r>
        <w:br w:type="page"/>
      </w:r>
    </w:p>
    <w:p>
      <w:pPr>
        <w:pStyle w:val="HorizontalLine"/>
        <w:rPr/>
      </w:pPr>
      <w:r>
        <w:rPr/>
      </w:r>
    </w:p>
    <w:p>
      <w:pPr>
        <w:pStyle w:val="TextBody"/>
        <w:spacing w:before="0" w:after="0"/>
        <w:jc w:val="left"/>
        <w:rPr>
          <w:rFonts w:ascii="ARIAL" w:hAnsi="ARIAL"/>
          <w:b/>
          <w:i/>
          <w:sz w:val="20"/>
        </w:rPr>
      </w:pPr>
      <w:r>
        <w:rPr>
          <w:rFonts w:ascii="ARIAL" w:hAnsi="ARIAL"/>
          <w:b/>
          <w:i/>
          <w:sz w:val="20"/>
        </w:rPr>
        <w:t xml:space="preserve">Required Vote </w:t>
      </w:r>
    </w:p>
    <w:p>
      <w:pPr>
        <w:pStyle w:val="TextBody"/>
        <w:spacing w:before="240" w:after="0"/>
        <w:jc w:val="left"/>
        <w:rPr>
          <w:rFonts w:ascii="ARIAL" w:hAnsi="ARIAL"/>
          <w:sz w:val="20"/>
        </w:rPr>
      </w:pPr>
      <w:r>
        <w:rPr>
          <w:rFonts w:ascii="ARIAL" w:hAnsi="ARIAL"/>
          <w:sz w:val="20"/>
        </w:rPr>
        <w:t xml:space="preserve">The Audit and Compliance Committee and the Board believe that the continued retention of Deloitte &amp; Touche LLP as our independent registered public accounting firm is in the best interests of the Company and its stockholders. Approval by the stockholders of the appointment of our independent registered public accounting firm is not required, but the Board believes that it is desirable to submit this matter to be ratified by the stockholders. If holders of a majority of the shares of Common Stock entitled to vote and present in person or represented by proxy at the Meeting do not ratify the appointment of Deloitte &amp; Touche LLP as our independent registered public accounting firm for the fiscal year ending December 31, 2023, the selection of our independent registered public accounting firm will be reconsidered by the Audit and Compliance Committee. Abstentions will have the same effect as a vote against this proposal. </w:t>
      </w:r>
    </w:p>
    <w:p>
      <w:pPr>
        <w:pStyle w:val="TextBody"/>
        <w:spacing w:before="240" w:after="0"/>
        <w:jc w:val="left"/>
        <w:rPr>
          <w:rFonts w:ascii="ARIAL" w:hAnsi="ARIAL"/>
          <w:b/>
          <w:sz w:val="20"/>
        </w:rPr>
      </w:pPr>
      <w:r>
        <w:rPr>
          <w:rFonts w:ascii="ARIAL" w:hAnsi="ARIAL"/>
          <w:b/>
          <w:sz w:val="20"/>
        </w:rPr>
        <w:t xml:space="preserve">THE BOARD OF DIRECTORS UNANIMOUSLY RECOMMENDS THAT YOU VOTE “FOR” THE RATIFICATION OF THE APPOINTMENT OF DELOITTE &amp; TOUCHE LLP AS OUR INDEPENDENT REGISTERED PUBLIC ACCOUNTING FIRM FOR THE FISCAL YEAR ENDING DECEMBER 31, 2023.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98 </w:t>
      </w:r>
      <w:r>
        <w:br w:type="page"/>
      </w:r>
    </w:p>
    <w:p>
      <w:pPr>
        <w:pStyle w:val="HorizontalLine"/>
        <w:rPr/>
      </w:pPr>
      <w:r>
        <w:rPr/>
      </w:r>
    </w:p>
    <w:p>
      <w:pPr>
        <w:pStyle w:val="TextBody"/>
        <w:spacing w:before="0" w:after="0"/>
        <w:jc w:val="center"/>
        <w:rPr>
          <w:rFonts w:ascii="ARIAL" w:hAnsi="ARIAL"/>
          <w:b/>
          <w:sz w:val="20"/>
          <w:u w:val="single"/>
        </w:rPr>
      </w:pPr>
      <w:bookmarkStart w:id="28" w:name="toc360141_25"/>
      <w:bookmarkEnd w:id="28"/>
      <w:r>
        <w:rPr>
          <w:rFonts w:ascii="ARIAL" w:hAnsi="ARIAL"/>
          <w:b/>
          <w:sz w:val="20"/>
          <w:u w:val="single"/>
        </w:rPr>
        <w:t xml:space="preserve">MISCELLANEOUS </w:t>
      </w:r>
    </w:p>
    <w:p>
      <w:pPr>
        <w:pStyle w:val="TextBody"/>
        <w:spacing w:before="240" w:after="0"/>
        <w:jc w:val="left"/>
        <w:rPr>
          <w:rFonts w:ascii="ARIAL" w:hAnsi="ARIAL"/>
          <w:sz w:val="20"/>
        </w:rPr>
      </w:pPr>
      <w:r>
        <w:rPr>
          <w:rFonts w:ascii="ARIAL" w:hAnsi="ARIAL"/>
          <w:sz w:val="20"/>
        </w:rPr>
        <w:t xml:space="preserve">As of the date of this Proxy Statement, the Board has not received notice of, and does not intend to propose, any other matters for stockholder action. However, if any other matters are properly brought before the Meeting, it is intended that the persons voting the accompanying proxy will vote the shares represented by the proxy in accordance with their best judgment. </w:t>
      </w:r>
    </w:p>
    <w:p>
      <w:pPr>
        <w:pStyle w:val="TextBody"/>
        <w:spacing w:before="0" w:after="0"/>
        <w:jc w:val="left"/>
        <w:rPr/>
      </w:pPr>
      <w:r>
        <w:rPr/>
        <w:t> </w:t>
      </w:r>
    </w:p>
    <w:tbl>
      <w:tblPr>
        <w:tblW w:w="4025" w:type="dxa"/>
        <w:jc w:val="left"/>
        <w:tblInd w:w="0" w:type="dxa"/>
        <w:tblCellMar>
          <w:top w:w="0" w:type="dxa"/>
          <w:left w:w="0" w:type="dxa"/>
          <w:bottom w:w="0" w:type="dxa"/>
          <w:right w:w="0" w:type="dxa"/>
        </w:tblCellMar>
      </w:tblPr>
      <w:tblGrid>
        <w:gridCol w:w="4025"/>
      </w:tblGrid>
      <w:tr>
        <w:trPr/>
        <w:tc>
          <w:tcPr>
            <w:tcW w:w="4025" w:type="dxa"/>
            <w:tcBorders/>
            <w:shd w:fill="auto" w:val="clear"/>
            <w:vAlign w:val="center"/>
          </w:tcPr>
          <w:p>
            <w:pPr>
              <w:pStyle w:val="TableContents"/>
              <w:spacing w:before="0" w:after="283"/>
              <w:rPr>
                <w:sz w:val="4"/>
                <w:szCs w:val="4"/>
              </w:rPr>
            </w:pPr>
            <w:r>
              <w:rPr>
                <w:sz w:val="4"/>
                <w:szCs w:val="4"/>
              </w:rPr>
            </w:r>
          </w:p>
        </w:tc>
      </w:tr>
      <w:tr>
        <w:trPr/>
        <w:tc>
          <w:tcPr>
            <w:tcW w:w="4025" w:type="dxa"/>
            <w:tcBorders/>
            <w:shd w:fill="auto" w:val="clear"/>
            <w:vAlign w:val="center"/>
          </w:tcPr>
          <w:p>
            <w:pPr>
              <w:pStyle w:val="TableContents"/>
              <w:spacing w:before="0" w:after="0"/>
              <w:rPr>
                <w:rFonts w:ascii="ARIAL" w:hAnsi="ARIAL"/>
                <w:sz w:val="20"/>
              </w:rPr>
            </w:pPr>
            <w:r>
              <w:rPr>
                <w:rFonts w:ascii="ARIAL" w:hAnsi="ARIAL"/>
                <w:sz w:val="20"/>
              </w:rPr>
              <w:t>By Order of the Board of Directors,</w:t>
            </w:r>
          </w:p>
          <w:p>
            <w:pPr>
              <w:pStyle w:val="TableContents"/>
              <w:spacing w:before="0" w:after="20"/>
              <w:rPr/>
            </w:pPr>
            <w:r>
              <w:rPr/>
              <w:t> </w:t>
            </w:r>
          </w:p>
        </w:tc>
      </w:tr>
      <w:tr>
        <w:trPr/>
        <w:tc>
          <w:tcPr>
            <w:tcW w:w="4025" w:type="dxa"/>
            <w:tcBorders/>
            <w:shd w:fill="auto" w:val="clear"/>
            <w:vAlign w:val="center"/>
          </w:tcPr>
          <w:p>
            <w:pPr>
              <w:pStyle w:val="TableContents"/>
              <w:spacing w:before="0" w:after="0"/>
              <w:rPr>
                <w:rFonts w:ascii="ARIAL" w:hAnsi="ARIAL"/>
                <w:sz w:val="20"/>
              </w:rPr>
            </w:pPr>
            <w:r>
              <w:rPr>
                <w:rFonts w:ascii="ARIAL" w:hAnsi="ARIAL"/>
                <w:sz w:val="20"/>
              </w:rPr>
              <w:t>Christopher G. Cobb</w:t>
            </w:r>
          </w:p>
        </w:tc>
      </w:tr>
      <w:tr>
        <w:trPr/>
        <w:tc>
          <w:tcPr>
            <w:tcW w:w="4025" w:type="dxa"/>
            <w:tcBorders/>
            <w:shd w:fill="auto" w:val="clear"/>
            <w:vAlign w:val="center"/>
          </w:tcPr>
          <w:p>
            <w:pPr>
              <w:pStyle w:val="TableContents"/>
              <w:spacing w:before="0" w:after="0"/>
              <w:rPr>
                <w:rFonts w:ascii="ARIAL" w:hAnsi="ARIAL"/>
                <w:sz w:val="20"/>
              </w:rPr>
            </w:pPr>
            <w:r>
              <w:rPr>
                <w:rFonts w:ascii="ARIAL" w:hAnsi="ARIAL"/>
                <w:sz w:val="20"/>
              </w:rPr>
              <w:t>Vice President-Legal and Corporate Secretary</w:t>
            </w:r>
          </w:p>
        </w:tc>
      </w:tr>
    </w:tbl>
    <w:p>
      <w:pPr>
        <w:pStyle w:val="TextBody"/>
        <w:spacing w:before="240" w:after="0"/>
        <w:jc w:val="left"/>
        <w:rPr>
          <w:rFonts w:ascii="ARIAL" w:hAnsi="ARIAL"/>
          <w:sz w:val="20"/>
        </w:rPr>
      </w:pPr>
      <w:r>
        <w:rPr>
          <w:rFonts w:ascii="ARIAL" w:hAnsi="ARIAL"/>
          <w:sz w:val="20"/>
        </w:rPr>
        <w:t xml:space="preserve">Franklin, Tennessee </w:t>
      </w:r>
    </w:p>
    <w:p>
      <w:pPr>
        <w:pStyle w:val="TextBody"/>
        <w:spacing w:before="0" w:after="0"/>
        <w:jc w:val="left"/>
        <w:rPr>
          <w:rFonts w:ascii="ARIAL" w:hAnsi="ARIAL"/>
          <w:sz w:val="20"/>
        </w:rPr>
      </w:pPr>
      <w:r>
        <w:rPr>
          <w:rFonts w:ascii="ARIAL" w:hAnsi="ARIAL"/>
          <w:sz w:val="20"/>
        </w:rPr>
        <w:t xml:space="preserve">March 30, 2023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99 </w:t>
      </w:r>
      <w:r>
        <w:br w:type="page"/>
      </w:r>
    </w:p>
    <w:p>
      <w:pPr>
        <w:pStyle w:val="HorizontalLine"/>
        <w:rPr/>
      </w:pPr>
      <w:r>
        <w:rPr/>
      </w:r>
    </w:p>
    <w:p>
      <w:pPr>
        <w:pStyle w:val="TextBody"/>
        <w:spacing w:before="0" w:after="0"/>
        <w:jc w:val="right"/>
        <w:rPr>
          <w:rFonts w:ascii="ARIAL" w:hAnsi="ARIAL"/>
          <w:b/>
          <w:sz w:val="20"/>
        </w:rPr>
      </w:pPr>
      <w:bookmarkStart w:id="29" w:name="toc360141_26"/>
      <w:bookmarkEnd w:id="29"/>
      <w:r>
        <w:rPr>
          <w:rFonts w:ascii="ARIAL" w:hAnsi="ARIAL"/>
          <w:b/>
          <w:sz w:val="20"/>
        </w:rPr>
        <w:t xml:space="preserve">Annex A </w:t>
      </w:r>
    </w:p>
    <w:p>
      <w:pPr>
        <w:pStyle w:val="TextBody"/>
        <w:spacing w:before="0" w:after="0"/>
        <w:jc w:val="left"/>
        <w:rPr>
          <w:rFonts w:ascii="ARIAL" w:hAnsi="ARIAL"/>
          <w:b/>
          <w:sz w:val="22"/>
        </w:rPr>
      </w:pPr>
      <w:r>
        <w:rPr>
          <w:rFonts w:ascii="ARIAL" w:hAnsi="ARIAL"/>
          <w:b/>
          <w:sz w:val="22"/>
        </w:rPr>
        <w:t xml:space="preserve">Non-GAAP Financial Measures </w:t>
      </w:r>
    </w:p>
    <w:p>
      <w:pPr>
        <w:pStyle w:val="TextBody"/>
        <w:spacing w:before="200" w:after="0"/>
        <w:jc w:val="left"/>
        <w:rPr>
          <w:rFonts w:ascii="ARIAL" w:hAnsi="ARIAL"/>
          <w:sz w:val="20"/>
        </w:rPr>
      </w:pPr>
      <w:r>
        <w:rPr>
          <w:rFonts w:ascii="ARIAL" w:hAnsi="ARIAL"/>
          <w:sz w:val="20"/>
        </w:rPr>
        <w:t xml:space="preserve">This Proxy Statement contains non-GAAP financial measures that have adjusted or excluded items from the most directly comparable financial measure calculated in accordance with U.S. generally accepted accounting principles (“GAAP”). The following is a discussion of the Company’s use of these non-GAAP financial measures and a reconciliation to their most directly comparable GAAP financial measures. </w:t>
      </w:r>
    </w:p>
    <w:p>
      <w:pPr>
        <w:pStyle w:val="TextBody"/>
        <w:spacing w:before="240" w:after="0"/>
        <w:jc w:val="left"/>
        <w:rPr>
          <w:rFonts w:ascii="ARIAL" w:hAnsi="ARIAL"/>
          <w:sz w:val="20"/>
        </w:rPr>
      </w:pPr>
      <w:r>
        <w:rPr>
          <w:rFonts w:ascii="ARIAL" w:hAnsi="ARIAL"/>
          <w:sz w:val="20"/>
        </w:rPr>
        <w:t xml:space="preserve">The following table reflects the reconciliation of Adjusted EBITDA, as defined below, to net income attributable to Community Health Systems, Inc. stockholders as set forth in the Company’s consolidated financial statements, for the years ended December 31, 2022, 2021, and 2020 (in millions):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5945"/>
        <w:gridCol w:w="120"/>
        <w:gridCol w:w="140"/>
        <w:gridCol w:w="1040"/>
        <w:gridCol w:w="155"/>
        <w:gridCol w:w="60"/>
        <w:gridCol w:w="140"/>
        <w:gridCol w:w="1040"/>
        <w:gridCol w:w="155"/>
        <w:gridCol w:w="60"/>
        <w:gridCol w:w="140"/>
        <w:gridCol w:w="1040"/>
        <w:gridCol w:w="170"/>
      </w:tblGrid>
      <w:tr>
        <w:trPr/>
        <w:tc>
          <w:tcPr>
            <w:tcW w:w="594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4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4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4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594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80"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2022</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80"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2021</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80"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2020</w:t>
            </w:r>
          </w:p>
        </w:tc>
        <w:tc>
          <w:tcPr>
            <w:tcW w:w="170" w:type="dxa"/>
            <w:tcBorders/>
            <w:shd w:fill="auto" w:val="clear"/>
            <w:vAlign w:val="center"/>
          </w:tcPr>
          <w:p>
            <w:pPr>
              <w:pStyle w:val="TableContents"/>
              <w:spacing w:before="0" w:after="283"/>
              <w:rPr/>
            </w:pPr>
            <w:r>
              <w:rPr/>
              <w:t> </w:t>
            </w:r>
          </w:p>
        </w:tc>
      </w:tr>
      <w:tr>
        <w:trPr/>
        <w:tc>
          <w:tcPr>
            <w:tcW w:w="5945" w:type="dxa"/>
            <w:tcBorders/>
            <w:shd w:fill="auto" w:val="clear"/>
            <w:vAlign w:val="center"/>
          </w:tcPr>
          <w:p>
            <w:pPr>
              <w:pStyle w:val="TableContents"/>
              <w:spacing w:before="0" w:after="0"/>
              <w:rPr>
                <w:rFonts w:ascii="ARIAL" w:hAnsi="ARIAL"/>
                <w:sz w:val="16"/>
              </w:rPr>
            </w:pPr>
            <w:r>
              <w:rPr>
                <w:rFonts w:ascii="ARIAL" w:hAnsi="ARIAL"/>
                <w:sz w:val="16"/>
              </w:rPr>
              <w:t>Net income attributable to Community Health Systems, Inc. stockholders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040" w:type="dxa"/>
            <w:tcBorders/>
            <w:shd w:fill="auto" w:val="clear"/>
            <w:vAlign w:val="center"/>
          </w:tcPr>
          <w:p>
            <w:pPr>
              <w:pStyle w:val="TableContents"/>
              <w:spacing w:before="0" w:after="283"/>
              <w:jc w:val="right"/>
              <w:rPr/>
            </w:pPr>
            <w:r>
              <w:rPr/>
              <w:t>46</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040" w:type="dxa"/>
            <w:tcBorders/>
            <w:shd w:fill="auto" w:val="clear"/>
            <w:vAlign w:val="center"/>
          </w:tcPr>
          <w:p>
            <w:pPr>
              <w:pStyle w:val="TableContents"/>
              <w:spacing w:before="0" w:after="283"/>
              <w:jc w:val="right"/>
              <w:rPr/>
            </w:pPr>
            <w:r>
              <w:rPr/>
              <w:t>230</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040" w:type="dxa"/>
            <w:tcBorders/>
            <w:shd w:fill="auto" w:val="clear"/>
            <w:vAlign w:val="center"/>
          </w:tcPr>
          <w:p>
            <w:pPr>
              <w:pStyle w:val="TableContents"/>
              <w:spacing w:before="0" w:after="283"/>
              <w:jc w:val="right"/>
              <w:rPr/>
            </w:pPr>
            <w:r>
              <w:rPr/>
              <w:t>511</w:t>
            </w:r>
          </w:p>
        </w:tc>
        <w:tc>
          <w:tcPr>
            <w:tcW w:w="170" w:type="dxa"/>
            <w:tcBorders/>
            <w:shd w:fill="auto" w:val="clear"/>
            <w:vAlign w:val="center"/>
          </w:tcPr>
          <w:p>
            <w:pPr>
              <w:pStyle w:val="TableContents"/>
              <w:spacing w:before="0" w:after="283"/>
              <w:rPr/>
            </w:pPr>
            <w:r>
              <w:rPr/>
              <w:t> </w:t>
            </w:r>
          </w:p>
        </w:tc>
      </w:tr>
      <w:tr>
        <w:trPr/>
        <w:tc>
          <w:tcPr>
            <w:tcW w:w="5945" w:type="dxa"/>
            <w:tcBorders/>
            <w:shd w:fill="auto" w:val="clear"/>
            <w:vAlign w:val="center"/>
          </w:tcPr>
          <w:p>
            <w:pPr>
              <w:pStyle w:val="TableContents"/>
              <w:spacing w:before="0" w:after="0"/>
              <w:rPr>
                <w:rFonts w:ascii="ARIAL" w:hAnsi="ARIAL"/>
                <w:sz w:val="16"/>
              </w:rPr>
            </w:pPr>
            <w:r>
              <w:rPr>
                <w:rFonts w:ascii="ARIAL" w:hAnsi="ARIAL"/>
                <w:sz w:val="16"/>
              </w:rPr>
              <w:t>Adjustments: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sz w:val="4"/>
                <w:szCs w:val="4"/>
              </w:rPr>
            </w:pPr>
            <w:r>
              <w:rPr>
                <w:sz w:val="4"/>
                <w:szCs w:val="4"/>
              </w:rPr>
            </w:r>
          </w:p>
        </w:tc>
        <w:tc>
          <w:tcPr>
            <w:tcW w:w="104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sz w:val="4"/>
                <w:szCs w:val="4"/>
              </w:rPr>
            </w:pPr>
            <w:r>
              <w:rPr>
                <w:sz w:val="4"/>
                <w:szCs w:val="4"/>
              </w:rPr>
            </w:r>
          </w:p>
        </w:tc>
        <w:tc>
          <w:tcPr>
            <w:tcW w:w="104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sz w:val="4"/>
                <w:szCs w:val="4"/>
              </w:rPr>
            </w:pPr>
            <w:r>
              <w:rPr>
                <w:sz w:val="4"/>
                <w:szCs w:val="4"/>
              </w:rPr>
            </w:r>
          </w:p>
        </w:tc>
        <w:tc>
          <w:tcPr>
            <w:tcW w:w="104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5945" w:type="dxa"/>
            <w:tcBorders/>
            <w:shd w:fill="auto" w:val="clear"/>
            <w:vAlign w:val="center"/>
          </w:tcPr>
          <w:p>
            <w:pPr>
              <w:pStyle w:val="TableContents"/>
              <w:spacing w:before="0" w:after="0"/>
              <w:rPr>
                <w:rFonts w:ascii="ARIAL" w:hAnsi="ARIAL"/>
                <w:sz w:val="16"/>
              </w:rPr>
            </w:pPr>
            <w:r>
              <w:rPr>
                <w:rFonts w:ascii="ARIAL" w:hAnsi="ARIAL"/>
                <w:sz w:val="16"/>
              </w:rPr>
              <w:t>Provision for (benefit from) income taxes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40" w:type="dxa"/>
            <w:tcBorders/>
            <w:shd w:fill="auto" w:val="clear"/>
            <w:vAlign w:val="center"/>
          </w:tcPr>
          <w:p>
            <w:pPr>
              <w:pStyle w:val="TableContents"/>
              <w:spacing w:before="0" w:after="283"/>
              <w:jc w:val="right"/>
              <w:rPr/>
            </w:pPr>
            <w:r>
              <w:rPr/>
              <w:t>170</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40" w:type="dxa"/>
            <w:tcBorders/>
            <w:shd w:fill="auto" w:val="clear"/>
            <w:vAlign w:val="center"/>
          </w:tcPr>
          <w:p>
            <w:pPr>
              <w:pStyle w:val="TableContents"/>
              <w:spacing w:before="0" w:after="283"/>
              <w:jc w:val="right"/>
              <w:rPr/>
            </w:pPr>
            <w:r>
              <w:rPr/>
              <w:t>131</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40" w:type="dxa"/>
            <w:tcBorders/>
            <w:shd w:fill="auto" w:val="clear"/>
            <w:vAlign w:val="center"/>
          </w:tcPr>
          <w:p>
            <w:pPr>
              <w:pStyle w:val="TableContents"/>
              <w:spacing w:before="0" w:after="283"/>
              <w:jc w:val="right"/>
              <w:rPr/>
            </w:pPr>
            <w:r>
              <w:rPr/>
              <w:t>(185</w:t>
            </w:r>
          </w:p>
        </w:tc>
        <w:tc>
          <w:tcPr>
            <w:tcW w:w="170" w:type="dxa"/>
            <w:tcBorders/>
            <w:shd w:fill="auto" w:val="clear"/>
            <w:vAlign w:val="center"/>
          </w:tcPr>
          <w:p>
            <w:pPr>
              <w:pStyle w:val="TableContents"/>
              <w:spacing w:before="0" w:after="283"/>
              <w:rPr/>
            </w:pPr>
            <w:r>
              <w:rPr/>
              <w:t>) </w:t>
            </w:r>
          </w:p>
        </w:tc>
      </w:tr>
      <w:tr>
        <w:trPr/>
        <w:tc>
          <w:tcPr>
            <w:tcW w:w="5945" w:type="dxa"/>
            <w:tcBorders/>
            <w:shd w:fill="auto" w:val="clear"/>
            <w:vAlign w:val="center"/>
          </w:tcPr>
          <w:p>
            <w:pPr>
              <w:pStyle w:val="TableContents"/>
              <w:spacing w:before="0" w:after="0"/>
              <w:rPr>
                <w:rFonts w:ascii="ARIAL" w:hAnsi="ARIAL"/>
                <w:sz w:val="16"/>
              </w:rPr>
            </w:pPr>
            <w:r>
              <w:rPr>
                <w:rFonts w:ascii="ARIAL" w:hAnsi="ARIAL"/>
                <w:sz w:val="16"/>
              </w:rPr>
              <w:t>Depreciation and amortization</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40" w:type="dxa"/>
            <w:tcBorders/>
            <w:shd w:fill="auto" w:val="clear"/>
            <w:vAlign w:val="center"/>
          </w:tcPr>
          <w:p>
            <w:pPr>
              <w:pStyle w:val="TableContents"/>
              <w:spacing w:before="0" w:after="283"/>
              <w:jc w:val="right"/>
              <w:rPr/>
            </w:pPr>
            <w:r>
              <w:rPr/>
              <w:t>534</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40" w:type="dxa"/>
            <w:tcBorders/>
            <w:shd w:fill="auto" w:val="clear"/>
            <w:vAlign w:val="center"/>
          </w:tcPr>
          <w:p>
            <w:pPr>
              <w:pStyle w:val="TableContents"/>
              <w:spacing w:before="0" w:after="283"/>
              <w:jc w:val="right"/>
              <w:rPr/>
            </w:pPr>
            <w:r>
              <w:rPr/>
              <w:t>540</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40" w:type="dxa"/>
            <w:tcBorders/>
            <w:shd w:fill="auto" w:val="clear"/>
            <w:vAlign w:val="center"/>
          </w:tcPr>
          <w:p>
            <w:pPr>
              <w:pStyle w:val="TableContents"/>
              <w:spacing w:before="0" w:after="283"/>
              <w:jc w:val="right"/>
              <w:rPr/>
            </w:pPr>
            <w:r>
              <w:rPr/>
              <w:t>558</w:t>
            </w:r>
          </w:p>
        </w:tc>
        <w:tc>
          <w:tcPr>
            <w:tcW w:w="170" w:type="dxa"/>
            <w:tcBorders/>
            <w:shd w:fill="auto" w:val="clear"/>
            <w:vAlign w:val="center"/>
          </w:tcPr>
          <w:p>
            <w:pPr>
              <w:pStyle w:val="TableContents"/>
              <w:spacing w:before="0" w:after="283"/>
              <w:rPr/>
            </w:pPr>
            <w:r>
              <w:rPr/>
              <w:t> </w:t>
            </w:r>
          </w:p>
        </w:tc>
      </w:tr>
      <w:tr>
        <w:trPr/>
        <w:tc>
          <w:tcPr>
            <w:tcW w:w="5945" w:type="dxa"/>
            <w:tcBorders/>
            <w:shd w:fill="auto" w:val="clear"/>
            <w:vAlign w:val="center"/>
          </w:tcPr>
          <w:p>
            <w:pPr>
              <w:pStyle w:val="TableContents"/>
              <w:spacing w:before="0" w:after="0"/>
              <w:rPr>
                <w:rFonts w:ascii="ARIAL" w:hAnsi="ARIAL"/>
                <w:sz w:val="16"/>
              </w:rPr>
            </w:pPr>
            <w:r>
              <w:rPr>
                <w:rFonts w:ascii="ARIAL" w:hAnsi="ARIAL"/>
                <w:sz w:val="16"/>
              </w:rPr>
              <w:t>Net income attributable to noncontrolling interests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40" w:type="dxa"/>
            <w:tcBorders/>
            <w:shd w:fill="auto" w:val="clear"/>
            <w:vAlign w:val="center"/>
          </w:tcPr>
          <w:p>
            <w:pPr>
              <w:pStyle w:val="TableContents"/>
              <w:spacing w:before="0" w:after="283"/>
              <w:jc w:val="right"/>
              <w:rPr/>
            </w:pPr>
            <w:r>
              <w:rPr/>
              <w:t>133</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40" w:type="dxa"/>
            <w:tcBorders/>
            <w:shd w:fill="auto" w:val="clear"/>
            <w:vAlign w:val="center"/>
          </w:tcPr>
          <w:p>
            <w:pPr>
              <w:pStyle w:val="TableContents"/>
              <w:spacing w:before="0" w:after="283"/>
              <w:jc w:val="right"/>
              <w:rPr/>
            </w:pPr>
            <w:r>
              <w:rPr/>
              <w:t>138</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40" w:type="dxa"/>
            <w:tcBorders/>
            <w:shd w:fill="auto" w:val="clear"/>
            <w:vAlign w:val="center"/>
          </w:tcPr>
          <w:p>
            <w:pPr>
              <w:pStyle w:val="TableContents"/>
              <w:spacing w:before="0" w:after="283"/>
              <w:jc w:val="right"/>
              <w:rPr/>
            </w:pPr>
            <w:r>
              <w:rPr/>
              <w:t>96</w:t>
            </w:r>
          </w:p>
        </w:tc>
        <w:tc>
          <w:tcPr>
            <w:tcW w:w="170" w:type="dxa"/>
            <w:tcBorders/>
            <w:shd w:fill="auto" w:val="clear"/>
            <w:vAlign w:val="center"/>
          </w:tcPr>
          <w:p>
            <w:pPr>
              <w:pStyle w:val="TableContents"/>
              <w:spacing w:before="0" w:after="283"/>
              <w:rPr/>
            </w:pPr>
            <w:r>
              <w:rPr/>
              <w:t> </w:t>
            </w:r>
          </w:p>
        </w:tc>
      </w:tr>
      <w:tr>
        <w:trPr/>
        <w:tc>
          <w:tcPr>
            <w:tcW w:w="5945" w:type="dxa"/>
            <w:tcBorders/>
            <w:shd w:fill="auto" w:val="clear"/>
            <w:vAlign w:val="center"/>
          </w:tcPr>
          <w:p>
            <w:pPr>
              <w:pStyle w:val="TableContents"/>
              <w:spacing w:before="0" w:after="0"/>
              <w:rPr>
                <w:rFonts w:ascii="ARIAL" w:hAnsi="ARIAL"/>
                <w:sz w:val="16"/>
              </w:rPr>
            </w:pPr>
            <w:r>
              <w:rPr>
                <w:rFonts w:ascii="ARIAL" w:hAnsi="ARIAL"/>
                <w:sz w:val="16"/>
              </w:rPr>
              <w:t>Interest expense, net</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40" w:type="dxa"/>
            <w:tcBorders/>
            <w:shd w:fill="auto" w:val="clear"/>
            <w:vAlign w:val="center"/>
          </w:tcPr>
          <w:p>
            <w:pPr>
              <w:pStyle w:val="TableContents"/>
              <w:spacing w:before="0" w:after="283"/>
              <w:jc w:val="right"/>
              <w:rPr/>
            </w:pPr>
            <w:r>
              <w:rPr/>
              <w:t>858</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40" w:type="dxa"/>
            <w:tcBorders/>
            <w:shd w:fill="auto" w:val="clear"/>
            <w:vAlign w:val="center"/>
          </w:tcPr>
          <w:p>
            <w:pPr>
              <w:pStyle w:val="TableContents"/>
              <w:spacing w:before="0" w:after="283"/>
              <w:jc w:val="right"/>
              <w:rPr/>
            </w:pPr>
            <w:r>
              <w:rPr/>
              <w:t>885</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40" w:type="dxa"/>
            <w:tcBorders/>
            <w:shd w:fill="auto" w:val="clear"/>
            <w:vAlign w:val="center"/>
          </w:tcPr>
          <w:p>
            <w:pPr>
              <w:pStyle w:val="TableContents"/>
              <w:spacing w:before="0" w:after="283"/>
              <w:jc w:val="right"/>
              <w:rPr/>
            </w:pPr>
            <w:r>
              <w:rPr/>
              <w:t>1,031</w:t>
            </w:r>
          </w:p>
        </w:tc>
        <w:tc>
          <w:tcPr>
            <w:tcW w:w="170" w:type="dxa"/>
            <w:tcBorders/>
            <w:shd w:fill="auto" w:val="clear"/>
            <w:vAlign w:val="center"/>
          </w:tcPr>
          <w:p>
            <w:pPr>
              <w:pStyle w:val="TableContents"/>
              <w:spacing w:before="0" w:after="283"/>
              <w:rPr/>
            </w:pPr>
            <w:r>
              <w:rPr/>
              <w:t> </w:t>
            </w:r>
          </w:p>
        </w:tc>
      </w:tr>
      <w:tr>
        <w:trPr/>
        <w:tc>
          <w:tcPr>
            <w:tcW w:w="5945" w:type="dxa"/>
            <w:tcBorders/>
            <w:shd w:fill="auto" w:val="clear"/>
            <w:vAlign w:val="center"/>
          </w:tcPr>
          <w:p>
            <w:pPr>
              <w:pStyle w:val="TableContents"/>
              <w:spacing w:before="0" w:after="0"/>
              <w:rPr>
                <w:rFonts w:ascii="ARIAL" w:hAnsi="ARIAL"/>
                <w:sz w:val="16"/>
              </w:rPr>
            </w:pPr>
            <w:r>
              <w:rPr>
                <w:rFonts w:ascii="ARIAL" w:hAnsi="ARIAL"/>
                <w:sz w:val="16"/>
              </w:rPr>
              <w:t>(Gain) loss from early extinguishment of debt</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40" w:type="dxa"/>
            <w:tcBorders/>
            <w:shd w:fill="auto" w:val="clear"/>
            <w:vAlign w:val="center"/>
          </w:tcPr>
          <w:p>
            <w:pPr>
              <w:pStyle w:val="TableContents"/>
              <w:spacing w:before="0" w:after="283"/>
              <w:jc w:val="right"/>
              <w:rPr/>
            </w:pPr>
            <w:r>
              <w:rPr/>
              <w:t>(253</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40" w:type="dxa"/>
            <w:tcBorders/>
            <w:shd w:fill="auto" w:val="clear"/>
            <w:vAlign w:val="center"/>
          </w:tcPr>
          <w:p>
            <w:pPr>
              <w:pStyle w:val="TableContents"/>
              <w:spacing w:before="0" w:after="283"/>
              <w:jc w:val="right"/>
              <w:rPr/>
            </w:pPr>
            <w:r>
              <w:rPr/>
              <w:t>79</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40" w:type="dxa"/>
            <w:tcBorders/>
            <w:shd w:fill="auto" w:val="clear"/>
            <w:vAlign w:val="center"/>
          </w:tcPr>
          <w:p>
            <w:pPr>
              <w:pStyle w:val="TableContents"/>
              <w:spacing w:before="0" w:after="283"/>
              <w:jc w:val="right"/>
              <w:rPr/>
            </w:pPr>
            <w:r>
              <w:rPr/>
              <w:t>(317</w:t>
            </w:r>
          </w:p>
        </w:tc>
        <w:tc>
          <w:tcPr>
            <w:tcW w:w="170" w:type="dxa"/>
            <w:tcBorders/>
            <w:shd w:fill="auto" w:val="clear"/>
            <w:vAlign w:val="center"/>
          </w:tcPr>
          <w:p>
            <w:pPr>
              <w:pStyle w:val="TableContents"/>
              <w:spacing w:before="0" w:after="283"/>
              <w:rPr/>
            </w:pPr>
            <w:r>
              <w:rPr/>
              <w:t>) </w:t>
            </w:r>
          </w:p>
        </w:tc>
      </w:tr>
      <w:tr>
        <w:trPr/>
        <w:tc>
          <w:tcPr>
            <w:tcW w:w="5945" w:type="dxa"/>
            <w:tcBorders/>
            <w:shd w:fill="auto" w:val="clear"/>
            <w:vAlign w:val="center"/>
          </w:tcPr>
          <w:p>
            <w:pPr>
              <w:pStyle w:val="TableContents"/>
              <w:spacing w:before="0" w:after="0"/>
              <w:rPr>
                <w:rFonts w:ascii="ARIAL" w:hAnsi="ARIAL"/>
                <w:sz w:val="16"/>
              </w:rPr>
            </w:pPr>
            <w:r>
              <w:rPr>
                <w:rFonts w:ascii="ARIAL" w:hAnsi="ARIAL"/>
                <w:sz w:val="16"/>
              </w:rPr>
              <w:t>Impairment and (gain) loss on sale of businesses, net</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40" w:type="dxa"/>
            <w:tcBorders/>
            <w:shd w:fill="auto" w:val="clear"/>
            <w:vAlign w:val="center"/>
          </w:tcPr>
          <w:p>
            <w:pPr>
              <w:pStyle w:val="TableContents"/>
              <w:spacing w:before="0" w:after="283"/>
              <w:jc w:val="right"/>
              <w:rPr/>
            </w:pPr>
            <w:r>
              <w:rPr/>
              <w:t>71</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40" w:type="dxa"/>
            <w:tcBorders/>
            <w:shd w:fill="auto" w:val="clear"/>
            <w:vAlign w:val="center"/>
          </w:tcPr>
          <w:p>
            <w:pPr>
              <w:pStyle w:val="TableContents"/>
              <w:spacing w:before="0" w:after="283"/>
              <w:jc w:val="right"/>
              <w:rPr/>
            </w:pPr>
            <w:r>
              <w:rPr/>
              <w:t>24</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40" w:type="dxa"/>
            <w:tcBorders/>
            <w:shd w:fill="auto" w:val="clear"/>
            <w:vAlign w:val="center"/>
          </w:tcPr>
          <w:p>
            <w:pPr>
              <w:pStyle w:val="TableContents"/>
              <w:spacing w:before="0" w:after="283"/>
              <w:jc w:val="right"/>
              <w:rPr/>
            </w:pPr>
            <w:r>
              <w:rPr/>
              <w:t>48</w:t>
            </w:r>
          </w:p>
        </w:tc>
        <w:tc>
          <w:tcPr>
            <w:tcW w:w="170" w:type="dxa"/>
            <w:tcBorders/>
            <w:shd w:fill="auto" w:val="clear"/>
            <w:vAlign w:val="center"/>
          </w:tcPr>
          <w:p>
            <w:pPr>
              <w:pStyle w:val="TableContents"/>
              <w:spacing w:before="0" w:after="283"/>
              <w:rPr/>
            </w:pPr>
            <w:r>
              <w:rPr/>
              <w:t> </w:t>
            </w:r>
          </w:p>
        </w:tc>
      </w:tr>
      <w:tr>
        <w:trPr/>
        <w:tc>
          <w:tcPr>
            <w:tcW w:w="5945" w:type="dxa"/>
            <w:tcBorders/>
            <w:shd w:fill="auto" w:val="clear"/>
            <w:vAlign w:val="center"/>
          </w:tcPr>
          <w:p>
            <w:pPr>
              <w:pStyle w:val="TableContents"/>
              <w:spacing w:before="0" w:after="0"/>
              <w:rPr>
                <w:rFonts w:ascii="ARIAL" w:hAnsi="ARIAL"/>
                <w:sz w:val="16"/>
              </w:rPr>
            </w:pPr>
            <w:r>
              <w:rPr>
                <w:rFonts w:ascii="ARIAL" w:hAnsi="ARIAL"/>
                <w:sz w:val="16"/>
              </w:rPr>
              <w:t>Gain from CoreTrust transaction</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40" w:type="dxa"/>
            <w:tcBorders/>
            <w:shd w:fill="auto" w:val="clear"/>
            <w:vAlign w:val="center"/>
          </w:tcPr>
          <w:p>
            <w:pPr>
              <w:pStyle w:val="TableContents"/>
              <w:spacing w:before="0" w:after="283"/>
              <w:jc w:val="right"/>
              <w:rPr/>
            </w:pPr>
            <w:r>
              <w:rPr/>
              <w:t>(119</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40" w:type="dxa"/>
            <w:tcBorders/>
            <w:shd w:fill="auto" w:val="clear"/>
            <w:vAlign w:val="center"/>
          </w:tcPr>
          <w:p>
            <w:pPr>
              <w:pStyle w:val="TableContents"/>
              <w:spacing w:before="0" w:after="283"/>
              <w:jc w:val="right"/>
              <w:rPr/>
            </w:pPr>
            <w:r>
              <w:rPr/>
              <w:t>-</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40" w:type="dxa"/>
            <w:tcBorders/>
            <w:shd w:fill="auto" w:val="clear"/>
            <w:vAlign w:val="center"/>
          </w:tcPr>
          <w:p>
            <w:pPr>
              <w:pStyle w:val="TableContents"/>
              <w:spacing w:before="0" w:after="283"/>
              <w:jc w:val="right"/>
              <w:rPr/>
            </w:pPr>
            <w:r>
              <w:rPr/>
              <w:t>-</w:t>
            </w:r>
          </w:p>
        </w:tc>
        <w:tc>
          <w:tcPr>
            <w:tcW w:w="170" w:type="dxa"/>
            <w:tcBorders/>
            <w:shd w:fill="auto" w:val="clear"/>
            <w:vAlign w:val="center"/>
          </w:tcPr>
          <w:p>
            <w:pPr>
              <w:pStyle w:val="TableContents"/>
              <w:spacing w:before="0" w:after="283"/>
              <w:rPr/>
            </w:pPr>
            <w:r>
              <w:rPr/>
              <w:t> </w:t>
            </w:r>
          </w:p>
        </w:tc>
      </w:tr>
      <w:tr>
        <w:trPr/>
        <w:tc>
          <w:tcPr>
            <w:tcW w:w="5945" w:type="dxa"/>
            <w:tcBorders/>
            <w:shd w:fill="auto" w:val="clear"/>
            <w:vAlign w:val="center"/>
          </w:tcPr>
          <w:p>
            <w:pPr>
              <w:pStyle w:val="TableContents"/>
              <w:spacing w:before="0" w:after="0"/>
              <w:rPr>
                <w:rFonts w:ascii="ARIAL" w:hAnsi="ARIAL"/>
                <w:sz w:val="16"/>
              </w:rPr>
            </w:pPr>
            <w:r>
              <w:rPr>
                <w:rFonts w:ascii="ARIAL" w:hAnsi="ARIAL"/>
                <w:sz w:val="16"/>
              </w:rPr>
              <w:t>Gain on sale of equity interests in Macon Healthcare, LLC</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40" w:type="dxa"/>
            <w:tcBorders/>
            <w:shd w:fill="auto" w:val="clear"/>
            <w:vAlign w:val="center"/>
          </w:tcPr>
          <w:p>
            <w:pPr>
              <w:pStyle w:val="TableContents"/>
              <w:spacing w:before="0" w:after="283"/>
              <w:jc w:val="right"/>
              <w:rPr/>
            </w:pPr>
            <w:r>
              <w:rPr/>
              <w:t>-</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40" w:type="dxa"/>
            <w:tcBorders/>
            <w:shd w:fill="auto" w:val="clear"/>
            <w:vAlign w:val="center"/>
          </w:tcPr>
          <w:p>
            <w:pPr>
              <w:pStyle w:val="TableContents"/>
              <w:spacing w:before="0" w:after="283"/>
              <w:jc w:val="right"/>
              <w:rPr/>
            </w:pPr>
            <w:r>
              <w:rPr/>
              <w:t>(39</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40" w:type="dxa"/>
            <w:tcBorders/>
            <w:shd w:fill="auto" w:val="clear"/>
            <w:vAlign w:val="center"/>
          </w:tcPr>
          <w:p>
            <w:pPr>
              <w:pStyle w:val="TableContents"/>
              <w:spacing w:before="0" w:after="283"/>
              <w:jc w:val="right"/>
              <w:rPr/>
            </w:pPr>
            <w:r>
              <w:rPr/>
              <w:t>-</w:t>
            </w:r>
          </w:p>
        </w:tc>
        <w:tc>
          <w:tcPr>
            <w:tcW w:w="170" w:type="dxa"/>
            <w:tcBorders/>
            <w:shd w:fill="auto" w:val="clear"/>
            <w:vAlign w:val="center"/>
          </w:tcPr>
          <w:p>
            <w:pPr>
              <w:pStyle w:val="TableContents"/>
              <w:spacing w:before="0" w:after="283"/>
              <w:rPr/>
            </w:pPr>
            <w:r>
              <w:rPr/>
              <w:t> </w:t>
            </w:r>
          </w:p>
        </w:tc>
      </w:tr>
      <w:tr>
        <w:trPr/>
        <w:tc>
          <w:tcPr>
            <w:tcW w:w="5945" w:type="dxa"/>
            <w:tcBorders/>
            <w:shd w:fill="auto" w:val="clear"/>
            <w:vAlign w:val="center"/>
          </w:tcPr>
          <w:p>
            <w:pPr>
              <w:pStyle w:val="TableContents"/>
              <w:spacing w:before="0" w:after="0"/>
              <w:rPr>
                <w:rFonts w:ascii="ARIAL" w:hAnsi="ARIAL"/>
                <w:sz w:val="16"/>
              </w:rPr>
            </w:pPr>
            <w:r>
              <w:rPr>
                <w:rFonts w:ascii="ARIAL" w:hAnsi="ARIAL"/>
                <w:sz w:val="16"/>
              </w:rPr>
              <w:t>Expense from government and other legal matters and related costs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40" w:type="dxa"/>
            <w:tcBorders/>
            <w:shd w:fill="auto" w:val="clear"/>
            <w:vAlign w:val="center"/>
          </w:tcPr>
          <w:p>
            <w:pPr>
              <w:pStyle w:val="TableContents"/>
              <w:spacing w:before="0" w:after="283"/>
              <w:jc w:val="right"/>
              <w:rPr/>
            </w:pPr>
            <w:r>
              <w:rPr/>
              <w:t>5</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40" w:type="dxa"/>
            <w:tcBorders/>
            <w:shd w:fill="auto" w:val="clear"/>
            <w:vAlign w:val="center"/>
          </w:tcPr>
          <w:p>
            <w:pPr>
              <w:pStyle w:val="TableContents"/>
              <w:spacing w:before="0" w:after="283"/>
              <w:jc w:val="right"/>
              <w:rPr/>
            </w:pPr>
            <w:r>
              <w:rPr/>
              <w:t>-</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40" w:type="dxa"/>
            <w:tcBorders/>
            <w:shd w:fill="auto" w:val="clear"/>
            <w:vAlign w:val="center"/>
          </w:tcPr>
          <w:p>
            <w:pPr>
              <w:pStyle w:val="TableContents"/>
              <w:spacing w:before="0" w:after="283"/>
              <w:jc w:val="right"/>
              <w:rPr/>
            </w:pPr>
            <w:r>
              <w:rPr/>
              <w:t>-</w:t>
            </w:r>
          </w:p>
        </w:tc>
        <w:tc>
          <w:tcPr>
            <w:tcW w:w="170" w:type="dxa"/>
            <w:tcBorders/>
            <w:shd w:fill="auto" w:val="clear"/>
            <w:vAlign w:val="center"/>
          </w:tcPr>
          <w:p>
            <w:pPr>
              <w:pStyle w:val="TableContents"/>
              <w:spacing w:before="0" w:after="283"/>
              <w:rPr/>
            </w:pPr>
            <w:r>
              <w:rPr/>
              <w:t> </w:t>
            </w:r>
          </w:p>
        </w:tc>
      </w:tr>
      <w:tr>
        <w:trPr/>
        <w:tc>
          <w:tcPr>
            <w:tcW w:w="5945" w:type="dxa"/>
            <w:tcBorders/>
            <w:shd w:fill="auto" w:val="clear"/>
            <w:vAlign w:val="center"/>
          </w:tcPr>
          <w:p>
            <w:pPr>
              <w:pStyle w:val="TableContents"/>
              <w:spacing w:before="0" w:after="0"/>
              <w:rPr>
                <w:rFonts w:ascii="ARIAL" w:hAnsi="ARIAL"/>
                <w:sz w:val="16"/>
              </w:rPr>
            </w:pPr>
            <w:r>
              <w:rPr>
                <w:rFonts w:ascii="ARIAL" w:hAnsi="ARIAL"/>
                <w:sz w:val="16"/>
              </w:rPr>
              <w:t>(Income) expense from the settlement of professional liability claims for which the third-party insurers’ obligation to insure the Company for the underlying loss has been settled</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40" w:type="dxa"/>
            <w:tcBorders/>
            <w:shd w:fill="auto" w:val="clear"/>
            <w:vAlign w:val="center"/>
          </w:tcPr>
          <w:p>
            <w:pPr>
              <w:pStyle w:val="TableContents"/>
              <w:spacing w:before="0" w:after="283"/>
              <w:jc w:val="right"/>
              <w:rPr/>
            </w:pPr>
            <w:r>
              <w:rPr/>
              <w:t>-</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40" w:type="dxa"/>
            <w:tcBorders/>
            <w:shd w:fill="auto" w:val="clear"/>
            <w:vAlign w:val="center"/>
          </w:tcPr>
          <w:p>
            <w:pPr>
              <w:pStyle w:val="TableContents"/>
              <w:spacing w:before="0" w:after="283"/>
              <w:jc w:val="right"/>
              <w:rPr/>
            </w:pPr>
            <w:r>
              <w:rPr/>
              <w:t>(19</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40" w:type="dxa"/>
            <w:tcBorders/>
            <w:shd w:fill="auto" w:val="clear"/>
            <w:vAlign w:val="center"/>
          </w:tcPr>
          <w:p>
            <w:pPr>
              <w:pStyle w:val="TableContents"/>
              <w:spacing w:before="0" w:after="283"/>
              <w:jc w:val="right"/>
              <w:rPr/>
            </w:pPr>
            <w:r>
              <w:rPr/>
              <w:t>50</w:t>
            </w:r>
          </w:p>
        </w:tc>
        <w:tc>
          <w:tcPr>
            <w:tcW w:w="170" w:type="dxa"/>
            <w:tcBorders/>
            <w:shd w:fill="auto" w:val="clear"/>
            <w:vAlign w:val="center"/>
          </w:tcPr>
          <w:p>
            <w:pPr>
              <w:pStyle w:val="TableContents"/>
              <w:spacing w:before="0" w:after="283"/>
              <w:rPr/>
            </w:pPr>
            <w:r>
              <w:rPr/>
              <w:t> </w:t>
            </w:r>
          </w:p>
        </w:tc>
      </w:tr>
      <w:tr>
        <w:trPr/>
        <w:tc>
          <w:tcPr>
            <w:tcW w:w="5945" w:type="dxa"/>
            <w:tcBorders/>
            <w:shd w:fill="auto" w:val="clear"/>
            <w:vAlign w:val="center"/>
          </w:tcPr>
          <w:p>
            <w:pPr>
              <w:pStyle w:val="TableContents"/>
              <w:spacing w:before="0" w:after="0"/>
              <w:rPr>
                <w:rFonts w:ascii="ARIAL" w:hAnsi="ARIAL"/>
                <w:sz w:val="16"/>
              </w:rPr>
            </w:pPr>
            <w:r>
              <w:rPr>
                <w:rFonts w:ascii="ARIAL" w:hAnsi="ARIAL"/>
                <w:sz w:val="16"/>
              </w:rPr>
              <w:t>Expense from settlement and legal expenses related to cases covered by the CVR</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40" w:type="dxa"/>
            <w:tcBorders/>
            <w:shd w:fill="auto" w:val="clear"/>
            <w:vAlign w:val="center"/>
          </w:tcPr>
          <w:p>
            <w:pPr>
              <w:pStyle w:val="TableContents"/>
              <w:spacing w:before="0" w:after="283"/>
              <w:jc w:val="right"/>
              <w:rPr/>
            </w:pPr>
            <w:r>
              <w:rPr/>
              <w:t>-</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40" w:type="dxa"/>
            <w:tcBorders/>
            <w:shd w:fill="auto" w:val="clear"/>
            <w:vAlign w:val="center"/>
          </w:tcPr>
          <w:p>
            <w:pPr>
              <w:pStyle w:val="TableContents"/>
              <w:spacing w:before="0" w:after="283"/>
              <w:jc w:val="right"/>
              <w:rPr/>
            </w:pPr>
            <w:r>
              <w:rPr/>
              <w:t>-</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40" w:type="dxa"/>
            <w:tcBorders/>
            <w:shd w:fill="auto" w:val="clear"/>
            <w:vAlign w:val="center"/>
          </w:tcPr>
          <w:p>
            <w:pPr>
              <w:pStyle w:val="TableContents"/>
              <w:spacing w:before="0" w:after="283"/>
              <w:jc w:val="right"/>
              <w:rPr/>
            </w:pPr>
            <w:r>
              <w:rPr/>
              <w:t>2</w:t>
            </w:r>
          </w:p>
        </w:tc>
        <w:tc>
          <w:tcPr>
            <w:tcW w:w="170" w:type="dxa"/>
            <w:tcBorders/>
            <w:shd w:fill="auto" w:val="clear"/>
            <w:vAlign w:val="center"/>
          </w:tcPr>
          <w:p>
            <w:pPr>
              <w:pStyle w:val="TableContents"/>
              <w:spacing w:before="0" w:after="283"/>
              <w:rPr/>
            </w:pPr>
            <w:r>
              <w:rPr/>
              <w:t> </w:t>
            </w:r>
          </w:p>
        </w:tc>
      </w:tr>
      <w:tr>
        <w:trPr/>
        <w:tc>
          <w:tcPr>
            <w:tcW w:w="5945" w:type="dxa"/>
            <w:tcBorders/>
            <w:shd w:fill="auto" w:val="clear"/>
            <w:vAlign w:val="center"/>
          </w:tcPr>
          <w:p>
            <w:pPr>
              <w:pStyle w:val="TableContents"/>
              <w:spacing w:before="0" w:after="0"/>
              <w:rPr>
                <w:rFonts w:ascii="ARIAL" w:hAnsi="ARIAL"/>
                <w:sz w:val="16"/>
              </w:rPr>
            </w:pPr>
            <w:r>
              <w:rPr>
                <w:rFonts w:ascii="ARIAL" w:hAnsi="ARIAL"/>
                <w:sz w:val="16"/>
              </w:rPr>
              <w:t>Expense related to employee termination benefits and other restructuring charges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40" w:type="dxa"/>
            <w:tcBorders/>
            <w:shd w:fill="auto" w:val="clear"/>
            <w:vAlign w:val="center"/>
          </w:tcPr>
          <w:p>
            <w:pPr>
              <w:pStyle w:val="TableContents"/>
              <w:spacing w:before="0" w:after="283"/>
              <w:jc w:val="right"/>
              <w:rPr/>
            </w:pPr>
            <w:r>
              <w:rPr/>
              <w:t>6</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40" w:type="dxa"/>
            <w:tcBorders/>
            <w:shd w:fill="auto" w:val="clear"/>
            <w:vAlign w:val="center"/>
          </w:tcPr>
          <w:p>
            <w:pPr>
              <w:pStyle w:val="TableContents"/>
              <w:spacing w:before="0" w:after="283"/>
              <w:jc w:val="right"/>
              <w:rPr/>
            </w:pPr>
            <w:r>
              <w:rPr/>
              <w:t>-</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40" w:type="dxa"/>
            <w:tcBorders/>
            <w:shd w:fill="auto" w:val="clear"/>
            <w:vAlign w:val="center"/>
          </w:tcPr>
          <w:p>
            <w:pPr>
              <w:pStyle w:val="TableContents"/>
              <w:spacing w:before="0" w:after="283"/>
              <w:jc w:val="right"/>
              <w:rPr/>
            </w:pPr>
            <w:r>
              <w:rPr/>
              <w:t>15</w:t>
            </w:r>
          </w:p>
        </w:tc>
        <w:tc>
          <w:tcPr>
            <w:tcW w:w="170" w:type="dxa"/>
            <w:tcBorders/>
            <w:shd w:fill="auto" w:val="clear"/>
            <w:vAlign w:val="center"/>
          </w:tcPr>
          <w:p>
            <w:pPr>
              <w:pStyle w:val="TableContents"/>
              <w:spacing w:before="0" w:after="283"/>
              <w:rPr/>
            </w:pPr>
            <w:r>
              <w:rPr/>
              <w:t> </w:t>
            </w:r>
          </w:p>
        </w:tc>
      </w:tr>
      <w:tr>
        <w:trPr/>
        <w:tc>
          <w:tcPr>
            <w:tcW w:w="5945" w:type="dxa"/>
            <w:tcBorders/>
            <w:shd w:fill="auto" w:val="clear"/>
            <w:vAlign w:val="center"/>
          </w:tcPr>
          <w:p>
            <w:pPr>
              <w:pStyle w:val="TableContents"/>
              <w:spacing w:before="0" w:after="0"/>
              <w:rPr>
                <w:rFonts w:ascii="ARIAL" w:hAnsi="ARIAL"/>
                <w:sz w:val="16"/>
              </w:rPr>
            </w:pPr>
            <w:r>
              <w:rPr>
                <w:rFonts w:ascii="ARIAL" w:hAnsi="ARIAL"/>
                <w:sz w:val="16"/>
              </w:rPr>
              <w:t>Change in estimate for professional claims liability related to divested locations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40" w:type="dxa"/>
            <w:tcBorders/>
            <w:shd w:fill="auto" w:val="clear"/>
            <w:vAlign w:val="center"/>
          </w:tcPr>
          <w:p>
            <w:pPr>
              <w:pStyle w:val="TableContents"/>
              <w:spacing w:before="0" w:after="283"/>
              <w:jc w:val="right"/>
              <w:rPr/>
            </w:pPr>
            <w:r>
              <w:rPr/>
              <w:t>15</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40" w:type="dxa"/>
            <w:tcBorders/>
            <w:shd w:fill="auto" w:val="clear"/>
            <w:vAlign w:val="center"/>
          </w:tcPr>
          <w:p>
            <w:pPr>
              <w:pStyle w:val="TableContents"/>
              <w:spacing w:before="0" w:after="283"/>
              <w:jc w:val="right"/>
              <w:rPr/>
            </w:pPr>
            <w:r>
              <w:rPr/>
              <w:t>-</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40" w:type="dxa"/>
            <w:tcBorders/>
            <w:shd w:fill="auto" w:val="clear"/>
            <w:vAlign w:val="center"/>
          </w:tcPr>
          <w:p>
            <w:pPr>
              <w:pStyle w:val="TableContents"/>
              <w:spacing w:before="0" w:after="283"/>
              <w:jc w:val="right"/>
              <w:rPr/>
            </w:pPr>
            <w:r>
              <w:rPr/>
              <w:t>-</w:t>
            </w:r>
          </w:p>
        </w:tc>
        <w:tc>
          <w:tcPr>
            <w:tcW w:w="170" w:type="dxa"/>
            <w:tcBorders/>
            <w:shd w:fill="auto" w:val="clear"/>
            <w:vAlign w:val="center"/>
          </w:tcPr>
          <w:p>
            <w:pPr>
              <w:pStyle w:val="TableContents"/>
              <w:spacing w:before="0" w:after="283"/>
              <w:rPr/>
            </w:pPr>
            <w:r>
              <w:rPr/>
              <w:t> </w:t>
            </w:r>
          </w:p>
        </w:tc>
      </w:tr>
      <w:tr>
        <w:trPr/>
        <w:tc>
          <w:tcPr>
            <w:tcW w:w="594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single" w:sz="2" w:space="1" w:color="000000"/>
              </w:pBdr>
              <w:spacing w:before="0" w:after="0"/>
              <w:rPr/>
            </w:pPr>
            <w:r>
              <w:rPr/>
              <w:t> </w:t>
            </w:r>
          </w:p>
        </w:tc>
        <w:tc>
          <w:tcPr>
            <w:tcW w:w="1040" w:type="dxa"/>
            <w:tcBorders/>
            <w:shd w:fill="auto" w:val="clear"/>
            <w:vAlign w:val="center"/>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single" w:sz="2" w:space="1" w:color="000000"/>
              </w:pBdr>
              <w:spacing w:before="0" w:after="0"/>
              <w:rPr/>
            </w:pPr>
            <w:r>
              <w:rPr/>
              <w:t> </w:t>
            </w:r>
          </w:p>
        </w:tc>
        <w:tc>
          <w:tcPr>
            <w:tcW w:w="1040" w:type="dxa"/>
            <w:tcBorders/>
            <w:shd w:fill="auto" w:val="clear"/>
            <w:vAlign w:val="center"/>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single" w:sz="2" w:space="1" w:color="000000"/>
              </w:pBdr>
              <w:spacing w:before="0" w:after="0"/>
              <w:rPr/>
            </w:pPr>
            <w:r>
              <w:rPr/>
              <w:t> </w:t>
            </w:r>
          </w:p>
        </w:tc>
        <w:tc>
          <w:tcPr>
            <w:tcW w:w="1040" w:type="dxa"/>
            <w:tcBorders/>
            <w:shd w:fill="auto" w:val="clear"/>
            <w:vAlign w:val="center"/>
          </w:tcPr>
          <w:p>
            <w:pPr>
              <w:pStyle w:val="TableContents"/>
              <w:pBdr>
                <w:top w:val="single" w:sz="2" w:space="1" w:color="000000"/>
              </w:pBdr>
              <w:spacing w:before="0" w:after="0"/>
              <w:rPr/>
            </w:pPr>
            <w:r>
              <w:rPr/>
              <w:t> </w:t>
            </w:r>
          </w:p>
        </w:tc>
        <w:tc>
          <w:tcPr>
            <w:tcW w:w="170" w:type="dxa"/>
            <w:tcBorders/>
            <w:shd w:fill="auto" w:val="clear"/>
            <w:vAlign w:val="center"/>
          </w:tcPr>
          <w:p>
            <w:pPr>
              <w:pStyle w:val="TableContents"/>
              <w:spacing w:before="0" w:after="283"/>
              <w:rPr/>
            </w:pPr>
            <w:r>
              <w:rPr/>
              <w:t> </w:t>
            </w:r>
          </w:p>
        </w:tc>
      </w:tr>
      <w:tr>
        <w:trPr/>
        <w:tc>
          <w:tcPr>
            <w:tcW w:w="5945" w:type="dxa"/>
            <w:tcBorders/>
            <w:shd w:fill="auto" w:val="clear"/>
            <w:vAlign w:val="center"/>
          </w:tcPr>
          <w:p>
            <w:pPr>
              <w:pStyle w:val="TableContents"/>
              <w:spacing w:before="0" w:after="0"/>
              <w:rPr>
                <w:rFonts w:ascii="ARIAL" w:hAnsi="ARIAL"/>
                <w:sz w:val="16"/>
              </w:rPr>
            </w:pPr>
            <w:r>
              <w:rPr>
                <w:rFonts w:ascii="ARIAL" w:hAnsi="ARIAL"/>
                <w:sz w:val="16"/>
              </w:rPr>
              <w:t>Adjusted EBITDA</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040" w:type="dxa"/>
            <w:tcBorders/>
            <w:shd w:fill="auto" w:val="clear"/>
            <w:vAlign w:val="center"/>
          </w:tcPr>
          <w:p>
            <w:pPr>
              <w:pStyle w:val="TableContents"/>
              <w:spacing w:before="0" w:after="283"/>
              <w:jc w:val="right"/>
              <w:rPr/>
            </w:pPr>
            <w:r>
              <w:rPr/>
              <w:t>        </w:t>
            </w:r>
            <w:r>
              <w:rPr/>
              <w:t>1,466</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040" w:type="dxa"/>
            <w:tcBorders/>
            <w:shd w:fill="auto" w:val="clear"/>
            <w:vAlign w:val="center"/>
          </w:tcPr>
          <w:p>
            <w:pPr>
              <w:pStyle w:val="TableContents"/>
              <w:spacing w:before="0" w:after="283"/>
              <w:jc w:val="right"/>
              <w:rPr/>
            </w:pPr>
            <w:r>
              <w:rPr/>
              <w:t>        </w:t>
            </w:r>
            <w:r>
              <w:rPr/>
              <w:t>1,969</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040" w:type="dxa"/>
            <w:tcBorders/>
            <w:shd w:fill="auto" w:val="clear"/>
            <w:vAlign w:val="center"/>
          </w:tcPr>
          <w:p>
            <w:pPr>
              <w:pStyle w:val="TableContents"/>
              <w:spacing w:before="0" w:after="283"/>
              <w:jc w:val="right"/>
              <w:rPr/>
            </w:pPr>
            <w:r>
              <w:rPr/>
              <w:t>        </w:t>
            </w:r>
            <w:r>
              <w:rPr/>
              <w:t>1,809</w:t>
            </w:r>
          </w:p>
        </w:tc>
        <w:tc>
          <w:tcPr>
            <w:tcW w:w="170" w:type="dxa"/>
            <w:tcBorders/>
            <w:shd w:fill="auto" w:val="clear"/>
            <w:vAlign w:val="center"/>
          </w:tcPr>
          <w:p>
            <w:pPr>
              <w:pStyle w:val="TableContents"/>
              <w:spacing w:before="0" w:after="283"/>
              <w:rPr/>
            </w:pPr>
            <w:r>
              <w:rPr/>
              <w:t> </w:t>
            </w:r>
          </w:p>
        </w:tc>
      </w:tr>
      <w:tr>
        <w:trPr/>
        <w:tc>
          <w:tcPr>
            <w:tcW w:w="594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double" w:sz="6" w:space="1" w:color="000000"/>
              </w:pBdr>
              <w:spacing w:before="0" w:after="0"/>
              <w:rPr/>
            </w:pPr>
            <w:r>
              <w:rPr/>
              <w:t> </w:t>
            </w:r>
          </w:p>
        </w:tc>
        <w:tc>
          <w:tcPr>
            <w:tcW w:w="1040" w:type="dxa"/>
            <w:tcBorders/>
            <w:shd w:fill="auto" w:val="clear"/>
            <w:vAlign w:val="center"/>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double" w:sz="6" w:space="1" w:color="000000"/>
              </w:pBdr>
              <w:spacing w:before="0" w:after="0"/>
              <w:rPr/>
            </w:pPr>
            <w:r>
              <w:rPr/>
              <w:t> </w:t>
            </w:r>
          </w:p>
        </w:tc>
        <w:tc>
          <w:tcPr>
            <w:tcW w:w="1040" w:type="dxa"/>
            <w:tcBorders/>
            <w:shd w:fill="auto" w:val="clear"/>
            <w:vAlign w:val="center"/>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double" w:sz="6" w:space="1" w:color="000000"/>
              </w:pBdr>
              <w:spacing w:before="0" w:after="0"/>
              <w:rPr/>
            </w:pPr>
            <w:r>
              <w:rPr/>
              <w:t> </w:t>
            </w:r>
          </w:p>
        </w:tc>
        <w:tc>
          <w:tcPr>
            <w:tcW w:w="1040" w:type="dxa"/>
            <w:tcBorders/>
            <w:shd w:fill="auto" w:val="clear"/>
            <w:vAlign w:val="center"/>
          </w:tcPr>
          <w:p>
            <w:pPr>
              <w:pStyle w:val="TableContents"/>
              <w:pBdr>
                <w:top w:val="double" w:sz="6" w:space="1" w:color="000000"/>
              </w:pBdr>
              <w:spacing w:before="0" w:after="0"/>
              <w:rPr/>
            </w:pPr>
            <w:r>
              <w:rPr/>
              <w:t> </w:t>
            </w:r>
          </w:p>
        </w:tc>
        <w:tc>
          <w:tcPr>
            <w:tcW w:w="170" w:type="dxa"/>
            <w:tcBorders/>
            <w:shd w:fill="auto" w:val="clear"/>
            <w:vAlign w:val="center"/>
          </w:tcPr>
          <w:p>
            <w:pPr>
              <w:pStyle w:val="TableContents"/>
              <w:spacing w:before="0" w:after="283"/>
              <w:rPr/>
            </w:pPr>
            <w:r>
              <w:rPr/>
              <w:t> </w:t>
            </w:r>
          </w:p>
        </w:tc>
      </w:tr>
    </w:tbl>
    <w:p>
      <w:pPr>
        <w:pStyle w:val="TextBody"/>
        <w:spacing w:before="240" w:after="0"/>
        <w:jc w:val="left"/>
        <w:rPr>
          <w:rFonts w:ascii="ARIAL" w:hAnsi="ARIAL"/>
          <w:sz w:val="20"/>
        </w:rPr>
      </w:pPr>
      <w:r>
        <w:rPr>
          <w:rFonts w:ascii="ARIAL" w:hAnsi="ARIAL"/>
          <w:sz w:val="20"/>
        </w:rPr>
        <w:t xml:space="preserve">EBITDA is a non-GAAP financial measure which consists of net income attributable to Community Health Systems, Inc. before interest, income taxes, and depreciation and amortization. Adjusted EBITDA, also a non-GAAP financial measure, is EBITDA adjusted to add back net income attributable to noncontrolling interests and to exclude (gain) loss from early extinguishment of debt, impairment and (gain) loss on sale of businesses, gain on sale of equity interests in Macon Healthcare, LLC, expense related to government and other legal matters and related costs, expense incurred in the fourth quarter of 2020 related to the settlement of certain professional liability claims for which the third-party insurers’ obligation to insure the Company against the underlying loss was being litigated along with income during the fourth quarter of 2021 associated with the settlement of such litigation for the recovery of amounts covered by such third-party insurance policies, expense related to employee termination benefits and other restructuring charges, the impact of a change in estimate to increase the professional liability claims accrual recorded during the fourth quarter of 2022 with respect to claims incurred in prior years related to divested locations, the gain on sale by HealthTrust of a majority interest in CoreTrust Holdings, LLC (“CoreTrust”) and expense from settlement and fair value adjustments on the contingent value right (“CVR”) agreement liability related to the Health Management Associates, Inc. (“HMA”) legal proceedings and related legal expenses. The Company has from time to time sold noncontrolling interests in certain of its subsidiaries or acquired subsidiaries with existing noncontrolling interest ownership positions. The Company believes that it is useful to present Adjusted EBITDA because it adds back the portion of EBITDA attributable to these third-party interests. The Company reports Adjusted EBITDA as a measure of financial performance. Adjusted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A-1 </w:t>
      </w:r>
      <w:r>
        <w:br w:type="page"/>
      </w:r>
    </w:p>
    <w:p>
      <w:pPr>
        <w:pStyle w:val="HorizontalLine"/>
        <w:rPr/>
      </w:pPr>
      <w:r>
        <w:rPr/>
      </w:r>
    </w:p>
    <w:p>
      <w:pPr>
        <w:pStyle w:val="TextBody"/>
        <w:spacing w:before="0" w:after="0"/>
        <w:jc w:val="left"/>
        <w:rPr>
          <w:rFonts w:ascii="ARIAL" w:hAnsi="ARIAL"/>
          <w:sz w:val="20"/>
        </w:rPr>
      </w:pPr>
      <w:r>
        <w:rPr>
          <w:rFonts w:ascii="ARIAL" w:hAnsi="ARIAL"/>
          <w:sz w:val="20"/>
        </w:rPr>
        <w:t xml:space="preserve">EBITDA is a key measure used by management to assess the operating performance of the Company’s hospital operations and to make decisions on the allocation of resources. Adjusted EBITDA is also used to evaluate the performance of the Company’s executive management team and is one of the primary metrics used in connection with determining short-term cash incentive compensation and the achievement of vesting criteria with respect to performance-based equity awards. In addition, management utilizes Adjusted EBITDA in assessing the Company’s consolidated results of operations and operational performance and in comparing the Company’s results of operations between periods. The Company believes it is useful to provide investors and other users of the Company’s financial statements this performance measure to align with how management assesses the Company’s results of operations. Adjusted EBITDA also is comparable to a similar metric called Consolidated EBITDA, as defined in the Company’s asset-based loan facility (“ABL Facility”) and the Company’s existing note indentures, which is a key component in the determination of the Company’s compliance with certain covenants under the ABL Facility and such note indentures (including the Company’s ability to service debt and incur capital expenditures), and is used to determine the interest rate and commitment fee payable under the ABL Facility (although Adjusted EBITDA does not include all of the adjustments described in the ABL Facility). Adjusted EBITDA includes the Adjusted EBITDA attributable to hospitals that were divested during the course of such year, but in each case solely to the extent relating to the period prior to the consummation of the applicable divestiture. </w:t>
      </w:r>
    </w:p>
    <w:p>
      <w:pPr>
        <w:pStyle w:val="TextBody"/>
        <w:spacing w:before="240" w:after="0"/>
        <w:jc w:val="left"/>
        <w:rPr>
          <w:rFonts w:ascii="ARIAL" w:hAnsi="ARIAL"/>
          <w:sz w:val="20"/>
        </w:rPr>
      </w:pPr>
      <w:r>
        <w:rPr>
          <w:rFonts w:ascii="ARIAL" w:hAnsi="ARIAL"/>
          <w:sz w:val="20"/>
        </w:rPr>
        <w:t xml:space="preserve">Adjusted EBITDA is not a measurement of financial performance under GAAP. It should not be considered in isolation or as a substitute for net income, operating income, or any other performance measure calculated in accordance with GAAP. The items excluded from Adjusted EBITDA are significant components in understanding and evaluating financial performance. The Company believes such adjustments are appropriate as the magnitude and frequency of such items can vary significantly and are not related to the assessment of normal operating performance. Additionally, this calculation of Adjusted EBITDA may not be comparable to similarly titled measures disclosed by other companies. </w:t>
      </w:r>
    </w:p>
    <w:p>
      <w:pPr>
        <w:pStyle w:val="TextBody"/>
        <w:spacing w:before="240" w:after="0"/>
        <w:jc w:val="left"/>
        <w:rPr>
          <w:rFonts w:ascii="ARIAL" w:hAnsi="ARIAL"/>
          <w:sz w:val="20"/>
        </w:rPr>
      </w:pPr>
      <w:r>
        <w:rPr>
          <w:rFonts w:ascii="ARIAL" w:hAnsi="ARIAL"/>
          <w:sz w:val="20"/>
        </w:rPr>
        <w:t xml:space="preserve">The following table reconciles net income attributable to Community Health Systems, Inc. stockholders, as reported, on a per share (diluted) basis, to net (loss) income attributable to Community Health Systems, Inc. stockholders on a per share (diluted) basis, with the adjustments noted below for the years ended December 31, 2022, 2021 and 2020 (total per share amounts may not add due to rounding):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6230"/>
        <w:gridCol w:w="120"/>
        <w:gridCol w:w="140"/>
        <w:gridCol w:w="995"/>
        <w:gridCol w:w="155"/>
        <w:gridCol w:w="60"/>
        <w:gridCol w:w="140"/>
        <w:gridCol w:w="920"/>
        <w:gridCol w:w="155"/>
        <w:gridCol w:w="60"/>
        <w:gridCol w:w="140"/>
        <w:gridCol w:w="920"/>
        <w:gridCol w:w="170"/>
      </w:tblGrid>
      <w:tr>
        <w:trPr/>
        <w:tc>
          <w:tcPr>
            <w:tcW w:w="623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9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2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2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623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35"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2022</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60"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2021</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60"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2020</w:t>
            </w:r>
          </w:p>
        </w:tc>
        <w:tc>
          <w:tcPr>
            <w:tcW w:w="170" w:type="dxa"/>
            <w:tcBorders/>
            <w:shd w:fill="auto" w:val="clear"/>
            <w:vAlign w:val="center"/>
          </w:tcPr>
          <w:p>
            <w:pPr>
              <w:pStyle w:val="TableContents"/>
              <w:spacing w:before="0" w:after="283"/>
              <w:rPr/>
            </w:pPr>
            <w:r>
              <w:rPr/>
              <w:t> </w:t>
            </w:r>
          </w:p>
        </w:tc>
      </w:tr>
      <w:tr>
        <w:trPr/>
        <w:tc>
          <w:tcPr>
            <w:tcW w:w="6230" w:type="dxa"/>
            <w:tcBorders/>
            <w:shd w:fill="auto" w:val="clear"/>
            <w:vAlign w:val="center"/>
          </w:tcPr>
          <w:p>
            <w:pPr>
              <w:pStyle w:val="TableContents"/>
              <w:spacing w:before="0" w:after="0"/>
              <w:rPr>
                <w:rFonts w:ascii="ARIAL" w:hAnsi="ARIAL"/>
                <w:sz w:val="16"/>
              </w:rPr>
            </w:pPr>
            <w:r>
              <w:rPr>
                <w:rFonts w:ascii="ARIAL" w:hAnsi="ARIAL"/>
                <w:sz w:val="16"/>
              </w:rPr>
              <w:t>Net income per share (diluted), as reported</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95" w:type="dxa"/>
            <w:tcBorders/>
            <w:shd w:fill="auto" w:val="clear"/>
            <w:vAlign w:val="center"/>
          </w:tcPr>
          <w:p>
            <w:pPr>
              <w:pStyle w:val="TableContents"/>
              <w:spacing w:before="0" w:after="283"/>
              <w:jc w:val="right"/>
              <w:rPr/>
            </w:pPr>
            <w:r>
              <w:rPr/>
              <w:t>0.35</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20" w:type="dxa"/>
            <w:tcBorders/>
            <w:shd w:fill="auto" w:val="clear"/>
            <w:vAlign w:val="center"/>
          </w:tcPr>
          <w:p>
            <w:pPr>
              <w:pStyle w:val="TableContents"/>
              <w:spacing w:before="0" w:after="283"/>
              <w:jc w:val="right"/>
              <w:rPr/>
            </w:pPr>
            <w:r>
              <w:rPr/>
              <w:t>1.76</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20" w:type="dxa"/>
            <w:tcBorders/>
            <w:shd w:fill="auto" w:val="clear"/>
            <w:vAlign w:val="center"/>
          </w:tcPr>
          <w:p>
            <w:pPr>
              <w:pStyle w:val="TableContents"/>
              <w:spacing w:before="0" w:after="283"/>
              <w:jc w:val="right"/>
              <w:rPr/>
            </w:pPr>
            <w:r>
              <w:rPr/>
              <w:t>4.39</w:t>
            </w:r>
          </w:p>
        </w:tc>
        <w:tc>
          <w:tcPr>
            <w:tcW w:w="170" w:type="dxa"/>
            <w:tcBorders/>
            <w:shd w:fill="auto" w:val="clear"/>
            <w:vAlign w:val="center"/>
          </w:tcPr>
          <w:p>
            <w:pPr>
              <w:pStyle w:val="TableContents"/>
              <w:spacing w:before="0" w:after="283"/>
              <w:rPr/>
            </w:pPr>
            <w:r>
              <w:rPr/>
              <w:t> </w:t>
            </w:r>
          </w:p>
        </w:tc>
      </w:tr>
      <w:tr>
        <w:trPr/>
        <w:tc>
          <w:tcPr>
            <w:tcW w:w="6230" w:type="dxa"/>
            <w:tcBorders/>
            <w:shd w:fill="auto" w:val="clear"/>
            <w:vAlign w:val="center"/>
          </w:tcPr>
          <w:p>
            <w:pPr>
              <w:pStyle w:val="TableContents"/>
              <w:spacing w:before="0" w:after="0"/>
              <w:rPr>
                <w:rFonts w:ascii="ARIAL" w:hAnsi="ARIAL"/>
                <w:sz w:val="16"/>
              </w:rPr>
            </w:pPr>
            <w:r>
              <w:rPr>
                <w:rFonts w:ascii="ARIAL" w:hAnsi="ARIAL"/>
                <w:sz w:val="16"/>
              </w:rPr>
              <w:t>Adjustments: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sz w:val="4"/>
                <w:szCs w:val="4"/>
              </w:rPr>
            </w:pPr>
            <w:r>
              <w:rPr>
                <w:sz w:val="4"/>
                <w:szCs w:val="4"/>
              </w:rPr>
            </w:r>
          </w:p>
        </w:tc>
        <w:tc>
          <w:tcPr>
            <w:tcW w:w="99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sz w:val="4"/>
                <w:szCs w:val="4"/>
              </w:rPr>
            </w:pPr>
            <w:r>
              <w:rPr>
                <w:sz w:val="4"/>
                <w:szCs w:val="4"/>
              </w:rPr>
            </w:r>
          </w:p>
        </w:tc>
        <w:tc>
          <w:tcPr>
            <w:tcW w:w="92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sz w:val="4"/>
                <w:szCs w:val="4"/>
              </w:rPr>
            </w:pPr>
            <w:r>
              <w:rPr>
                <w:sz w:val="4"/>
                <w:szCs w:val="4"/>
              </w:rPr>
            </w:r>
          </w:p>
        </w:tc>
        <w:tc>
          <w:tcPr>
            <w:tcW w:w="92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6230" w:type="dxa"/>
            <w:tcBorders/>
            <w:shd w:fill="auto" w:val="clear"/>
            <w:vAlign w:val="center"/>
          </w:tcPr>
          <w:p>
            <w:pPr>
              <w:pStyle w:val="TableContents"/>
              <w:spacing w:before="0" w:after="0"/>
              <w:rPr>
                <w:rFonts w:ascii="ARIAL" w:hAnsi="ARIAL"/>
                <w:sz w:val="16"/>
              </w:rPr>
            </w:pPr>
            <w:r>
              <w:rPr>
                <w:rFonts w:ascii="ARIAL" w:hAnsi="ARIAL"/>
                <w:sz w:val="16"/>
              </w:rPr>
              <w:t>(Gain) loss from early extinguishment of debt</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95" w:type="dxa"/>
            <w:tcBorders/>
            <w:shd w:fill="auto" w:val="clear"/>
            <w:vAlign w:val="center"/>
          </w:tcPr>
          <w:p>
            <w:pPr>
              <w:pStyle w:val="TableContents"/>
              <w:spacing w:before="0" w:after="283"/>
              <w:jc w:val="right"/>
              <w:rPr/>
            </w:pPr>
            <w:r>
              <w:rPr/>
              <w:t>(1.60</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20" w:type="dxa"/>
            <w:tcBorders/>
            <w:shd w:fill="auto" w:val="clear"/>
            <w:vAlign w:val="center"/>
          </w:tcPr>
          <w:p>
            <w:pPr>
              <w:pStyle w:val="TableContents"/>
              <w:spacing w:before="0" w:after="283"/>
              <w:jc w:val="right"/>
              <w:rPr/>
            </w:pPr>
            <w:r>
              <w:rPr/>
              <w:t>0.89</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20" w:type="dxa"/>
            <w:tcBorders/>
            <w:shd w:fill="auto" w:val="clear"/>
            <w:vAlign w:val="center"/>
          </w:tcPr>
          <w:p>
            <w:pPr>
              <w:pStyle w:val="TableContents"/>
              <w:spacing w:before="0" w:after="283"/>
              <w:jc w:val="right"/>
              <w:rPr/>
            </w:pPr>
            <w:r>
              <w:rPr/>
              <w:t>(3.02</w:t>
            </w:r>
          </w:p>
        </w:tc>
        <w:tc>
          <w:tcPr>
            <w:tcW w:w="170" w:type="dxa"/>
            <w:tcBorders/>
            <w:shd w:fill="auto" w:val="clear"/>
            <w:vAlign w:val="center"/>
          </w:tcPr>
          <w:p>
            <w:pPr>
              <w:pStyle w:val="TableContents"/>
              <w:spacing w:before="0" w:after="283"/>
              <w:rPr/>
            </w:pPr>
            <w:r>
              <w:rPr/>
              <w:t>) </w:t>
            </w:r>
          </w:p>
        </w:tc>
      </w:tr>
      <w:tr>
        <w:trPr/>
        <w:tc>
          <w:tcPr>
            <w:tcW w:w="6230" w:type="dxa"/>
            <w:tcBorders/>
            <w:shd w:fill="auto" w:val="clear"/>
            <w:vAlign w:val="center"/>
          </w:tcPr>
          <w:p>
            <w:pPr>
              <w:pStyle w:val="TableContents"/>
              <w:spacing w:before="0" w:after="0"/>
              <w:rPr>
                <w:rFonts w:ascii="ARIAL" w:hAnsi="ARIAL"/>
                <w:sz w:val="16"/>
              </w:rPr>
            </w:pPr>
            <w:r>
              <w:rPr>
                <w:rFonts w:ascii="ARIAL" w:hAnsi="ARIAL"/>
                <w:sz w:val="16"/>
              </w:rPr>
              <w:t>Impairment and (gain) loss on sale of businesses, net</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95" w:type="dxa"/>
            <w:tcBorders/>
            <w:shd w:fill="auto" w:val="clear"/>
            <w:vAlign w:val="center"/>
          </w:tcPr>
          <w:p>
            <w:pPr>
              <w:pStyle w:val="TableContents"/>
              <w:spacing w:before="0" w:after="283"/>
              <w:jc w:val="right"/>
              <w:rPr/>
            </w:pPr>
            <w:r>
              <w:rPr/>
              <w:t>0.42</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20" w:type="dxa"/>
            <w:tcBorders/>
            <w:shd w:fill="auto" w:val="clear"/>
            <w:vAlign w:val="center"/>
          </w:tcPr>
          <w:p>
            <w:pPr>
              <w:pStyle w:val="TableContents"/>
              <w:spacing w:before="0" w:after="283"/>
              <w:jc w:val="right"/>
              <w:rPr/>
            </w:pPr>
            <w:r>
              <w:rPr/>
              <w:t>0.15</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20" w:type="dxa"/>
            <w:tcBorders/>
            <w:shd w:fill="auto" w:val="clear"/>
            <w:vAlign w:val="center"/>
          </w:tcPr>
          <w:p>
            <w:pPr>
              <w:pStyle w:val="TableContents"/>
              <w:spacing w:before="0" w:after="283"/>
              <w:jc w:val="right"/>
              <w:rPr/>
            </w:pPr>
            <w:r>
              <w:rPr/>
              <w:t>0.69</w:t>
            </w:r>
          </w:p>
        </w:tc>
        <w:tc>
          <w:tcPr>
            <w:tcW w:w="170" w:type="dxa"/>
            <w:tcBorders/>
            <w:shd w:fill="auto" w:val="clear"/>
            <w:vAlign w:val="center"/>
          </w:tcPr>
          <w:p>
            <w:pPr>
              <w:pStyle w:val="TableContents"/>
              <w:spacing w:before="0" w:after="283"/>
              <w:rPr/>
            </w:pPr>
            <w:r>
              <w:rPr/>
              <w:t> </w:t>
            </w:r>
          </w:p>
        </w:tc>
      </w:tr>
      <w:tr>
        <w:trPr/>
        <w:tc>
          <w:tcPr>
            <w:tcW w:w="6230" w:type="dxa"/>
            <w:tcBorders/>
            <w:shd w:fill="auto" w:val="clear"/>
            <w:vAlign w:val="center"/>
          </w:tcPr>
          <w:p>
            <w:pPr>
              <w:pStyle w:val="TableContents"/>
              <w:spacing w:before="0" w:after="0"/>
              <w:rPr>
                <w:rFonts w:ascii="ARIAL" w:hAnsi="ARIAL"/>
                <w:sz w:val="16"/>
              </w:rPr>
            </w:pPr>
            <w:r>
              <w:rPr>
                <w:rFonts w:ascii="ARIAL" w:hAnsi="ARIAL"/>
                <w:sz w:val="16"/>
              </w:rPr>
              <w:t>Gain from CoreTrust transaction</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95" w:type="dxa"/>
            <w:tcBorders/>
            <w:shd w:fill="auto" w:val="clear"/>
            <w:vAlign w:val="center"/>
          </w:tcPr>
          <w:p>
            <w:pPr>
              <w:pStyle w:val="TableContents"/>
              <w:spacing w:before="0" w:after="283"/>
              <w:jc w:val="right"/>
              <w:rPr/>
            </w:pPr>
            <w:r>
              <w:rPr/>
              <w:t>(0.71</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20" w:type="dxa"/>
            <w:tcBorders/>
            <w:shd w:fill="auto" w:val="clear"/>
            <w:vAlign w:val="center"/>
          </w:tcPr>
          <w:p>
            <w:pPr>
              <w:pStyle w:val="TableContents"/>
              <w:spacing w:before="0" w:after="283"/>
              <w:jc w:val="right"/>
              <w:rPr/>
            </w:pPr>
            <w:r>
              <w:rPr/>
              <w:t>-</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20" w:type="dxa"/>
            <w:tcBorders/>
            <w:shd w:fill="auto" w:val="clear"/>
            <w:vAlign w:val="center"/>
          </w:tcPr>
          <w:p>
            <w:pPr>
              <w:pStyle w:val="TableContents"/>
              <w:spacing w:before="0" w:after="283"/>
              <w:jc w:val="right"/>
              <w:rPr/>
            </w:pPr>
            <w:r>
              <w:rPr/>
              <w:t>-</w:t>
            </w:r>
          </w:p>
        </w:tc>
        <w:tc>
          <w:tcPr>
            <w:tcW w:w="170" w:type="dxa"/>
            <w:tcBorders/>
            <w:shd w:fill="auto" w:val="clear"/>
            <w:vAlign w:val="center"/>
          </w:tcPr>
          <w:p>
            <w:pPr>
              <w:pStyle w:val="TableContents"/>
              <w:spacing w:before="0" w:after="283"/>
              <w:rPr/>
            </w:pPr>
            <w:r>
              <w:rPr/>
              <w:t> </w:t>
            </w:r>
          </w:p>
        </w:tc>
      </w:tr>
      <w:tr>
        <w:trPr/>
        <w:tc>
          <w:tcPr>
            <w:tcW w:w="6230" w:type="dxa"/>
            <w:tcBorders/>
            <w:shd w:fill="auto" w:val="clear"/>
            <w:vAlign w:val="center"/>
          </w:tcPr>
          <w:p>
            <w:pPr>
              <w:pStyle w:val="TableContents"/>
              <w:spacing w:before="0" w:after="0"/>
              <w:rPr>
                <w:rFonts w:ascii="ARIAL" w:hAnsi="ARIAL"/>
                <w:sz w:val="16"/>
              </w:rPr>
            </w:pPr>
            <w:r>
              <w:rPr>
                <w:rFonts w:ascii="ARIAL" w:hAnsi="ARIAL"/>
                <w:sz w:val="16"/>
              </w:rPr>
              <w:t>Gain on sale of equity interests in Macon Healthcare, LLC</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95" w:type="dxa"/>
            <w:tcBorders/>
            <w:shd w:fill="auto" w:val="clear"/>
            <w:vAlign w:val="center"/>
          </w:tcPr>
          <w:p>
            <w:pPr>
              <w:pStyle w:val="TableContents"/>
              <w:spacing w:before="0" w:after="283"/>
              <w:jc w:val="right"/>
              <w:rPr/>
            </w:pPr>
            <w:r>
              <w:rPr/>
              <w:t>-</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20" w:type="dxa"/>
            <w:tcBorders/>
            <w:shd w:fill="auto" w:val="clear"/>
            <w:vAlign w:val="center"/>
          </w:tcPr>
          <w:p>
            <w:pPr>
              <w:pStyle w:val="TableContents"/>
              <w:spacing w:before="0" w:after="283"/>
              <w:jc w:val="right"/>
              <w:rPr/>
            </w:pPr>
            <w:r>
              <w:rPr/>
              <w:t>(0.24</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20" w:type="dxa"/>
            <w:tcBorders/>
            <w:shd w:fill="auto" w:val="clear"/>
            <w:vAlign w:val="center"/>
          </w:tcPr>
          <w:p>
            <w:pPr>
              <w:pStyle w:val="TableContents"/>
              <w:spacing w:before="0" w:after="283"/>
              <w:jc w:val="right"/>
              <w:rPr/>
            </w:pPr>
            <w:r>
              <w:rPr/>
              <w:t>-</w:t>
            </w:r>
          </w:p>
        </w:tc>
        <w:tc>
          <w:tcPr>
            <w:tcW w:w="170" w:type="dxa"/>
            <w:tcBorders/>
            <w:shd w:fill="auto" w:val="clear"/>
            <w:vAlign w:val="center"/>
          </w:tcPr>
          <w:p>
            <w:pPr>
              <w:pStyle w:val="TableContents"/>
              <w:spacing w:before="0" w:after="283"/>
              <w:rPr/>
            </w:pPr>
            <w:r>
              <w:rPr/>
              <w:t> </w:t>
            </w:r>
          </w:p>
        </w:tc>
      </w:tr>
      <w:tr>
        <w:trPr/>
        <w:tc>
          <w:tcPr>
            <w:tcW w:w="6230" w:type="dxa"/>
            <w:tcBorders/>
            <w:shd w:fill="auto" w:val="clear"/>
            <w:vAlign w:val="center"/>
          </w:tcPr>
          <w:p>
            <w:pPr>
              <w:pStyle w:val="TableContents"/>
              <w:spacing w:before="0" w:after="0"/>
              <w:rPr>
                <w:rFonts w:ascii="ARIAL" w:hAnsi="ARIAL"/>
                <w:sz w:val="16"/>
              </w:rPr>
            </w:pPr>
            <w:r>
              <w:rPr>
                <w:rFonts w:ascii="ARIAL" w:hAnsi="ARIAL"/>
                <w:sz w:val="16"/>
              </w:rPr>
              <w:t>Expense from government and other legal matters and related costs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95" w:type="dxa"/>
            <w:tcBorders/>
            <w:shd w:fill="auto" w:val="clear"/>
            <w:vAlign w:val="center"/>
          </w:tcPr>
          <w:p>
            <w:pPr>
              <w:pStyle w:val="TableContents"/>
              <w:spacing w:before="0" w:after="283"/>
              <w:jc w:val="right"/>
              <w:rPr/>
            </w:pPr>
            <w:r>
              <w:rPr/>
              <w:t>0.03</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20" w:type="dxa"/>
            <w:tcBorders/>
            <w:shd w:fill="auto" w:val="clear"/>
            <w:vAlign w:val="center"/>
          </w:tcPr>
          <w:p>
            <w:pPr>
              <w:pStyle w:val="TableContents"/>
              <w:spacing w:before="0" w:after="283"/>
              <w:jc w:val="right"/>
              <w:rPr/>
            </w:pPr>
            <w:r>
              <w:rPr/>
              <w:t>-</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20" w:type="dxa"/>
            <w:tcBorders/>
            <w:shd w:fill="auto" w:val="clear"/>
            <w:vAlign w:val="center"/>
          </w:tcPr>
          <w:p>
            <w:pPr>
              <w:pStyle w:val="TableContents"/>
              <w:spacing w:before="0" w:after="283"/>
              <w:jc w:val="right"/>
              <w:rPr/>
            </w:pPr>
            <w:r>
              <w:rPr/>
              <w:t>-</w:t>
            </w:r>
          </w:p>
        </w:tc>
        <w:tc>
          <w:tcPr>
            <w:tcW w:w="170" w:type="dxa"/>
            <w:tcBorders/>
            <w:shd w:fill="auto" w:val="clear"/>
            <w:vAlign w:val="center"/>
          </w:tcPr>
          <w:p>
            <w:pPr>
              <w:pStyle w:val="TableContents"/>
              <w:spacing w:before="0" w:after="283"/>
              <w:rPr/>
            </w:pPr>
            <w:r>
              <w:rPr/>
              <w:t> </w:t>
            </w:r>
          </w:p>
        </w:tc>
      </w:tr>
      <w:tr>
        <w:trPr/>
        <w:tc>
          <w:tcPr>
            <w:tcW w:w="6230" w:type="dxa"/>
            <w:tcBorders/>
            <w:shd w:fill="auto" w:val="clear"/>
            <w:vAlign w:val="center"/>
          </w:tcPr>
          <w:p>
            <w:pPr>
              <w:pStyle w:val="TableContents"/>
              <w:spacing w:before="0" w:after="0"/>
              <w:rPr>
                <w:rFonts w:ascii="ARIAL" w:hAnsi="ARIAL"/>
                <w:sz w:val="16"/>
              </w:rPr>
            </w:pPr>
            <w:r>
              <w:rPr>
                <w:rFonts w:ascii="ARIAL" w:hAnsi="ARIAL"/>
                <w:sz w:val="16"/>
              </w:rPr>
              <w:t>(Income) expense from the settlement of professional liability claims for which the third-party insurers’ obligation to insure the Company for the underlying loss has been settled</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95" w:type="dxa"/>
            <w:tcBorders/>
            <w:shd w:fill="auto" w:val="clear"/>
            <w:vAlign w:val="center"/>
          </w:tcPr>
          <w:p>
            <w:pPr>
              <w:pStyle w:val="TableContents"/>
              <w:spacing w:before="0" w:after="283"/>
              <w:jc w:val="right"/>
              <w:rPr/>
            </w:pPr>
            <w:r>
              <w:rPr/>
              <w:t>-</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20" w:type="dxa"/>
            <w:tcBorders/>
            <w:shd w:fill="auto" w:val="clear"/>
            <w:vAlign w:val="center"/>
          </w:tcPr>
          <w:p>
            <w:pPr>
              <w:pStyle w:val="TableContents"/>
              <w:spacing w:before="0" w:after="283"/>
              <w:jc w:val="right"/>
              <w:rPr/>
            </w:pPr>
            <w:r>
              <w:rPr/>
              <w:t>(0.11</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20" w:type="dxa"/>
            <w:tcBorders/>
            <w:shd w:fill="auto" w:val="clear"/>
            <w:vAlign w:val="center"/>
          </w:tcPr>
          <w:p>
            <w:pPr>
              <w:pStyle w:val="TableContents"/>
              <w:spacing w:before="0" w:after="283"/>
              <w:jc w:val="right"/>
              <w:rPr/>
            </w:pPr>
            <w:r>
              <w:rPr/>
              <w:t>0.33</w:t>
            </w:r>
          </w:p>
        </w:tc>
        <w:tc>
          <w:tcPr>
            <w:tcW w:w="170" w:type="dxa"/>
            <w:tcBorders/>
            <w:shd w:fill="auto" w:val="clear"/>
            <w:vAlign w:val="center"/>
          </w:tcPr>
          <w:p>
            <w:pPr>
              <w:pStyle w:val="TableContents"/>
              <w:spacing w:before="0" w:after="283"/>
              <w:rPr/>
            </w:pPr>
            <w:r>
              <w:rPr/>
              <w:t> </w:t>
            </w:r>
          </w:p>
        </w:tc>
      </w:tr>
      <w:tr>
        <w:trPr/>
        <w:tc>
          <w:tcPr>
            <w:tcW w:w="6230" w:type="dxa"/>
            <w:tcBorders/>
            <w:shd w:fill="auto" w:val="clear"/>
            <w:vAlign w:val="center"/>
          </w:tcPr>
          <w:p>
            <w:pPr>
              <w:pStyle w:val="TableContents"/>
              <w:spacing w:before="0" w:after="0"/>
              <w:rPr>
                <w:rFonts w:ascii="ARIAL" w:hAnsi="ARIAL"/>
                <w:sz w:val="16"/>
              </w:rPr>
            </w:pPr>
            <w:r>
              <w:rPr>
                <w:rFonts w:ascii="ARIAL" w:hAnsi="ARIAL"/>
                <w:sz w:val="16"/>
              </w:rPr>
              <w:t>Expense from settlement and legal expenses related to cases covered by the CVR</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95" w:type="dxa"/>
            <w:tcBorders/>
            <w:shd w:fill="auto" w:val="clear"/>
            <w:vAlign w:val="center"/>
          </w:tcPr>
          <w:p>
            <w:pPr>
              <w:pStyle w:val="TableContents"/>
              <w:spacing w:before="0" w:after="283"/>
              <w:jc w:val="right"/>
              <w:rPr/>
            </w:pPr>
            <w:r>
              <w:rPr/>
              <w:t>-</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20" w:type="dxa"/>
            <w:tcBorders/>
            <w:shd w:fill="auto" w:val="clear"/>
            <w:vAlign w:val="center"/>
          </w:tcPr>
          <w:p>
            <w:pPr>
              <w:pStyle w:val="TableContents"/>
              <w:spacing w:before="0" w:after="283"/>
              <w:jc w:val="right"/>
              <w:rPr/>
            </w:pPr>
            <w:r>
              <w:rPr/>
              <w:t>-</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20" w:type="dxa"/>
            <w:tcBorders/>
            <w:shd w:fill="auto" w:val="clear"/>
            <w:vAlign w:val="center"/>
          </w:tcPr>
          <w:p>
            <w:pPr>
              <w:pStyle w:val="TableContents"/>
              <w:spacing w:before="0" w:after="283"/>
              <w:jc w:val="right"/>
              <w:rPr/>
            </w:pPr>
            <w:r>
              <w:rPr/>
              <w:t>0.01</w:t>
            </w:r>
          </w:p>
        </w:tc>
        <w:tc>
          <w:tcPr>
            <w:tcW w:w="170" w:type="dxa"/>
            <w:tcBorders/>
            <w:shd w:fill="auto" w:val="clear"/>
            <w:vAlign w:val="center"/>
          </w:tcPr>
          <w:p>
            <w:pPr>
              <w:pStyle w:val="TableContents"/>
              <w:spacing w:before="0" w:after="283"/>
              <w:rPr/>
            </w:pPr>
            <w:r>
              <w:rPr/>
              <w:t> </w:t>
            </w:r>
          </w:p>
        </w:tc>
      </w:tr>
      <w:tr>
        <w:trPr/>
        <w:tc>
          <w:tcPr>
            <w:tcW w:w="6230" w:type="dxa"/>
            <w:tcBorders/>
            <w:shd w:fill="auto" w:val="clear"/>
            <w:vAlign w:val="center"/>
          </w:tcPr>
          <w:p>
            <w:pPr>
              <w:pStyle w:val="TableContents"/>
              <w:spacing w:before="0" w:after="0"/>
              <w:rPr>
                <w:rFonts w:ascii="ARIAL" w:hAnsi="ARIAL"/>
                <w:sz w:val="16"/>
              </w:rPr>
            </w:pPr>
            <w:r>
              <w:rPr>
                <w:rFonts w:ascii="ARIAL" w:hAnsi="ARIAL"/>
                <w:sz w:val="16"/>
              </w:rPr>
              <w:t>Expense related to employee termination benefits and other restructuring charges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95" w:type="dxa"/>
            <w:tcBorders/>
            <w:shd w:fill="auto" w:val="clear"/>
            <w:vAlign w:val="center"/>
          </w:tcPr>
          <w:p>
            <w:pPr>
              <w:pStyle w:val="TableContents"/>
              <w:spacing w:before="0" w:after="283"/>
              <w:jc w:val="right"/>
              <w:rPr/>
            </w:pPr>
            <w:r>
              <w:rPr/>
              <w:t>0.04</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20" w:type="dxa"/>
            <w:tcBorders/>
            <w:shd w:fill="auto" w:val="clear"/>
            <w:vAlign w:val="center"/>
          </w:tcPr>
          <w:p>
            <w:pPr>
              <w:pStyle w:val="TableContents"/>
              <w:spacing w:before="0" w:after="283"/>
              <w:jc w:val="right"/>
              <w:rPr/>
            </w:pPr>
            <w:r>
              <w:rPr/>
              <w:t>-</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20" w:type="dxa"/>
            <w:tcBorders/>
            <w:shd w:fill="auto" w:val="clear"/>
            <w:vAlign w:val="center"/>
          </w:tcPr>
          <w:p>
            <w:pPr>
              <w:pStyle w:val="TableContents"/>
              <w:spacing w:before="0" w:after="283"/>
              <w:jc w:val="right"/>
              <w:rPr/>
            </w:pPr>
            <w:r>
              <w:rPr/>
              <w:t>0.11</w:t>
            </w:r>
          </w:p>
        </w:tc>
        <w:tc>
          <w:tcPr>
            <w:tcW w:w="170" w:type="dxa"/>
            <w:tcBorders/>
            <w:shd w:fill="auto" w:val="clear"/>
            <w:vAlign w:val="center"/>
          </w:tcPr>
          <w:p>
            <w:pPr>
              <w:pStyle w:val="TableContents"/>
              <w:spacing w:before="0" w:after="283"/>
              <w:rPr/>
            </w:pPr>
            <w:r>
              <w:rPr/>
              <w:t> </w:t>
            </w:r>
          </w:p>
        </w:tc>
      </w:tr>
      <w:tr>
        <w:trPr/>
        <w:tc>
          <w:tcPr>
            <w:tcW w:w="6230" w:type="dxa"/>
            <w:tcBorders/>
            <w:shd w:fill="auto" w:val="clear"/>
            <w:vAlign w:val="center"/>
          </w:tcPr>
          <w:p>
            <w:pPr>
              <w:pStyle w:val="TableContents"/>
              <w:spacing w:before="0" w:after="0"/>
              <w:rPr>
                <w:rFonts w:ascii="ARIAL" w:hAnsi="ARIAL"/>
                <w:sz w:val="16"/>
              </w:rPr>
            </w:pPr>
            <w:r>
              <w:rPr>
                <w:rFonts w:ascii="ARIAL" w:hAnsi="ARIAL"/>
                <w:sz w:val="16"/>
              </w:rPr>
              <w:t>Change in tax valuation allowance</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95" w:type="dxa"/>
            <w:tcBorders/>
            <w:shd w:fill="auto" w:val="clear"/>
            <w:vAlign w:val="center"/>
          </w:tcPr>
          <w:p>
            <w:pPr>
              <w:pStyle w:val="TableContents"/>
              <w:spacing w:before="0" w:after="283"/>
              <w:jc w:val="right"/>
              <w:rPr/>
            </w:pPr>
            <w:r>
              <w:rPr/>
              <w:t>-</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20" w:type="dxa"/>
            <w:tcBorders/>
            <w:shd w:fill="auto" w:val="clear"/>
            <w:vAlign w:val="center"/>
          </w:tcPr>
          <w:p>
            <w:pPr>
              <w:pStyle w:val="TableContents"/>
              <w:spacing w:before="0" w:after="283"/>
              <w:jc w:val="right"/>
              <w:rPr/>
            </w:pPr>
            <w:r>
              <w:rPr/>
              <w:t>-</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20" w:type="dxa"/>
            <w:tcBorders/>
            <w:shd w:fill="auto" w:val="clear"/>
            <w:vAlign w:val="center"/>
          </w:tcPr>
          <w:p>
            <w:pPr>
              <w:pStyle w:val="TableContents"/>
              <w:spacing w:before="0" w:after="283"/>
              <w:jc w:val="right"/>
              <w:rPr/>
            </w:pPr>
            <w:r>
              <w:rPr/>
              <w:t>(2.06</w:t>
            </w:r>
          </w:p>
        </w:tc>
        <w:tc>
          <w:tcPr>
            <w:tcW w:w="170" w:type="dxa"/>
            <w:tcBorders/>
            <w:shd w:fill="auto" w:val="clear"/>
            <w:vAlign w:val="center"/>
          </w:tcPr>
          <w:p>
            <w:pPr>
              <w:pStyle w:val="TableContents"/>
              <w:spacing w:before="0" w:after="283"/>
              <w:rPr/>
            </w:pPr>
            <w:r>
              <w:rPr/>
              <w:t>) </w:t>
            </w:r>
          </w:p>
        </w:tc>
      </w:tr>
      <w:tr>
        <w:trPr/>
        <w:tc>
          <w:tcPr>
            <w:tcW w:w="6230" w:type="dxa"/>
            <w:tcBorders/>
            <w:shd w:fill="auto" w:val="clear"/>
            <w:vAlign w:val="center"/>
          </w:tcPr>
          <w:p>
            <w:pPr>
              <w:pStyle w:val="TableContents"/>
              <w:spacing w:before="0" w:after="0"/>
              <w:rPr>
                <w:rFonts w:ascii="ARIAL" w:hAnsi="ARIAL"/>
                <w:sz w:val="16"/>
              </w:rPr>
            </w:pPr>
            <w:r>
              <w:rPr>
                <w:rFonts w:ascii="ARIAL" w:hAnsi="ARIAL"/>
                <w:sz w:val="16"/>
              </w:rPr>
              <w:t>Change in estimate for professional claims liability related to divested locations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95" w:type="dxa"/>
            <w:tcBorders/>
            <w:shd w:fill="auto" w:val="clear"/>
            <w:vAlign w:val="center"/>
          </w:tcPr>
          <w:p>
            <w:pPr>
              <w:pStyle w:val="TableContents"/>
              <w:spacing w:before="0" w:after="283"/>
              <w:jc w:val="right"/>
              <w:rPr/>
            </w:pPr>
            <w:r>
              <w:rPr/>
              <w:t>0.09</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20" w:type="dxa"/>
            <w:tcBorders/>
            <w:shd w:fill="auto" w:val="clear"/>
            <w:vAlign w:val="center"/>
          </w:tcPr>
          <w:p>
            <w:pPr>
              <w:pStyle w:val="TableContents"/>
              <w:spacing w:before="0" w:after="283"/>
              <w:jc w:val="right"/>
              <w:rPr/>
            </w:pPr>
            <w:r>
              <w:rPr/>
              <w:t>-</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20" w:type="dxa"/>
            <w:tcBorders/>
            <w:shd w:fill="auto" w:val="clear"/>
            <w:vAlign w:val="center"/>
          </w:tcPr>
          <w:p>
            <w:pPr>
              <w:pStyle w:val="TableContents"/>
              <w:spacing w:before="0" w:after="283"/>
              <w:jc w:val="right"/>
              <w:rPr/>
            </w:pPr>
            <w:r>
              <w:rPr/>
              <w:t>-</w:t>
            </w:r>
          </w:p>
        </w:tc>
        <w:tc>
          <w:tcPr>
            <w:tcW w:w="170" w:type="dxa"/>
            <w:tcBorders/>
            <w:shd w:fill="auto" w:val="clear"/>
            <w:vAlign w:val="center"/>
          </w:tcPr>
          <w:p>
            <w:pPr>
              <w:pStyle w:val="TableContents"/>
              <w:spacing w:before="0" w:after="283"/>
              <w:rPr/>
            </w:pPr>
            <w:r>
              <w:rPr/>
              <w:t> </w:t>
            </w:r>
          </w:p>
        </w:tc>
      </w:tr>
      <w:tr>
        <w:trPr/>
        <w:tc>
          <w:tcPr>
            <w:tcW w:w="623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single" w:sz="2" w:space="1" w:color="000000"/>
              </w:pBdr>
              <w:spacing w:before="0" w:after="0"/>
              <w:rPr/>
            </w:pPr>
            <w:r>
              <w:rPr/>
              <w:t> </w:t>
            </w:r>
          </w:p>
        </w:tc>
        <w:tc>
          <w:tcPr>
            <w:tcW w:w="995" w:type="dxa"/>
            <w:tcBorders/>
            <w:shd w:fill="auto" w:val="clear"/>
            <w:vAlign w:val="center"/>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single" w:sz="2" w:space="1" w:color="000000"/>
              </w:pBdr>
              <w:spacing w:before="0" w:after="0"/>
              <w:rPr/>
            </w:pPr>
            <w:r>
              <w:rPr/>
              <w:t> </w:t>
            </w:r>
          </w:p>
        </w:tc>
        <w:tc>
          <w:tcPr>
            <w:tcW w:w="920" w:type="dxa"/>
            <w:tcBorders/>
            <w:shd w:fill="auto" w:val="clear"/>
            <w:vAlign w:val="center"/>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single" w:sz="2" w:space="1" w:color="000000"/>
              </w:pBdr>
              <w:spacing w:before="0" w:after="0"/>
              <w:rPr/>
            </w:pPr>
            <w:r>
              <w:rPr/>
              <w:t> </w:t>
            </w:r>
          </w:p>
        </w:tc>
        <w:tc>
          <w:tcPr>
            <w:tcW w:w="920" w:type="dxa"/>
            <w:tcBorders/>
            <w:shd w:fill="auto" w:val="clear"/>
            <w:vAlign w:val="center"/>
          </w:tcPr>
          <w:p>
            <w:pPr>
              <w:pStyle w:val="TableContents"/>
              <w:pBdr>
                <w:top w:val="single" w:sz="2" w:space="1" w:color="000000"/>
              </w:pBdr>
              <w:spacing w:before="0" w:after="0"/>
              <w:rPr/>
            </w:pPr>
            <w:r>
              <w:rPr/>
              <w:t> </w:t>
            </w:r>
          </w:p>
        </w:tc>
        <w:tc>
          <w:tcPr>
            <w:tcW w:w="170" w:type="dxa"/>
            <w:tcBorders/>
            <w:shd w:fill="auto" w:val="clear"/>
            <w:vAlign w:val="center"/>
          </w:tcPr>
          <w:p>
            <w:pPr>
              <w:pStyle w:val="TableContents"/>
              <w:spacing w:before="0" w:after="283"/>
              <w:rPr/>
            </w:pPr>
            <w:r>
              <w:rPr/>
              <w:t> </w:t>
            </w:r>
          </w:p>
        </w:tc>
      </w:tr>
      <w:tr>
        <w:trPr/>
        <w:tc>
          <w:tcPr>
            <w:tcW w:w="6230" w:type="dxa"/>
            <w:tcBorders/>
            <w:shd w:fill="auto" w:val="clear"/>
            <w:vAlign w:val="center"/>
          </w:tcPr>
          <w:p>
            <w:pPr>
              <w:pStyle w:val="TableContents"/>
              <w:spacing w:before="0" w:after="0"/>
              <w:rPr>
                <w:rFonts w:ascii="ARIAL" w:hAnsi="ARIAL"/>
                <w:sz w:val="16"/>
              </w:rPr>
            </w:pPr>
            <w:r>
              <w:rPr>
                <w:rFonts w:ascii="ARIAL" w:hAnsi="ARIAL"/>
                <w:sz w:val="16"/>
              </w:rPr>
              <w:t>Net (loss) income per share (diluted), excluding adjustments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95" w:type="dxa"/>
            <w:tcBorders/>
            <w:shd w:fill="auto" w:val="clear"/>
            <w:vAlign w:val="center"/>
          </w:tcPr>
          <w:p>
            <w:pPr>
              <w:pStyle w:val="TableContents"/>
              <w:spacing w:before="0" w:after="283"/>
              <w:jc w:val="right"/>
              <w:rPr/>
            </w:pPr>
            <w:r>
              <w:rPr/>
              <w:t>        </w:t>
            </w:r>
            <w:r>
              <w:rPr/>
              <w:t>(1.38</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20" w:type="dxa"/>
            <w:tcBorders/>
            <w:shd w:fill="auto" w:val="clear"/>
            <w:vAlign w:val="center"/>
          </w:tcPr>
          <w:p>
            <w:pPr>
              <w:pStyle w:val="TableContents"/>
              <w:spacing w:before="0" w:after="283"/>
              <w:jc w:val="right"/>
              <w:rPr/>
            </w:pPr>
            <w:r>
              <w:rPr/>
              <w:t>        </w:t>
            </w:r>
            <w:r>
              <w:rPr/>
              <w:t>2.45</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20" w:type="dxa"/>
            <w:tcBorders/>
            <w:shd w:fill="auto" w:val="clear"/>
            <w:vAlign w:val="center"/>
          </w:tcPr>
          <w:p>
            <w:pPr>
              <w:pStyle w:val="TableContents"/>
              <w:spacing w:before="0" w:after="283"/>
              <w:jc w:val="right"/>
              <w:rPr/>
            </w:pPr>
            <w:r>
              <w:rPr/>
              <w:t>        </w:t>
            </w:r>
            <w:r>
              <w:rPr/>
              <w:t>0.45</w:t>
            </w:r>
          </w:p>
        </w:tc>
        <w:tc>
          <w:tcPr>
            <w:tcW w:w="170" w:type="dxa"/>
            <w:tcBorders/>
            <w:shd w:fill="auto" w:val="clear"/>
            <w:vAlign w:val="center"/>
          </w:tcPr>
          <w:p>
            <w:pPr>
              <w:pStyle w:val="TableContents"/>
              <w:spacing w:before="0" w:after="283"/>
              <w:rPr/>
            </w:pPr>
            <w:r>
              <w:rPr/>
              <w:t> </w:t>
            </w:r>
          </w:p>
        </w:tc>
      </w:tr>
      <w:tr>
        <w:trPr/>
        <w:tc>
          <w:tcPr>
            <w:tcW w:w="623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double" w:sz="6" w:space="1" w:color="000000"/>
              </w:pBdr>
              <w:spacing w:before="0" w:after="0"/>
              <w:rPr/>
            </w:pPr>
            <w:r>
              <w:rPr/>
              <w:t> </w:t>
            </w:r>
          </w:p>
        </w:tc>
        <w:tc>
          <w:tcPr>
            <w:tcW w:w="995" w:type="dxa"/>
            <w:tcBorders/>
            <w:shd w:fill="auto" w:val="clear"/>
            <w:vAlign w:val="center"/>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double" w:sz="6" w:space="1" w:color="000000"/>
              </w:pBdr>
              <w:spacing w:before="0" w:after="0"/>
              <w:rPr/>
            </w:pPr>
            <w:r>
              <w:rPr/>
              <w:t> </w:t>
            </w:r>
          </w:p>
        </w:tc>
        <w:tc>
          <w:tcPr>
            <w:tcW w:w="920" w:type="dxa"/>
            <w:tcBorders/>
            <w:shd w:fill="auto" w:val="clear"/>
            <w:vAlign w:val="center"/>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double" w:sz="6" w:space="1" w:color="000000"/>
              </w:pBdr>
              <w:spacing w:before="0" w:after="0"/>
              <w:rPr/>
            </w:pPr>
            <w:r>
              <w:rPr/>
              <w:t> </w:t>
            </w:r>
          </w:p>
        </w:tc>
        <w:tc>
          <w:tcPr>
            <w:tcW w:w="920" w:type="dxa"/>
            <w:tcBorders/>
            <w:shd w:fill="auto" w:val="clear"/>
            <w:vAlign w:val="center"/>
          </w:tcPr>
          <w:p>
            <w:pPr>
              <w:pStyle w:val="TableContents"/>
              <w:pBdr>
                <w:top w:val="double" w:sz="6" w:space="1" w:color="000000"/>
              </w:pBdr>
              <w:spacing w:before="0" w:after="0"/>
              <w:rPr/>
            </w:pPr>
            <w:r>
              <w:rPr/>
              <w:t> </w:t>
            </w:r>
          </w:p>
        </w:tc>
        <w:tc>
          <w:tcPr>
            <w:tcW w:w="170" w:type="dxa"/>
            <w:tcBorders/>
            <w:shd w:fill="auto" w:val="clear"/>
            <w:vAlign w:val="center"/>
          </w:tcPr>
          <w:p>
            <w:pPr>
              <w:pStyle w:val="TableContents"/>
              <w:spacing w:before="0" w:after="283"/>
              <w:rPr/>
            </w:pPr>
            <w:r>
              <w:rPr/>
              <w:t> </w:t>
            </w:r>
          </w:p>
        </w:tc>
      </w:tr>
    </w:tbl>
    <w:p>
      <w:pPr>
        <w:pStyle w:val="TextBody"/>
        <w:spacing w:before="240" w:after="0"/>
        <w:jc w:val="left"/>
        <w:rPr>
          <w:rFonts w:ascii="ARIAL" w:hAnsi="ARIAL"/>
          <w:sz w:val="20"/>
        </w:rPr>
      </w:pPr>
      <w:r>
        <w:rPr>
          <w:rFonts w:ascii="ARIAL" w:hAnsi="ARIAL"/>
          <w:sz w:val="20"/>
        </w:rPr>
        <w:t xml:space="preserve">Net (loss) income attributable to Community Health Systems, Inc. stockholders per share (diluted), excluding adjustments, is a non-GAAP financial measure which equals net income attributable to Community Health Systems, Inc. stockholders as reported, on a per share (diluted) basis, adjusted to exclude (1) (gain) loss from early extinguishment of debt, (2) impairment and (gain) loss on sale of businesses, net, (3) gain from CoreTrust transaction, (4) gain on sale of the Company’s equity interests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A-2 </w:t>
      </w:r>
      <w:r>
        <w:br w:type="page"/>
      </w:r>
    </w:p>
    <w:p>
      <w:pPr>
        <w:pStyle w:val="HorizontalLine"/>
        <w:rPr/>
      </w:pPr>
      <w:r>
        <w:rPr/>
      </w:r>
    </w:p>
    <w:p>
      <w:pPr>
        <w:pStyle w:val="TextBody"/>
        <w:spacing w:before="0" w:after="0"/>
        <w:jc w:val="left"/>
        <w:rPr>
          <w:rFonts w:ascii="ARIAL" w:hAnsi="ARIAL"/>
          <w:sz w:val="20"/>
        </w:rPr>
      </w:pPr>
      <w:r>
        <w:rPr>
          <w:rFonts w:ascii="ARIAL" w:hAnsi="ARIAL"/>
          <w:sz w:val="20"/>
        </w:rPr>
        <w:t xml:space="preserve">in Macon Healthcare, LLC, (5) expense from government and other legal settlements and related costs, (6) expense incurred in the fourth quarter of 2020 related to the settlement of certain professional liability claims for which the third-party insurers’ obligation to insure the Company against the underlying loss was being litigated and income in the fourth quarter of 2021 related to the settlement of such litigation, net of legal fees, (7) expense from settlement and legal expenses, related to the HMA legal proceedings underlying the CVR agreement, (8) expense related to employee termination benefits and other restructuring charges, (9) effects of changes in tax valuation allowances, and (10) the impact of a change in estimate to increase the professional liability claims accrual recorded during the fourth quarter of 2022 with respect to claims incurred in prior years related to divested locations. </w:t>
      </w:r>
    </w:p>
    <w:p>
      <w:pPr>
        <w:pStyle w:val="TextBody"/>
        <w:spacing w:before="240" w:after="0"/>
        <w:jc w:val="left"/>
        <w:rPr>
          <w:rFonts w:ascii="ARIAL" w:hAnsi="ARIAL"/>
          <w:sz w:val="20"/>
        </w:rPr>
      </w:pPr>
      <w:r>
        <w:rPr>
          <w:rFonts w:ascii="ARIAL" w:hAnsi="ARIAL"/>
          <w:sz w:val="20"/>
        </w:rPr>
        <w:t xml:space="preserve">The Company believes that the presentation of non-GAAP net (loss) income attributable to Community Health Systems, Inc. stockholders per share (diluted), excluding adjustments, provides useful information to investors by highlighting the impact on net income attributable to Community Health Systems, Inc. stockholders per share (diluted) of selected items used in calculating Adjusted EBITDA which may not reflect the Company’s underlying operating performance, and assisting in comparing the Company’s results of operations between periods. </w:t>
      </w:r>
    </w:p>
    <w:p>
      <w:pPr>
        <w:pStyle w:val="TextBody"/>
        <w:spacing w:before="240" w:after="0"/>
        <w:jc w:val="left"/>
        <w:rPr>
          <w:rFonts w:ascii="ARIAL" w:hAnsi="ARIAL"/>
          <w:sz w:val="20"/>
        </w:rPr>
      </w:pPr>
      <w:r>
        <w:rPr>
          <w:rFonts w:ascii="ARIAL" w:hAnsi="ARIAL"/>
          <w:sz w:val="20"/>
        </w:rPr>
        <w:t xml:space="preserve">In addition, net (loss) income attributable to Community Health Systems, Inc. stockholders per share (diluted), excluding adjustments, is not a measurement of financial performance under GAAP. It should not be considered in isolation or as a substitute for net income attributable to Community Health Systems, Inc. stockholders per share, or any other measure calculated in accordance with GAAP. The items excluded from net (loss) income attributable to Community Health Systems, Inc. stockholders per share (diluted), excluding adjustments, are significant components in understanding and evaluating financial performance. This non-GAAP financial measure may not be comparable to similarly titled measures reported by other companies.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A-3 </w:t>
      </w:r>
      <w:r>
        <w:br w:type="page"/>
      </w:r>
    </w:p>
    <w:p>
      <w:pPr>
        <w:pStyle w:val="HorizontalLine"/>
        <w:rPr/>
      </w:pPr>
      <w:r>
        <w:rPr/>
      </w:r>
    </w:p>
    <w:p>
      <w:pPr>
        <w:pStyle w:val="TextBody"/>
        <w:spacing w:before="0" w:after="0"/>
        <w:jc w:val="right"/>
        <w:rPr>
          <w:rFonts w:ascii="ARIAL" w:hAnsi="ARIAL"/>
          <w:b/>
          <w:sz w:val="20"/>
        </w:rPr>
      </w:pPr>
      <w:bookmarkStart w:id="30" w:name="toc360141_27"/>
      <w:bookmarkEnd w:id="30"/>
      <w:r>
        <w:rPr>
          <w:rFonts w:ascii="ARIAL" w:hAnsi="ARIAL"/>
          <w:b/>
          <w:sz w:val="20"/>
        </w:rPr>
        <w:t xml:space="preserve">Annex B </w:t>
      </w:r>
    </w:p>
    <w:p>
      <w:pPr>
        <w:pStyle w:val="TextBody"/>
        <w:spacing w:before="240" w:after="0"/>
        <w:jc w:val="center"/>
        <w:rPr>
          <w:rFonts w:ascii="ARIAL" w:hAnsi="ARIAL"/>
          <w:b/>
          <w:sz w:val="20"/>
        </w:rPr>
      </w:pPr>
      <w:r>
        <w:rPr>
          <w:rFonts w:ascii="ARIAL" w:hAnsi="ARIAL"/>
          <w:b/>
          <w:sz w:val="20"/>
        </w:rPr>
        <w:t xml:space="preserve">Community Health Systems, Inc. </w:t>
      </w:r>
    </w:p>
    <w:p>
      <w:pPr>
        <w:pStyle w:val="TextBody"/>
        <w:spacing w:before="240" w:after="0"/>
        <w:jc w:val="center"/>
        <w:rPr>
          <w:rFonts w:ascii="ARIAL" w:hAnsi="ARIAL"/>
          <w:b/>
          <w:sz w:val="20"/>
        </w:rPr>
      </w:pPr>
      <w:r>
        <w:rPr>
          <w:rFonts w:ascii="ARIAL" w:hAnsi="ARIAL"/>
          <w:b/>
          <w:sz w:val="20"/>
        </w:rPr>
        <w:t xml:space="preserve">2009 STOCK OPTION AND AWARD PLAN </w:t>
      </w:r>
    </w:p>
    <w:p>
      <w:pPr>
        <w:pStyle w:val="TextBody"/>
        <w:spacing w:before="0" w:after="0"/>
        <w:jc w:val="center"/>
        <w:rPr>
          <w:rFonts w:ascii="ARIAL" w:hAnsi="ARIAL"/>
          <w:b/>
          <w:sz w:val="20"/>
        </w:rPr>
      </w:pPr>
      <w:r>
        <w:rPr>
          <w:rFonts w:ascii="ARIAL" w:hAnsi="ARIAL"/>
          <w:b/>
          <w:sz w:val="20"/>
        </w:rPr>
        <w:t xml:space="preserve">(As Adopted March 24, 2009 and Amended and Restated March 18, 2011, March 20, 2013, March 19, 2014, March 16, 2016, March 14, 2018, March 20, 2020, March 17, 2021 and March 22, 2023) </w:t>
      </w:r>
    </w:p>
    <w:p>
      <w:pPr>
        <w:pStyle w:val="TextBody"/>
        <w:spacing w:before="240" w:after="0"/>
        <w:jc w:val="left"/>
        <w:rPr>
          <w:rFonts w:ascii="ARIAL" w:hAnsi="ARIAL"/>
          <w:sz w:val="20"/>
        </w:rPr>
      </w:pPr>
      <w:r>
        <w:rPr>
          <w:rFonts w:ascii="ARIAL" w:hAnsi="ARIAL"/>
          <w:sz w:val="20"/>
        </w:rPr>
        <w:t xml:space="preserve">Purpose. </w:t>
      </w:r>
    </w:p>
    <w:p>
      <w:pPr>
        <w:pStyle w:val="TextBody"/>
        <w:spacing w:before="240" w:after="0"/>
        <w:jc w:val="left"/>
        <w:rPr>
          <w:rFonts w:ascii="ARIAL" w:hAnsi="ARIAL"/>
          <w:sz w:val="20"/>
        </w:rPr>
      </w:pPr>
      <w:r>
        <w:rPr>
          <w:rFonts w:ascii="ARIAL" w:hAnsi="ARIAL"/>
          <w:sz w:val="20"/>
        </w:rPr>
        <w:t xml:space="preserve">The purpose of this Plan is to strengthen Community Health Systems, Inc., a Delaware corporation (the “Company”), and its Subsidiaries by providing a retention tool and an incentive to its and their employees, officers, consultants and directors, and thereby encouraging them to devote their abilities and industry to the success of the Company’s and its Subsidiaries’ business enterprises. It is intended that this purpose be achieved by extending to employees (including future employees who have received a formal written offer of employment), officers, consultants and directors of the Company and its Subsidiaries an added long-term incentive for high levels of performance and unusual efforts through the grant of Incentive Stock Options, Non-qualified Stock Options, Stock Appreciation Rights, Performance Units, Performance Shares, Other Share Awards, Restricted Stock and Restricted Stock Units (as each term is herein defined). </w:t>
      </w:r>
    </w:p>
    <w:p>
      <w:pPr>
        <w:pStyle w:val="TextBody"/>
        <w:spacing w:before="240" w:after="0"/>
        <w:jc w:val="left"/>
        <w:rPr>
          <w:rFonts w:ascii="ARIAL" w:hAnsi="ARIAL"/>
          <w:sz w:val="20"/>
        </w:rPr>
      </w:pPr>
      <w:r>
        <w:rPr>
          <w:rFonts w:ascii="ARIAL" w:hAnsi="ARIAL"/>
          <w:sz w:val="20"/>
        </w:rPr>
        <w:t xml:space="preserve">Definitions. </w:t>
      </w:r>
    </w:p>
    <w:p>
      <w:pPr>
        <w:pStyle w:val="TextBody"/>
        <w:spacing w:before="240" w:after="0"/>
        <w:jc w:val="left"/>
        <w:rPr>
          <w:rFonts w:ascii="ARIAL" w:hAnsi="ARIAL"/>
          <w:sz w:val="20"/>
        </w:rPr>
      </w:pPr>
      <w:r>
        <w:rPr>
          <w:rFonts w:ascii="ARIAL" w:hAnsi="ARIAL"/>
          <w:sz w:val="20"/>
        </w:rPr>
        <w:t xml:space="preserve">For purposes of the Plan: </w:t>
      </w:r>
    </w:p>
    <w:p>
      <w:pPr>
        <w:pStyle w:val="TextBody"/>
        <w:spacing w:before="240" w:after="0"/>
        <w:jc w:val="left"/>
        <w:rPr/>
      </w:pPr>
      <w:r>
        <w:rPr/>
        <w:t>“</w:t>
      </w:r>
      <w:r>
        <w:rPr>
          <w:rFonts w:ascii="ARIAL" w:hAnsi="ARIAL"/>
          <w:sz w:val="20"/>
        </w:rPr>
        <w:t xml:space="preserve">Affiliate” means any entity, directly or indirectly, controlled by, controlling or under common control with the Company or any corporation or other entity acquiring, directly or indirectly, all or substantially all the assets and business of the Company, whether by operation of law or otherwise. </w:t>
      </w:r>
    </w:p>
    <w:p>
      <w:pPr>
        <w:pStyle w:val="TextBody"/>
        <w:spacing w:before="240" w:after="0"/>
        <w:jc w:val="left"/>
        <w:rPr/>
      </w:pPr>
      <w:r>
        <w:rPr/>
        <w:t>“</w:t>
      </w:r>
      <w:r>
        <w:rPr>
          <w:rFonts w:ascii="ARIAL" w:hAnsi="ARIAL"/>
          <w:sz w:val="20"/>
        </w:rPr>
        <w:t xml:space="preserve">Agreement” means the written agreement between the Company and an Optionee or Grantee evidencing the grant of an Option or Award and setting forth the terms and conditions thereof. </w:t>
      </w:r>
    </w:p>
    <w:p>
      <w:pPr>
        <w:pStyle w:val="TextBody"/>
        <w:spacing w:before="240" w:after="0"/>
        <w:jc w:val="left"/>
        <w:rPr/>
      </w:pPr>
      <w:r>
        <w:rPr/>
        <w:t>“</w:t>
      </w:r>
      <w:r>
        <w:rPr>
          <w:rFonts w:ascii="ARIAL" w:hAnsi="ARIAL"/>
          <w:sz w:val="20"/>
        </w:rPr>
        <w:t xml:space="preserve">Award” means a grant of an Option, Restricted Stock, a Restricted Stock Unit, a Stock Appreciation Right, a Performance Award, an Other Share Award or any or all of them. </w:t>
      </w:r>
    </w:p>
    <w:p>
      <w:pPr>
        <w:pStyle w:val="TextBody"/>
        <w:spacing w:before="240" w:after="0"/>
        <w:jc w:val="left"/>
        <w:rPr/>
      </w:pPr>
      <w:r>
        <w:rPr/>
        <w:t>“</w:t>
      </w:r>
      <w:r>
        <w:rPr>
          <w:rFonts w:ascii="ARIAL" w:hAnsi="ARIAL"/>
          <w:sz w:val="20"/>
        </w:rPr>
        <w:t xml:space="preserve">Board” means the Board of Directors of the Company. </w:t>
      </w:r>
    </w:p>
    <w:p>
      <w:pPr>
        <w:pStyle w:val="TextBody"/>
        <w:spacing w:before="240" w:after="0"/>
        <w:jc w:val="left"/>
        <w:rPr/>
      </w:pPr>
      <w:r>
        <w:rPr/>
        <w:t>“</w:t>
      </w:r>
      <w:r>
        <w:rPr>
          <w:rFonts w:ascii="ARIAL" w:hAnsi="ARIAL"/>
          <w:sz w:val="20"/>
        </w:rPr>
        <w:t xml:space="preserve">Cause” means, except as otherwise set forth herein or in an applicable Agreement, </w:t>
      </w:r>
    </w:p>
    <w:p>
      <w:pPr>
        <w:pStyle w:val="TextBody"/>
        <w:spacing w:before="240" w:after="0"/>
        <w:jc w:val="left"/>
        <w:rPr>
          <w:rFonts w:ascii="ARIAL" w:hAnsi="ARIAL"/>
          <w:sz w:val="20"/>
        </w:rPr>
      </w:pPr>
      <w:r>
        <w:rPr>
          <w:rFonts w:ascii="ARIAL" w:hAnsi="ARIAL"/>
          <w:sz w:val="20"/>
        </w:rPr>
        <w:t xml:space="preserve">in the case of an Optionee or Grantee whose employment with the Company or a Subsidiary is subject to the terms of an employment agreement between such Optionee or Grantee and the Company or Subsidiary, which employment agreement includes a definition of “Cause”, the term “Cause” as used in this Plan or any Agreement shall have the meaning set forth in such employment agreement during the period that such employment agreement remains in effect; and </w:t>
      </w:r>
    </w:p>
    <w:p>
      <w:pPr>
        <w:pStyle w:val="TextBody"/>
        <w:spacing w:before="240" w:after="0"/>
        <w:jc w:val="left"/>
        <w:rPr>
          <w:rFonts w:ascii="ARIAL" w:hAnsi="ARIAL"/>
          <w:sz w:val="20"/>
        </w:rPr>
      </w:pPr>
      <w:r>
        <w:rPr>
          <w:rFonts w:ascii="ARIAL" w:hAnsi="ARIAL"/>
          <w:sz w:val="20"/>
        </w:rPr>
        <w:t xml:space="preserve">in all other cases, (i) intentional failure to perform reasonably assigned duties, (ii) dishonesty or willful misconduct in the performance of duties, (iii) involvement in a transaction in connection with the performance of duties to the Company or any of its Subsidiaries which transaction is adverse to the interests of the Company or any of its Subsidiaries and which is engaged in for personal profit or (iv) willful violation of any law, rule or regulation in connection with the performance of duties (other than traffic violations or similar offenses); provided, however, that, following a Change in Control, clause (i) of this Section 2.5(b) shall not constitute “Cause.” </w:t>
      </w:r>
    </w:p>
    <w:p>
      <w:pPr>
        <w:pStyle w:val="TextBody"/>
        <w:spacing w:before="0" w:after="0"/>
        <w:jc w:val="left"/>
        <w:rPr/>
      </w:pPr>
      <w:r>
        <w:rPr/>
        <w:t> </w:t>
      </w:r>
    </w:p>
    <w:p>
      <w:pPr>
        <w:pStyle w:val="TextBody"/>
        <w:spacing w:before="0" w:after="0"/>
        <w:jc w:val="center"/>
        <w:rPr>
          <w:rFonts w:ascii="ARIAL" w:hAnsi="ARIAL"/>
          <w:sz w:val="22"/>
        </w:rPr>
      </w:pPr>
      <w:r>
        <w:rPr>
          <w:rFonts w:ascii="ARIAL" w:hAnsi="ARIAL"/>
          <w:sz w:val="22"/>
        </w:rPr>
        <w:t xml:space="preserve">B-1 </w:t>
      </w:r>
      <w:r>
        <w:br w:type="page"/>
      </w:r>
    </w:p>
    <w:p>
      <w:pPr>
        <w:pStyle w:val="HorizontalLine"/>
        <w:rPr/>
      </w:pPr>
      <w:r>
        <w:rPr/>
      </w:r>
    </w:p>
    <w:p>
      <w:pPr>
        <w:pStyle w:val="TextBody"/>
        <w:spacing w:before="0" w:after="0"/>
        <w:jc w:val="left"/>
        <w:rPr/>
      </w:pPr>
      <w:r>
        <w:rPr/>
        <w:t>“</w:t>
      </w:r>
      <w:r>
        <w:rPr>
          <w:rFonts w:ascii="ARIAL" w:hAnsi="ARIAL"/>
          <w:sz w:val="20"/>
        </w:rPr>
        <w:t xml:space="preserve">Change in Capitalization” means any increase or reduction in the number of Shares, or any change (including, but not limited to, in the case of a spin-off, dividend or other distribution in respect of Shares, a change in value) in the Shares or exchange of Shares for a different number or kind of shares or other securities of the Company or another corporation, by reason of a reclassification, recapitalization, merger, consolidation, reorganization, spin-off, split-up, issuance of warrants or rights or debentures, stock dividend, stock split or reverse stock split, property dividend, extraordinary cash dividend (but excluding normal cash dividends), combination or exchange of shares, repurchase of shares, change in corporate structure, equity restructuring (as defined under FASB ASC Topic 718) or similar transaction or event. </w:t>
      </w:r>
    </w:p>
    <w:p>
      <w:pPr>
        <w:pStyle w:val="TextBody"/>
        <w:spacing w:before="240" w:after="0"/>
        <w:jc w:val="left"/>
        <w:rPr>
          <w:rFonts w:ascii="ARIAL" w:hAnsi="ARIAL"/>
          <w:sz w:val="20"/>
        </w:rPr>
      </w:pPr>
      <w:r>
        <w:rPr>
          <w:rFonts w:ascii="ARIAL" w:hAnsi="ARIAL"/>
          <w:sz w:val="20"/>
        </w:rPr>
        <w:t xml:space="preserve">A “Change in Control” shall mean the occurrence of any of the following: </w:t>
      </w:r>
    </w:p>
    <w:p>
      <w:pPr>
        <w:pStyle w:val="TextBody"/>
        <w:spacing w:before="240" w:after="0"/>
        <w:jc w:val="left"/>
        <w:rPr>
          <w:rFonts w:ascii="ARIAL" w:hAnsi="ARIAL"/>
          <w:sz w:val="20"/>
        </w:rPr>
      </w:pPr>
      <w:r>
        <w:rPr>
          <w:rFonts w:ascii="ARIAL" w:hAnsi="ARIAL"/>
          <w:sz w:val="20"/>
        </w:rPr>
        <w:t xml:space="preserve">An acquisition (other than directly from the Company) of any voting securities of the Company (the “Voting Securities”) by any “Person” (as the term person is used for purposes of Section 13(d) or 14(d) of the Exchange Act), immediately after which such Person has “Beneficial Ownership” (within the meaning of Rule 13d-3 promulgated under the Exchange Act) of more than fifty percent (50%) of the then outstanding Shares or the combined voting power of the Company’s then outstanding Voting Securities; </w:t>
      </w:r>
      <w:r>
        <w:rPr>
          <w:rFonts w:ascii="ARIAL" w:hAnsi="ARIAL"/>
          <w:i/>
          <w:sz w:val="20"/>
        </w:rPr>
        <w:t>provided</w:t>
      </w:r>
      <w:r>
        <w:rPr>
          <w:rFonts w:ascii="ARIAL" w:hAnsi="ARIAL"/>
          <w:sz w:val="20"/>
        </w:rPr>
        <w:t xml:space="preserve">, </w:t>
      </w:r>
      <w:r>
        <w:rPr>
          <w:rFonts w:ascii="ARIAL" w:hAnsi="ARIAL"/>
          <w:i/>
          <w:sz w:val="20"/>
        </w:rPr>
        <w:t>however</w:t>
      </w:r>
      <w:r>
        <w:rPr>
          <w:rFonts w:ascii="ARIAL" w:hAnsi="ARIAL"/>
          <w:sz w:val="20"/>
        </w:rPr>
        <w:t xml:space="preserve">, that in determining whether a Change in Control has occurred pursuant to this Section 2.7(a), Shares or Voting Securities which are acquired in a “Non-Control Acquisition” (as hereinafter defined) shall not constitute an acquisition which would cause a Change in Control. A “Non-Control Acquisition” shall mean an acquisition by (i) an employee benefit plan (or a trust forming a part thereof) maintained by (A) the Company or (B) any corporation or other Person the majority of the voting power, voting equity securities or equity interest of which is owned, directly or indirectly, by the Company (for purposes of this definition, a “Related Entity”), (ii) the Company or any Related Entity, or (iii) any Person in connection with a “Non-Control Transaction” (as hereinafter defined); </w:t>
      </w:r>
    </w:p>
    <w:p>
      <w:pPr>
        <w:pStyle w:val="TextBody"/>
        <w:spacing w:before="240" w:after="0"/>
        <w:jc w:val="left"/>
        <w:rPr>
          <w:rFonts w:ascii="ARIAL" w:hAnsi="ARIAL"/>
          <w:sz w:val="20"/>
        </w:rPr>
      </w:pPr>
      <w:r>
        <w:rPr>
          <w:rFonts w:ascii="ARIAL" w:hAnsi="ARIAL"/>
          <w:sz w:val="20"/>
        </w:rPr>
        <w:t xml:space="preserve">The individuals who, as of the Restatement Effective Date, are members of the Board (the “Incumbent Board”), cease for any reason to constitute at least a majority of the members of the Board or, following a Merger (as hereinafter defined) which results in a Parent Corporation (as hereinafter defined), the board of directors of the ultimate Parent Corporation; provided, however, that if the election, or nomination for election by the Company’s common stockholders, of any new director was approved by a vote of at least two-thirds of the Incumbent Board, such new director shall, for purposes of this Plan, be considered a member of the Incumbent Board; </w:t>
      </w:r>
      <w:r>
        <w:rPr>
          <w:rFonts w:ascii="ARIAL" w:hAnsi="ARIAL"/>
          <w:i/>
          <w:sz w:val="20"/>
        </w:rPr>
        <w:t>provided further</w:t>
      </w:r>
      <w:r>
        <w:rPr>
          <w:rFonts w:ascii="ARIAL" w:hAnsi="ARIAL"/>
          <w:sz w:val="20"/>
        </w:rPr>
        <w:t xml:space="preserve">, however, that no individual shall be considered a member of the Incumbent Board if such individual initially assumed office as a result of the actual or threatened solicitation of proxies or consents by or on behalf of a Person other than the Board (a “Proxy Contest”) including by reason of any agreement intended to avoid or settle any Proxy Contest; or </w:t>
      </w:r>
    </w:p>
    <w:p>
      <w:pPr>
        <w:pStyle w:val="TextBody"/>
        <w:spacing w:before="240" w:after="0"/>
        <w:jc w:val="left"/>
        <w:rPr>
          <w:rFonts w:ascii="ARIAL" w:hAnsi="ARIAL"/>
          <w:sz w:val="20"/>
        </w:rPr>
      </w:pPr>
      <w:r>
        <w:rPr>
          <w:rFonts w:ascii="ARIAL" w:hAnsi="ARIAL"/>
          <w:sz w:val="20"/>
        </w:rPr>
        <w:t xml:space="preserve">The consummation of: </w:t>
      </w:r>
    </w:p>
    <w:p>
      <w:pPr>
        <w:pStyle w:val="TextBody"/>
        <w:spacing w:before="240" w:after="0"/>
        <w:jc w:val="left"/>
        <w:rPr>
          <w:rFonts w:ascii="ARIAL" w:hAnsi="ARIAL"/>
          <w:sz w:val="20"/>
        </w:rPr>
      </w:pPr>
      <w:r>
        <w:rPr>
          <w:rFonts w:ascii="ARIAL" w:hAnsi="ARIAL"/>
          <w:sz w:val="20"/>
        </w:rPr>
        <w:t xml:space="preserve">A merger, consolidation or reorganization with or into the Company or in which securities of the Company are issued (a “Merger”), unless such Merger is a “Non-Control Transaction.” A “Non-Control Transaction” shall mean a Merger where: </w:t>
      </w:r>
    </w:p>
    <w:p>
      <w:pPr>
        <w:pStyle w:val="TextBody"/>
        <w:spacing w:before="240" w:after="0"/>
        <w:jc w:val="left"/>
        <w:rPr>
          <w:rFonts w:ascii="ARIAL" w:hAnsi="ARIAL"/>
          <w:sz w:val="20"/>
        </w:rPr>
      </w:pPr>
      <w:r>
        <w:rPr>
          <w:rFonts w:ascii="ARIAL" w:hAnsi="ARIAL"/>
          <w:sz w:val="20"/>
        </w:rPr>
        <w:t xml:space="preserve">the stockholders of the Company immediately before such Merger own directly or indirectly immediately following such Merger at least fifty percent (50%) of the combined voting power of the outstanding voting securities of (x) the corporation or other entity resulting from such Merger (the “Surviving Corporation”), if fifty percent (50%) or more of the combined voting power of the then outstanding voting securities of the Surviving Corporation is not Beneficially Owned, directly or indirectly, by another Person (a “Parent Corporation”), or (y) if there is one or more than one Parent Corporation, the ultimate Parent Corporation; and </w:t>
      </w:r>
    </w:p>
    <w:p>
      <w:pPr>
        <w:pStyle w:val="TextBody"/>
        <w:spacing w:before="0" w:after="0"/>
        <w:jc w:val="left"/>
        <w:rPr/>
      </w:pPr>
      <w:r>
        <w:rPr/>
        <w:t> </w:t>
      </w:r>
    </w:p>
    <w:p>
      <w:pPr>
        <w:pStyle w:val="TextBody"/>
        <w:spacing w:before="0" w:after="0"/>
        <w:jc w:val="center"/>
        <w:rPr>
          <w:rFonts w:ascii="ARIAL" w:hAnsi="ARIAL"/>
          <w:sz w:val="22"/>
        </w:rPr>
      </w:pPr>
      <w:r>
        <w:rPr>
          <w:rFonts w:ascii="ARIAL" w:hAnsi="ARIAL"/>
          <w:sz w:val="22"/>
        </w:rPr>
        <w:t xml:space="preserve">B-2 </w:t>
      </w:r>
      <w:r>
        <w:br w:type="page"/>
      </w:r>
    </w:p>
    <w:p>
      <w:pPr>
        <w:pStyle w:val="HorizontalLine"/>
        <w:rPr/>
      </w:pPr>
      <w:r>
        <w:rPr/>
      </w:r>
    </w:p>
    <w:p>
      <w:pPr>
        <w:pStyle w:val="TextBody"/>
        <w:spacing w:before="0" w:after="0"/>
        <w:jc w:val="left"/>
        <w:rPr>
          <w:rFonts w:ascii="ARIAL" w:hAnsi="ARIAL"/>
          <w:sz w:val="20"/>
        </w:rPr>
      </w:pPr>
      <w:r>
        <w:rPr>
          <w:rFonts w:ascii="ARIAL" w:hAnsi="ARIAL"/>
          <w:sz w:val="20"/>
        </w:rPr>
        <w:t xml:space="preserve">the individuals who were members of the Incumbent Board immediately prior to the execution of the agreement providing for such Merger constitute at least a majority of the members of the board of directors of (x) the Surviving Corporation, if there is no Parent Corporation, or (y) if there is one or more than one Parent Corporation, the ultimate Parent Corporation; </w:t>
      </w:r>
    </w:p>
    <w:p>
      <w:pPr>
        <w:pStyle w:val="TextBody"/>
        <w:spacing w:before="240" w:after="0"/>
        <w:jc w:val="left"/>
        <w:rPr>
          <w:rFonts w:ascii="ARIAL" w:hAnsi="ARIAL"/>
          <w:sz w:val="20"/>
        </w:rPr>
      </w:pPr>
      <w:r>
        <w:rPr>
          <w:rFonts w:ascii="ARIAL" w:hAnsi="ARIAL"/>
          <w:sz w:val="20"/>
        </w:rPr>
        <w:t xml:space="preserve">A complete liquidation or dissolution of the Company; or </w:t>
      </w:r>
    </w:p>
    <w:p>
      <w:pPr>
        <w:pStyle w:val="TextBody"/>
        <w:spacing w:before="240" w:after="0"/>
        <w:jc w:val="left"/>
        <w:rPr>
          <w:rFonts w:ascii="ARIAL" w:hAnsi="ARIAL"/>
          <w:sz w:val="20"/>
        </w:rPr>
      </w:pPr>
      <w:r>
        <w:rPr>
          <w:rFonts w:ascii="ARIAL" w:hAnsi="ARIAL"/>
          <w:sz w:val="20"/>
        </w:rPr>
        <w:t xml:space="preserve">The sale or other disposition of all or substantially all of the assets of the Company to any Person (other than a transfer to a Related Entity or under conditions that would constitute a Non-Control Transaction with the disposition of assets being regarded as a Merger for this purpose or the distribution to the Company’s stockholders of the stock of a Related Entity or any other assets). </w:t>
      </w:r>
    </w:p>
    <w:p>
      <w:pPr>
        <w:pStyle w:val="TextBody"/>
        <w:spacing w:before="240" w:after="0"/>
        <w:jc w:val="left"/>
        <w:rPr>
          <w:rFonts w:ascii="ARIAL" w:hAnsi="ARIAL"/>
          <w:sz w:val="20"/>
        </w:rPr>
      </w:pPr>
      <w:r>
        <w:rPr>
          <w:rFonts w:ascii="ARIAL" w:hAnsi="ARIAL"/>
          <w:sz w:val="20"/>
        </w:rPr>
        <w:t xml:space="preserve">Notwithstanding the foregoing, (A) a Change in Control shall not be deemed to occur solely because any Person (the “Subject Person”) acquired Beneficial Ownership of more than the permitted amount of the then outstanding Shares or Voting Securities as a result of the acquisition of Shares or Voting Securities by the Company which, by reducing the number of Shares or Voting Securities then outstanding, increases the proportional number of shares Beneficially Owned by the Subject Persons, provided that if a Change in Control would occur (but for the operation of this sentence) as a result of the acquisition of Shares or Voting Securities by the Company, and after such share acquisition by the Company, the Subject Person becomes the Beneficial Owner of any additional Shares or Voting Securities which increases the percentage of the then outstanding Shares or Voting Securities Beneficially Owned by the Subject Person, then a Change in Control shall occur; and (B) with respect to any Award constituting a “deferral of compensation” subject to Section 409A of the Code, solely for purposes of determining the timing of a payment pursuant to the Agreement, a Change in Control shall mean a “change in the ownership” of the Company, a “change in the effective control” of the Company, or a “change in the ownership of a substantial portion of the assets” of the Company as such terms are defined in Section 1.409A-3(i)(5) of the Treasury Regulations. </w:t>
      </w:r>
    </w:p>
    <w:p>
      <w:pPr>
        <w:pStyle w:val="TextBody"/>
        <w:spacing w:before="240" w:after="0"/>
        <w:jc w:val="left"/>
        <w:rPr>
          <w:rFonts w:ascii="ARIAL" w:hAnsi="ARIAL"/>
          <w:sz w:val="20"/>
        </w:rPr>
      </w:pPr>
      <w:r>
        <w:rPr>
          <w:rFonts w:ascii="ARIAL" w:hAnsi="ARIAL"/>
          <w:sz w:val="20"/>
        </w:rPr>
        <w:t xml:space="preserve">If an Optionee’s or Grantee’s employment is terminated by the Company without Cause prior to the date of a Change in Control but the Optionee or Grantee reasonably demonstrates that the termination (A) was at the request of a third party who has indicated an intention or taken steps reasonably calculated to effect a Change in Control or (B) otherwise arose in connection with, or in anticipation of, a Change in Control which has been threatened or proposed, such termination shall be deemed to have occurred after a Change in Control for purposes of this Plan provided a Change in Control shall actually have occurred. </w:t>
      </w:r>
    </w:p>
    <w:p>
      <w:pPr>
        <w:pStyle w:val="TextBody"/>
        <w:spacing w:before="240" w:after="0"/>
        <w:jc w:val="left"/>
        <w:rPr/>
      </w:pPr>
      <w:r>
        <w:rPr/>
        <w:t>“</w:t>
      </w:r>
      <w:r>
        <w:rPr>
          <w:rFonts w:ascii="ARIAL" w:hAnsi="ARIAL"/>
          <w:sz w:val="20"/>
        </w:rPr>
        <w:t xml:space="preserve">Code” means the Internal Revenue Code of 1986, as amended. </w:t>
      </w:r>
    </w:p>
    <w:p>
      <w:pPr>
        <w:pStyle w:val="TextBody"/>
        <w:spacing w:before="240" w:after="0"/>
        <w:jc w:val="left"/>
        <w:rPr/>
      </w:pPr>
      <w:r>
        <w:rPr/>
        <w:t>“</w:t>
      </w:r>
      <w:r>
        <w:rPr>
          <w:rFonts w:ascii="ARIAL" w:hAnsi="ARIAL"/>
          <w:sz w:val="20"/>
        </w:rPr>
        <w:t xml:space="preserve">Committee” means a committee, as described in Section 3.1, appointed by the Board from time to time to administer the Plan and to perform the functions set forth herein. </w:t>
      </w:r>
    </w:p>
    <w:p>
      <w:pPr>
        <w:pStyle w:val="TextBody"/>
        <w:spacing w:before="240" w:after="0"/>
        <w:jc w:val="left"/>
        <w:rPr/>
      </w:pPr>
      <w:r>
        <w:rPr/>
        <w:t>“</w:t>
      </w:r>
      <w:r>
        <w:rPr>
          <w:rFonts w:ascii="ARIAL" w:hAnsi="ARIAL"/>
          <w:sz w:val="20"/>
        </w:rPr>
        <w:t xml:space="preserve">Company” means Community Health Systems, Inc. </w:t>
      </w:r>
    </w:p>
    <w:p>
      <w:pPr>
        <w:pStyle w:val="TextBody"/>
        <w:spacing w:before="240" w:after="0"/>
        <w:jc w:val="left"/>
        <w:rPr/>
      </w:pPr>
      <w:r>
        <w:rPr/>
        <w:t>“</w:t>
      </w:r>
      <w:r>
        <w:rPr>
          <w:rFonts w:ascii="ARIAL" w:hAnsi="ARIAL"/>
          <w:sz w:val="20"/>
        </w:rPr>
        <w:t xml:space="preserve">Director” means a director of the Company. </w:t>
      </w:r>
    </w:p>
    <w:p>
      <w:pPr>
        <w:pStyle w:val="TextBody"/>
        <w:spacing w:before="240" w:after="0"/>
        <w:jc w:val="left"/>
        <w:rPr/>
      </w:pPr>
      <w:r>
        <w:rPr/>
        <w:t>“</w:t>
      </w:r>
      <w:r>
        <w:rPr>
          <w:rFonts w:ascii="ARIAL" w:hAnsi="ARIAL"/>
          <w:sz w:val="20"/>
        </w:rPr>
        <w:t xml:space="preserve">Disability” means, unless otherwise defined in an Agreement: </w:t>
      </w:r>
    </w:p>
    <w:p>
      <w:pPr>
        <w:pStyle w:val="TextBody"/>
        <w:spacing w:before="240" w:after="0"/>
        <w:jc w:val="left"/>
        <w:rPr>
          <w:rFonts w:ascii="ARIAL" w:hAnsi="ARIAL"/>
          <w:sz w:val="20"/>
        </w:rPr>
      </w:pPr>
      <w:r>
        <w:rPr>
          <w:rFonts w:ascii="ARIAL" w:hAnsi="ARIAL"/>
          <w:sz w:val="20"/>
        </w:rPr>
        <w:t xml:space="preserve">in the case of an Optionee or Grantee whose employment with the Company or a Subsidiary is subject to the terms of an employment agreement between such Optionee or Grantee and the Company or Subsidiary, which employment agreement includes a definition of “Disability”, the term “Disability” as used in this Plan or any Agreement shall have the meaning set forth in such employment agreement during the period that such employment agreement remains in effect; </w:t>
      </w:r>
    </w:p>
    <w:p>
      <w:pPr>
        <w:pStyle w:val="TextBody"/>
        <w:spacing w:before="0" w:after="0"/>
        <w:jc w:val="left"/>
        <w:rPr/>
      </w:pPr>
      <w:r>
        <w:rPr/>
        <w:t> </w:t>
      </w:r>
    </w:p>
    <w:p>
      <w:pPr>
        <w:pStyle w:val="TextBody"/>
        <w:spacing w:before="0" w:after="0"/>
        <w:jc w:val="center"/>
        <w:rPr>
          <w:rFonts w:ascii="ARIAL" w:hAnsi="ARIAL"/>
          <w:sz w:val="22"/>
        </w:rPr>
      </w:pPr>
      <w:r>
        <w:rPr>
          <w:rFonts w:ascii="ARIAL" w:hAnsi="ARIAL"/>
          <w:sz w:val="22"/>
        </w:rPr>
        <w:t xml:space="preserve">B-3 </w:t>
      </w:r>
      <w:r>
        <w:br w:type="page"/>
      </w:r>
    </w:p>
    <w:p>
      <w:pPr>
        <w:pStyle w:val="HorizontalLine"/>
        <w:rPr/>
      </w:pPr>
      <w:r>
        <w:rPr/>
      </w:r>
    </w:p>
    <w:p>
      <w:pPr>
        <w:pStyle w:val="TextBody"/>
        <w:spacing w:before="0" w:after="0"/>
        <w:jc w:val="left"/>
        <w:rPr>
          <w:rFonts w:ascii="ARIAL" w:hAnsi="ARIAL"/>
          <w:sz w:val="20"/>
        </w:rPr>
      </w:pPr>
      <w:r>
        <w:rPr>
          <w:rFonts w:ascii="ARIAL" w:hAnsi="ARIAL"/>
          <w:sz w:val="20"/>
        </w:rPr>
        <w:t xml:space="preserve">in the case of an Optionee or Grantee to whom Section 2.12(a) does not apply and who participates in the Company’s long-term disability plan, if any, the term “Disability” as used in such plan; or </w:t>
      </w:r>
    </w:p>
    <w:p>
      <w:pPr>
        <w:pStyle w:val="TextBody"/>
        <w:spacing w:before="240" w:after="0"/>
        <w:jc w:val="left"/>
        <w:rPr>
          <w:rFonts w:ascii="ARIAL" w:hAnsi="ARIAL"/>
          <w:sz w:val="20"/>
        </w:rPr>
      </w:pPr>
      <w:r>
        <w:rPr>
          <w:rFonts w:ascii="ARIAL" w:hAnsi="ARIAL"/>
          <w:sz w:val="20"/>
        </w:rPr>
        <w:t xml:space="preserve">in all other cases, a physical or mental infirmity which impairs the Optionee’s or Grantee’s ability to perform substantially all his or her duties for a period of ninety-one (91) consecutive days. </w:t>
      </w:r>
    </w:p>
    <w:p>
      <w:pPr>
        <w:pStyle w:val="TextBody"/>
        <w:spacing w:before="240" w:after="0"/>
        <w:jc w:val="left"/>
        <w:rPr/>
      </w:pPr>
      <w:r>
        <w:rPr/>
        <w:t>“</w:t>
      </w:r>
      <w:r>
        <w:rPr>
          <w:rFonts w:ascii="ARIAL" w:hAnsi="ARIAL"/>
          <w:sz w:val="20"/>
        </w:rPr>
        <w:t xml:space="preserve">Division” means any of the operating units or divisions of the Company designated as a Division by the Committee. </w:t>
      </w:r>
    </w:p>
    <w:p>
      <w:pPr>
        <w:pStyle w:val="TextBody"/>
        <w:spacing w:before="240" w:after="0"/>
        <w:jc w:val="left"/>
        <w:rPr/>
      </w:pPr>
      <w:r>
        <w:rPr/>
        <w:t>“</w:t>
      </w:r>
      <w:r>
        <w:rPr>
          <w:rFonts w:ascii="ARIAL" w:hAnsi="ARIAL"/>
          <w:sz w:val="20"/>
        </w:rPr>
        <w:t xml:space="preserve">Dividend Equivalent Right” means a right to receive all or some portion of the cash dividends that are or would be payable with respect to Shares; provided, that subject to Section 12, no Dividend Equivalent Rights shall be granted with respect to unexercised Options or Stock Appreciation Rights. </w:t>
      </w:r>
    </w:p>
    <w:p>
      <w:pPr>
        <w:pStyle w:val="TextBody"/>
        <w:spacing w:before="240" w:after="0"/>
        <w:jc w:val="left"/>
        <w:rPr/>
      </w:pPr>
      <w:r>
        <w:rPr/>
        <w:t>“</w:t>
      </w:r>
      <w:r>
        <w:rPr>
          <w:rFonts w:ascii="ARIAL" w:hAnsi="ARIAL"/>
          <w:sz w:val="20"/>
        </w:rPr>
        <w:t xml:space="preserve">Eligible Individual” means any of the following individuals who is designated by the Committee as eligible to receive Options or Awards subject to the conditions set forth herein: (a) any Director or Employee, (b) any individual to whom the Company or a Subsidiary has extended a formal, written offer of employment (provided that the grant of an Option or Award to any such individual is made following the commencement of employment), or (c) any consultant or advisor (within the scope of Instruction A.1.(a)(1) of Form S-8 under the Securities Act of 1933, as amended) of the Company or a Subsidiary. </w:t>
      </w:r>
    </w:p>
    <w:p>
      <w:pPr>
        <w:pStyle w:val="TextBody"/>
        <w:spacing w:before="240" w:after="0"/>
        <w:jc w:val="left"/>
        <w:rPr/>
      </w:pPr>
      <w:r>
        <w:rPr/>
        <w:t>“</w:t>
      </w:r>
      <w:r>
        <w:rPr>
          <w:rFonts w:ascii="ARIAL" w:hAnsi="ARIAL"/>
          <w:sz w:val="20"/>
        </w:rPr>
        <w:t xml:space="preserve">Employee” means any person, including an officer (whether or not also a director) in the regular full-time employment of the Company or any of its Subsidiaries, but excludes, in the case of an Incentive Stock Option, an employee of any Subsidiary that is not a “subsidiary corporation” of the Company as defined in Code Section 424(f). </w:t>
      </w:r>
    </w:p>
    <w:p>
      <w:pPr>
        <w:pStyle w:val="TextBody"/>
        <w:spacing w:before="240" w:after="0"/>
        <w:jc w:val="left"/>
        <w:rPr/>
      </w:pPr>
      <w:r>
        <w:rPr/>
        <w:t>“</w:t>
      </w:r>
      <w:r>
        <w:rPr>
          <w:rFonts w:ascii="ARIAL" w:hAnsi="ARIAL"/>
          <w:sz w:val="20"/>
        </w:rPr>
        <w:t xml:space="preserve">Exchange Act” means the Securities Exchange Act of 1934, as amended. </w:t>
      </w:r>
    </w:p>
    <w:p>
      <w:pPr>
        <w:pStyle w:val="TextBody"/>
        <w:spacing w:before="240" w:after="0"/>
        <w:jc w:val="left"/>
        <w:rPr/>
      </w:pPr>
      <w:r>
        <w:rPr/>
        <w:t>“</w:t>
      </w:r>
      <w:r>
        <w:rPr>
          <w:rFonts w:ascii="ARIAL" w:hAnsi="ARIAL"/>
          <w:sz w:val="20"/>
        </w:rPr>
        <w:t xml:space="preserve">Fair Market Value” on any date, unless otherwise determined by the Committee, means the closing sales prices of the Shares on such date on the principal national securities exchange on which such Shares are listed or admitted to trading, or, if such Shares are not so listed or admitted to trading, the closing sales prices of the Shares as reported by the New York Stock Exchange at the close of the primary trading session on such dates and, in either case, if the Shares were not traded on such date, on the next preceding day on which the Shares were traded. In the event that Fair Market Value cannot be determined in a manner described above, the Fair Market Value shall be the value established by the Board in good faith. The determination of Fair Market Value for purposes of income tax withholding may be made in the Committee’s discretion subject to applicable legal requirements and is not required to be consistent with the determination of Fair Market Value for other purposes. </w:t>
      </w:r>
    </w:p>
    <w:p>
      <w:pPr>
        <w:pStyle w:val="TextBody"/>
        <w:spacing w:before="240" w:after="0"/>
        <w:jc w:val="left"/>
        <w:rPr>
          <w:rFonts w:ascii="ARIAL" w:hAnsi="ARIAL"/>
          <w:sz w:val="20"/>
        </w:rPr>
      </w:pPr>
      <w:r>
        <w:rPr>
          <w:rFonts w:ascii="ARIAL" w:hAnsi="ARIAL"/>
          <w:sz w:val="20"/>
        </w:rPr>
        <w:t xml:space="preserve">For purposes of this Plan, </w:t>
      </w:r>
    </w:p>
    <w:p>
      <w:pPr>
        <w:pStyle w:val="TextBody"/>
        <w:spacing w:before="240" w:after="0"/>
        <w:jc w:val="left"/>
        <w:rPr/>
      </w:pPr>
      <w:r>
        <w:rPr/>
        <w:t>“</w:t>
      </w:r>
      <w:r>
        <w:rPr>
          <w:rFonts w:ascii="ARIAL" w:hAnsi="ARIAL"/>
          <w:sz w:val="20"/>
        </w:rPr>
        <w:t xml:space="preserve">Good Reason” shall mean, unless otherwise provided in an Agreement, the occurrence after a Change in Control of any of the following events or conditions with respect to an Optionee or Grantee: </w:t>
      </w:r>
    </w:p>
    <w:p>
      <w:pPr>
        <w:pStyle w:val="TextBody"/>
        <w:spacing w:before="240" w:after="0"/>
        <w:jc w:val="left"/>
        <w:rPr>
          <w:rFonts w:ascii="ARIAL" w:hAnsi="ARIAL"/>
          <w:sz w:val="20"/>
        </w:rPr>
      </w:pPr>
      <w:r>
        <w:rPr>
          <w:rFonts w:ascii="ARIAL" w:hAnsi="ARIAL"/>
          <w:sz w:val="20"/>
        </w:rPr>
        <w:t xml:space="preserve">a change in the Optionee’s or Grantee’s status, title, position or responsibilities (including reporting responsibilities) which, in the Optionee’s or Grantee’s reasonable judgment, represents an adverse change from the Optionee’s or Grantee’s status, title, position or responsibilities as in effect immediately prior thereto; the assignment to the Optionee or Grantee of any duties or responsibilities which, in the Optionee’s or Grantee’s reasonable judgment, are inconsistent with the Optionee’s or Grantee’s status, title, position or responsibilities; or any removal of the Optionee or Grantee from or failure to reappoint or reelect the Optionee or Grantee to any of such offices or </w:t>
      </w:r>
    </w:p>
    <w:p>
      <w:pPr>
        <w:pStyle w:val="TextBody"/>
        <w:spacing w:before="0" w:after="0"/>
        <w:jc w:val="left"/>
        <w:rPr/>
      </w:pPr>
      <w:r>
        <w:rPr/>
        <w:t> </w:t>
      </w:r>
    </w:p>
    <w:p>
      <w:pPr>
        <w:pStyle w:val="TextBody"/>
        <w:spacing w:before="0" w:after="0"/>
        <w:jc w:val="center"/>
        <w:rPr>
          <w:rFonts w:ascii="ARIAL" w:hAnsi="ARIAL"/>
          <w:sz w:val="22"/>
        </w:rPr>
      </w:pPr>
      <w:r>
        <w:rPr>
          <w:rFonts w:ascii="ARIAL" w:hAnsi="ARIAL"/>
          <w:sz w:val="22"/>
        </w:rPr>
        <w:t xml:space="preserve">B-4 </w:t>
      </w:r>
      <w:r>
        <w:br w:type="page"/>
      </w:r>
    </w:p>
    <w:p>
      <w:pPr>
        <w:pStyle w:val="HorizontalLine"/>
        <w:rPr/>
      </w:pPr>
      <w:r>
        <w:rPr/>
      </w:r>
    </w:p>
    <w:p>
      <w:pPr>
        <w:pStyle w:val="TextBody"/>
        <w:spacing w:before="0" w:after="0"/>
        <w:jc w:val="left"/>
        <w:rPr>
          <w:rFonts w:ascii="ARIAL" w:hAnsi="ARIAL"/>
          <w:sz w:val="20"/>
        </w:rPr>
      </w:pPr>
      <w:r>
        <w:rPr>
          <w:rFonts w:ascii="ARIAL" w:hAnsi="ARIAL"/>
          <w:sz w:val="20"/>
        </w:rPr>
        <w:t xml:space="preserve">positions, except in connection with the termination of the Optionee’s or Grantee’s employment for Disability, Cause, as a result of the Optionee’s or Grantee’s death or by the Optionee or Grantee other than for Good Reason; </w:t>
      </w:r>
    </w:p>
    <w:p>
      <w:pPr>
        <w:pStyle w:val="TextBody"/>
        <w:spacing w:before="240" w:after="0"/>
        <w:jc w:val="left"/>
        <w:rPr>
          <w:rFonts w:ascii="ARIAL" w:hAnsi="ARIAL"/>
          <w:sz w:val="20"/>
        </w:rPr>
      </w:pPr>
      <w:r>
        <w:rPr>
          <w:rFonts w:ascii="ARIAL" w:hAnsi="ARIAL"/>
          <w:sz w:val="20"/>
        </w:rPr>
        <w:t xml:space="preserve">a reduction in the Optionee’s or Grantee’s annual base salary below the amount as in effect immediately prior to the Change in Control; </w:t>
      </w:r>
    </w:p>
    <w:p>
      <w:pPr>
        <w:pStyle w:val="TextBody"/>
        <w:spacing w:before="240" w:after="0"/>
        <w:jc w:val="left"/>
        <w:rPr>
          <w:rFonts w:ascii="ARIAL" w:hAnsi="ARIAL"/>
          <w:sz w:val="20"/>
        </w:rPr>
      </w:pPr>
      <w:r>
        <w:rPr>
          <w:rFonts w:ascii="ARIAL" w:hAnsi="ARIAL"/>
          <w:sz w:val="20"/>
        </w:rPr>
        <w:t xml:space="preserve">the relocation of the Optionee’s or Grantee’s primary place of employment to a location more than twenty-five (25) miles from the location of the Optionee’s or Grantee’s primary place of employment immediately prior to such Change in Control, or requiring the Optionee or Grantee to be based anywhere other than such offices, except to the extent the Optionee or Grantee was not previously assigned to a principal location and except for required travel on business to the extent substantially consistent with the Optionee’s or Grantee’s business travel obligations at the time of the Change in Control; </w:t>
      </w:r>
    </w:p>
    <w:p>
      <w:pPr>
        <w:pStyle w:val="TextBody"/>
        <w:spacing w:before="240" w:after="0"/>
        <w:jc w:val="left"/>
        <w:rPr>
          <w:rFonts w:ascii="ARIAL" w:hAnsi="ARIAL"/>
          <w:sz w:val="20"/>
        </w:rPr>
      </w:pPr>
      <w:r>
        <w:rPr>
          <w:rFonts w:ascii="ARIAL" w:hAnsi="ARIAL"/>
          <w:sz w:val="20"/>
        </w:rPr>
        <w:t xml:space="preserve">the failure to pay to the Optionee or Grantee any portion of the Optionee’s or Grantee’s current compensation or to pay to the Optionee or Grantee any portion of an installment of deferred compensation under any deferred compensation program of the Company or any of its Subsidiaries in which the Optionee or Grantee participated, within seven (7) days of the date such compensation is due; </w:t>
      </w:r>
    </w:p>
    <w:p>
      <w:pPr>
        <w:pStyle w:val="TextBody"/>
        <w:spacing w:before="240" w:after="0"/>
        <w:jc w:val="left"/>
        <w:rPr>
          <w:rFonts w:ascii="ARIAL" w:hAnsi="ARIAL"/>
          <w:sz w:val="20"/>
        </w:rPr>
      </w:pPr>
      <w:r>
        <w:rPr>
          <w:rFonts w:ascii="ARIAL" w:hAnsi="ARIAL"/>
          <w:sz w:val="20"/>
        </w:rPr>
        <w:t xml:space="preserve">the failure to (A) continue in effect (without reduction in benefit level, and/or reward opportunities) any material compensation or employee benefit plan in which the Optionee or Grantee was participating immediately prior to the Change in Control, unless a substitute or replacement plan has been implemented which provides substantially identical compensation or benefits to the Optionee or Grantee or (B) provide the Optionee or Grantee with compensation and benefits, in the aggregate, at least equal (in terms of benefit levels and/or reward opportunities) to those provided for under each other compensation or employee benefit plan, program and practice in which the Optionee or Grantee was participating immediately prior to the Change in Control; or </w:t>
      </w:r>
    </w:p>
    <w:p>
      <w:pPr>
        <w:pStyle w:val="TextBody"/>
        <w:spacing w:before="240" w:after="0"/>
        <w:jc w:val="left"/>
        <w:rPr>
          <w:rFonts w:ascii="ARIAL" w:hAnsi="ARIAL"/>
          <w:sz w:val="20"/>
        </w:rPr>
      </w:pPr>
      <w:r>
        <w:rPr>
          <w:rFonts w:ascii="ARIAL" w:hAnsi="ARIAL"/>
          <w:sz w:val="20"/>
        </w:rPr>
        <w:t xml:space="preserve">the failure of the Company to obtain from its successors or assigns the express assumption and agreements to the extent required under Section 13 hereof. </w:t>
      </w:r>
    </w:p>
    <w:p>
      <w:pPr>
        <w:pStyle w:val="TextBody"/>
        <w:spacing w:before="240" w:after="0"/>
        <w:jc w:val="left"/>
        <w:rPr>
          <w:rFonts w:ascii="ARIAL" w:hAnsi="ARIAL"/>
          <w:sz w:val="20"/>
        </w:rPr>
      </w:pPr>
      <w:r>
        <w:rPr>
          <w:rFonts w:ascii="ARIAL" w:hAnsi="ARIAL"/>
          <w:sz w:val="20"/>
        </w:rPr>
        <w:t xml:space="preserve">Any event or condition described in Section 2.19(a)(i), (ii), (iii), (iv), or (vi), which occurs at any time prior to the date of a Change in Control and (1) which occurred after the Company entered into a definitive agreement, the consummation of which would constitute a Change in Control or (2) which the Optionee or Grantee reasonably demonstrates was at the request of a third party who has indicated an intention or has taken steps reasonably calculated to effect a Change in Control, shall constitute Good Reason for purposes of this Agreement, notwithstanding that it occurred prior to a Change in Control. </w:t>
      </w:r>
    </w:p>
    <w:p>
      <w:pPr>
        <w:pStyle w:val="TextBody"/>
        <w:spacing w:before="240" w:after="0"/>
        <w:jc w:val="left"/>
        <w:rPr/>
      </w:pPr>
      <w:r>
        <w:rPr/>
        <w:t>“</w:t>
      </w:r>
      <w:r>
        <w:rPr>
          <w:rFonts w:ascii="ARIAL" w:hAnsi="ARIAL"/>
          <w:sz w:val="20"/>
        </w:rPr>
        <w:t xml:space="preserve">Grantee” means a person to whom an Award has been granted under the Plan. </w:t>
      </w:r>
    </w:p>
    <w:p>
      <w:pPr>
        <w:pStyle w:val="TextBody"/>
        <w:spacing w:before="240" w:after="0"/>
        <w:jc w:val="left"/>
        <w:rPr/>
      </w:pPr>
      <w:r>
        <w:rPr/>
        <w:t>“</w:t>
      </w:r>
      <w:r>
        <w:rPr>
          <w:rFonts w:ascii="ARIAL" w:hAnsi="ARIAL"/>
          <w:sz w:val="20"/>
        </w:rPr>
        <w:t xml:space="preserve">Grant Price” means the price established at the time of a grant of a Stock Appreciation Right used to determine whether there is any payment due upon exercise of the Stock Appreciation Right. </w:t>
      </w:r>
    </w:p>
    <w:p>
      <w:pPr>
        <w:pStyle w:val="TextBody"/>
        <w:spacing w:before="240" w:after="0"/>
        <w:jc w:val="left"/>
        <w:rPr/>
      </w:pPr>
      <w:r>
        <w:rPr/>
        <w:t>“</w:t>
      </w:r>
      <w:r>
        <w:rPr>
          <w:rFonts w:ascii="ARIAL" w:hAnsi="ARIAL"/>
          <w:sz w:val="20"/>
        </w:rPr>
        <w:t xml:space="preserve">Incentive Stock Option” means an Option satisfying the requirements of Section 422 of the Code and designated by the Committee as an Incentive Stock Option. </w:t>
      </w:r>
    </w:p>
    <w:p>
      <w:pPr>
        <w:pStyle w:val="TextBody"/>
        <w:spacing w:before="240" w:after="0"/>
        <w:jc w:val="left"/>
        <w:rPr/>
      </w:pPr>
      <w:r>
        <w:rPr/>
        <w:t>“</w:t>
      </w:r>
      <w:r>
        <w:rPr>
          <w:rFonts w:ascii="ARIAL" w:hAnsi="ARIAL"/>
          <w:sz w:val="20"/>
        </w:rPr>
        <w:t xml:space="preserve">Non-Employee Director” means a Director who is not an employee of the Company. </w:t>
      </w:r>
    </w:p>
    <w:p>
      <w:pPr>
        <w:pStyle w:val="TextBody"/>
        <w:spacing w:before="240" w:after="0"/>
        <w:jc w:val="left"/>
        <w:rPr/>
      </w:pPr>
      <w:r>
        <w:rPr/>
        <w:t>“</w:t>
      </w:r>
      <w:r>
        <w:rPr>
          <w:rFonts w:ascii="ARIAL" w:hAnsi="ARIAL"/>
          <w:sz w:val="20"/>
        </w:rPr>
        <w:t xml:space="preserve">Non-qualified Stock Option” means an Option which is not an Incentive Stock Option. </w:t>
      </w:r>
    </w:p>
    <w:p>
      <w:pPr>
        <w:pStyle w:val="TextBody"/>
        <w:spacing w:before="240" w:after="0"/>
        <w:jc w:val="left"/>
        <w:rPr/>
      </w:pPr>
      <w:r>
        <w:rPr/>
        <w:t>“</w:t>
      </w:r>
      <w:r>
        <w:rPr>
          <w:rFonts w:ascii="ARIAL" w:hAnsi="ARIAL"/>
          <w:sz w:val="20"/>
        </w:rPr>
        <w:t xml:space="preserve">Option” means a Non-qualified Stock Option, an Incentive Stock Option or either or both of them. </w:t>
      </w:r>
    </w:p>
    <w:p>
      <w:pPr>
        <w:pStyle w:val="TextBody"/>
        <w:spacing w:before="0" w:after="0"/>
        <w:jc w:val="left"/>
        <w:rPr/>
      </w:pPr>
      <w:r>
        <w:rPr/>
        <w:t> </w:t>
      </w:r>
    </w:p>
    <w:p>
      <w:pPr>
        <w:pStyle w:val="TextBody"/>
        <w:spacing w:before="0" w:after="0"/>
        <w:jc w:val="center"/>
        <w:rPr>
          <w:rFonts w:ascii="ARIAL" w:hAnsi="ARIAL"/>
          <w:sz w:val="22"/>
        </w:rPr>
      </w:pPr>
      <w:r>
        <w:rPr>
          <w:rFonts w:ascii="ARIAL" w:hAnsi="ARIAL"/>
          <w:sz w:val="22"/>
        </w:rPr>
        <w:t xml:space="preserve">B-5 </w:t>
      </w:r>
      <w:r>
        <w:br w:type="page"/>
      </w:r>
    </w:p>
    <w:p>
      <w:pPr>
        <w:pStyle w:val="HorizontalLine"/>
        <w:rPr/>
      </w:pPr>
      <w:r>
        <w:rPr/>
      </w:r>
    </w:p>
    <w:p>
      <w:pPr>
        <w:pStyle w:val="TextBody"/>
        <w:spacing w:before="0" w:after="0"/>
        <w:jc w:val="left"/>
        <w:rPr/>
      </w:pPr>
      <w:r>
        <w:rPr/>
        <w:t>“</w:t>
      </w:r>
      <w:r>
        <w:rPr>
          <w:rFonts w:ascii="ARIAL" w:hAnsi="ARIAL"/>
          <w:sz w:val="20"/>
        </w:rPr>
        <w:t xml:space="preserve">Optionee” means a person to whom an Option has been granted under the Plan. </w:t>
      </w:r>
    </w:p>
    <w:p>
      <w:pPr>
        <w:pStyle w:val="TextBody"/>
        <w:spacing w:before="240" w:after="0"/>
        <w:jc w:val="left"/>
        <w:rPr/>
      </w:pPr>
      <w:r>
        <w:rPr/>
        <w:t>“</w:t>
      </w:r>
      <w:r>
        <w:rPr>
          <w:rFonts w:ascii="ARIAL" w:hAnsi="ARIAL"/>
          <w:sz w:val="20"/>
        </w:rPr>
        <w:t xml:space="preserve">Other Share Award” means an Award of Shares granted pursuant to Section 10. </w:t>
      </w:r>
    </w:p>
    <w:p>
      <w:pPr>
        <w:pStyle w:val="TextBody"/>
        <w:spacing w:before="240" w:after="0"/>
        <w:jc w:val="left"/>
        <w:rPr/>
      </w:pPr>
      <w:r>
        <w:rPr/>
        <w:t>“</w:t>
      </w:r>
      <w:r>
        <w:rPr>
          <w:rFonts w:ascii="ARIAL" w:hAnsi="ARIAL"/>
          <w:sz w:val="20"/>
        </w:rPr>
        <w:t xml:space="preserve">Parent” means any corporation which is a parent corporation within the meaning of Section 424(e) of the Code with respect to the Company. </w:t>
      </w:r>
    </w:p>
    <w:p>
      <w:pPr>
        <w:pStyle w:val="TextBody"/>
        <w:spacing w:before="240" w:after="0"/>
        <w:jc w:val="left"/>
        <w:rPr/>
      </w:pPr>
      <w:r>
        <w:rPr/>
        <w:t>“</w:t>
      </w:r>
      <w:r>
        <w:rPr>
          <w:rFonts w:ascii="ARIAL" w:hAnsi="ARIAL"/>
          <w:sz w:val="20"/>
        </w:rPr>
        <w:t xml:space="preserve">Performance Award” means an Award of Performance Units, Performance Shares or either or both of them. </w:t>
      </w:r>
    </w:p>
    <w:p>
      <w:pPr>
        <w:pStyle w:val="TextBody"/>
        <w:spacing w:before="240" w:after="0"/>
        <w:jc w:val="left"/>
        <w:rPr/>
      </w:pPr>
      <w:r>
        <w:rPr/>
        <w:t>“</w:t>
      </w:r>
      <w:r>
        <w:rPr>
          <w:rFonts w:ascii="ARIAL" w:hAnsi="ARIAL"/>
          <w:sz w:val="20"/>
        </w:rPr>
        <w:t xml:space="preserve">Performance Cycle” means the time period specified by the Committee at the time a Performance Award is granted during which the performance of the Company, a Subsidiary or a Division will be measured. </w:t>
      </w:r>
    </w:p>
    <w:p>
      <w:pPr>
        <w:pStyle w:val="TextBody"/>
        <w:spacing w:before="240" w:after="0"/>
        <w:jc w:val="left"/>
        <w:rPr/>
      </w:pPr>
      <w:r>
        <w:rPr/>
        <w:t>“</w:t>
      </w:r>
      <w:r>
        <w:rPr>
          <w:rFonts w:ascii="ARIAL" w:hAnsi="ARIAL"/>
          <w:sz w:val="20"/>
        </w:rPr>
        <w:t xml:space="preserve">Performance Objectives” has the meaning set forth in Section 9. </w:t>
      </w:r>
    </w:p>
    <w:p>
      <w:pPr>
        <w:pStyle w:val="TextBody"/>
        <w:spacing w:before="240" w:after="0"/>
        <w:jc w:val="left"/>
        <w:rPr/>
      </w:pPr>
      <w:r>
        <w:rPr/>
        <w:t>“</w:t>
      </w:r>
      <w:r>
        <w:rPr>
          <w:rFonts w:ascii="ARIAL" w:hAnsi="ARIAL"/>
          <w:sz w:val="20"/>
        </w:rPr>
        <w:t xml:space="preserve">Performance Shares” means Shares issued to an Eligible Individual under Section 9. </w:t>
      </w:r>
    </w:p>
    <w:p>
      <w:pPr>
        <w:pStyle w:val="TextBody"/>
        <w:spacing w:before="240" w:after="0"/>
        <w:jc w:val="left"/>
        <w:rPr/>
      </w:pPr>
      <w:r>
        <w:rPr/>
        <w:t>“</w:t>
      </w:r>
      <w:r>
        <w:rPr>
          <w:rFonts w:ascii="ARIAL" w:hAnsi="ARIAL"/>
          <w:sz w:val="20"/>
        </w:rPr>
        <w:t xml:space="preserve">Performance Units” means performance units granted to an Eligible Individual under Section 9. </w:t>
      </w:r>
    </w:p>
    <w:p>
      <w:pPr>
        <w:pStyle w:val="TextBody"/>
        <w:spacing w:before="240" w:after="0"/>
        <w:jc w:val="left"/>
        <w:rPr/>
      </w:pPr>
      <w:r>
        <w:rPr/>
        <w:t>“</w:t>
      </w:r>
      <w:r>
        <w:rPr>
          <w:rFonts w:ascii="ARIAL" w:hAnsi="ARIAL"/>
          <w:sz w:val="20"/>
        </w:rPr>
        <w:t xml:space="preserve">Plan” means this Community Health Systems, Inc. 2009 Stock Option and Award Plan, as amended and restated from time to time. </w:t>
      </w:r>
    </w:p>
    <w:p>
      <w:pPr>
        <w:pStyle w:val="TextBody"/>
        <w:spacing w:before="240" w:after="0"/>
        <w:jc w:val="left"/>
        <w:rPr/>
      </w:pPr>
      <w:r>
        <w:rPr/>
        <w:t>“</w:t>
      </w:r>
      <w:r>
        <w:rPr>
          <w:rFonts w:ascii="ARIAL" w:hAnsi="ARIAL"/>
          <w:sz w:val="20"/>
        </w:rPr>
        <w:t xml:space="preserve">Restricted Stock” means an Award of Shares issued to an Eligible Individual pursuant to Section 8.1. </w:t>
      </w:r>
    </w:p>
    <w:p>
      <w:pPr>
        <w:pStyle w:val="TextBody"/>
        <w:spacing w:before="240" w:after="0"/>
        <w:jc w:val="left"/>
        <w:rPr/>
      </w:pPr>
      <w:r>
        <w:rPr/>
        <w:t>“</w:t>
      </w:r>
      <w:r>
        <w:rPr>
          <w:rFonts w:ascii="ARIAL" w:hAnsi="ARIAL"/>
          <w:sz w:val="20"/>
        </w:rPr>
        <w:t xml:space="preserve">Restricted Stock Units” means an Award of restricted stock units granted to an Eligible Individual under Section 8.2 representing a number of hypothetical Shares (or the Fair Market Value thereof). </w:t>
      </w:r>
    </w:p>
    <w:p>
      <w:pPr>
        <w:pStyle w:val="TextBody"/>
        <w:spacing w:before="240" w:after="0"/>
        <w:jc w:val="left"/>
        <w:rPr/>
      </w:pPr>
      <w:r>
        <w:rPr/>
        <w:t>“</w:t>
      </w:r>
      <w:r>
        <w:rPr>
          <w:rFonts w:ascii="ARIAL" w:hAnsi="ARIAL"/>
          <w:sz w:val="20"/>
        </w:rPr>
        <w:t xml:space="preserve">Shares” means shares of the Common Stock of the Company, par value $.01 per share, and any other securities into which such shares are changed or for which such shares are exchanged. </w:t>
      </w:r>
    </w:p>
    <w:p>
      <w:pPr>
        <w:pStyle w:val="TextBody"/>
        <w:spacing w:before="240" w:after="0"/>
        <w:jc w:val="left"/>
        <w:rPr/>
      </w:pPr>
      <w:r>
        <w:rPr/>
        <w:t>“</w:t>
      </w:r>
      <w:r>
        <w:rPr>
          <w:rFonts w:ascii="ARIAL" w:hAnsi="ARIAL"/>
          <w:sz w:val="20"/>
        </w:rPr>
        <w:t xml:space="preserve">Stock Appreciation Right” means a right to receive all or some portion of the increase in the value of a Share as provided in Section 7 hereof. </w:t>
      </w:r>
    </w:p>
    <w:p>
      <w:pPr>
        <w:pStyle w:val="TextBody"/>
        <w:spacing w:before="240" w:after="0"/>
        <w:jc w:val="left"/>
        <w:rPr/>
      </w:pPr>
      <w:r>
        <w:rPr/>
        <w:t>“</w:t>
      </w:r>
      <w:r>
        <w:rPr>
          <w:rFonts w:ascii="ARIAL" w:hAnsi="ARIAL"/>
          <w:sz w:val="20"/>
        </w:rPr>
        <w:t xml:space="preserve">Subsidiary” means (i) except as provided in subsection (ii) below, any corporation which is a subsidiary corporation within the meaning of Section 424(f) of the Code with respect to the Company, and (ii) in relation to the eligibility to receive Options or Awards other than Incentive Stock Options and continued employment for purposes of Options and Awards (unless the Committee determines otherwise), any entity, whether or not incorporated, in which the Company directly or indirectly owns 50% or more of the outstanding equity or other ownership interests. </w:t>
      </w:r>
    </w:p>
    <w:p>
      <w:pPr>
        <w:pStyle w:val="TextBody"/>
        <w:spacing w:before="240" w:after="0"/>
        <w:jc w:val="left"/>
        <w:rPr/>
      </w:pPr>
      <w:r>
        <w:rPr/>
        <w:t>“</w:t>
      </w:r>
      <w:r>
        <w:rPr>
          <w:rFonts w:ascii="ARIAL" w:hAnsi="ARIAL"/>
          <w:sz w:val="20"/>
        </w:rPr>
        <w:t xml:space="preserve">Ten-Percent Stockholder” means an Eligible Individual, who, at the time an Incentive Stock Option is to be granted to him or her, owns (within the meaning of Section 422(b)(6) of the Code) stock possessing more than ten percent (10%) of the total combined voting power of all classes of stock of the Company, a Parent or a Subsidiary. </w:t>
      </w:r>
    </w:p>
    <w:p>
      <w:pPr>
        <w:pStyle w:val="TextBody"/>
        <w:spacing w:before="240" w:after="0"/>
        <w:jc w:val="left"/>
        <w:rPr>
          <w:rFonts w:ascii="ARIAL" w:hAnsi="ARIAL"/>
          <w:sz w:val="20"/>
        </w:rPr>
      </w:pPr>
      <w:r>
        <w:rPr>
          <w:rFonts w:ascii="ARIAL" w:hAnsi="ARIAL"/>
          <w:sz w:val="20"/>
        </w:rPr>
        <w:t xml:space="preserve">Administration. </w:t>
      </w:r>
    </w:p>
    <w:p>
      <w:pPr>
        <w:pStyle w:val="TextBody"/>
        <w:spacing w:before="240" w:after="0"/>
        <w:jc w:val="left"/>
        <w:rPr>
          <w:rFonts w:ascii="ARIAL" w:hAnsi="ARIAL"/>
          <w:sz w:val="20"/>
        </w:rPr>
      </w:pPr>
      <w:r>
        <w:rPr>
          <w:rFonts w:ascii="ARIAL" w:hAnsi="ARIAL"/>
          <w:sz w:val="20"/>
          <w:u w:val="single"/>
        </w:rPr>
        <w:t>Committee</w:t>
      </w:r>
      <w:r>
        <w:rPr>
          <w:rFonts w:ascii="ARIAL" w:hAnsi="ARIAL"/>
          <w:sz w:val="20"/>
        </w:rPr>
        <w:t xml:space="preserve">. The Plan shall be administered by the Committee, which shall hold meetings at such times as may be necessary for the proper administration of the Plan. The Committee shall keep minutes of its meetings. If the Committee consists of more than one (1) member, a quorum shall </w:t>
      </w:r>
    </w:p>
    <w:p>
      <w:pPr>
        <w:pStyle w:val="TextBody"/>
        <w:spacing w:before="0" w:after="0"/>
        <w:jc w:val="left"/>
        <w:rPr/>
      </w:pPr>
      <w:r>
        <w:rPr/>
        <w:t> </w:t>
      </w:r>
    </w:p>
    <w:p>
      <w:pPr>
        <w:pStyle w:val="TextBody"/>
        <w:spacing w:before="0" w:after="0"/>
        <w:jc w:val="center"/>
        <w:rPr>
          <w:rFonts w:ascii="ARIAL" w:hAnsi="ARIAL"/>
          <w:sz w:val="22"/>
        </w:rPr>
      </w:pPr>
      <w:r>
        <w:rPr>
          <w:rFonts w:ascii="ARIAL" w:hAnsi="ARIAL"/>
          <w:sz w:val="22"/>
        </w:rPr>
        <w:t xml:space="preserve">B-6 </w:t>
      </w:r>
      <w:r>
        <w:br w:type="page"/>
      </w:r>
    </w:p>
    <w:p>
      <w:pPr>
        <w:pStyle w:val="HorizontalLine"/>
        <w:rPr/>
      </w:pPr>
      <w:r>
        <w:rPr/>
      </w:r>
    </w:p>
    <w:p>
      <w:pPr>
        <w:pStyle w:val="TextBody"/>
        <w:spacing w:before="0" w:after="0"/>
        <w:jc w:val="left"/>
        <w:rPr>
          <w:rFonts w:ascii="ARIAL" w:hAnsi="ARIAL"/>
          <w:sz w:val="20"/>
        </w:rPr>
      </w:pPr>
      <w:r>
        <w:rPr>
          <w:rFonts w:ascii="ARIAL" w:hAnsi="ARIAL"/>
          <w:sz w:val="20"/>
        </w:rPr>
        <w:t xml:space="preserve">consist of not fewer than two (2) members of the Committee and a majority of a quorum may authorize any action. Any decision or determination reduced to writing and signed by all of the members of the Committee shall be as fully effective as if approved at a meeting duly called and held. The Committee shall consist of at least one (1) Director and may consist of the entire Board; provided, however, that with respect to any Option or Award granted to an Eligible Individual who is subject to Section 16 of the Exchange Act, the Committee shall consist of at least two (2) Directors each of whom shall be a “non-employee director” within the meaning of Rule 16b-3 promulgated under the Exchange Act. For purposes of the preceding sentence, if any member of the Committee fails to qualify as a non-employee director (within the meaning of the preceding sentence), but recuses himself or herself or abstains from voting with respect to a particular action taken by the Committee, then the Committee, with respect to that action, shall be deemed to consist only of the members of the Committee who have not recused themselves or abstained from voting. Subject to applicable law, the Committee may delegate its authority under the Plan to any other person or persons. </w:t>
      </w:r>
    </w:p>
    <w:p>
      <w:pPr>
        <w:pStyle w:val="TextBody"/>
        <w:spacing w:before="240" w:after="0"/>
        <w:jc w:val="left"/>
        <w:rPr>
          <w:rFonts w:ascii="ARIAL" w:hAnsi="ARIAL"/>
          <w:sz w:val="20"/>
        </w:rPr>
      </w:pPr>
      <w:r>
        <w:rPr>
          <w:rFonts w:ascii="ARIAL" w:hAnsi="ARIAL"/>
          <w:sz w:val="20"/>
          <w:u w:val="single"/>
        </w:rPr>
        <w:t>No Liability</w:t>
      </w:r>
      <w:r>
        <w:rPr>
          <w:rFonts w:ascii="ARIAL" w:hAnsi="ARIAL"/>
          <w:sz w:val="20"/>
        </w:rPr>
        <w:t xml:space="preserve">. No member of the Committee shall be liable for any action, failure to act, determination or interpretation made in good faith with respect to this Plan or any transaction hereunder. The Company hereby agrees to indemnify each member of the Committee for all costs and expenses and, to the extent permitted by applicable law, any liability incurred in connection with defending against, responding to, negotiating for the settlement of or otherwise dealing with any claim, cause of action or dispute of any kind arising in connection with any actions in administering this Plan or in authorizing or denying authorization to any transaction hereunder. </w:t>
      </w:r>
    </w:p>
    <w:p>
      <w:pPr>
        <w:pStyle w:val="TextBody"/>
        <w:spacing w:before="240" w:after="0"/>
        <w:jc w:val="left"/>
        <w:rPr>
          <w:rFonts w:ascii="ARIAL" w:hAnsi="ARIAL"/>
          <w:sz w:val="20"/>
        </w:rPr>
      </w:pPr>
      <w:r>
        <w:rPr>
          <w:rFonts w:ascii="ARIAL" w:hAnsi="ARIAL"/>
          <w:sz w:val="20"/>
          <w:u w:val="single"/>
        </w:rPr>
        <w:t>Committee Powers</w:t>
      </w:r>
      <w:r>
        <w:rPr>
          <w:rFonts w:ascii="ARIAL" w:hAnsi="ARIAL"/>
          <w:sz w:val="20"/>
        </w:rPr>
        <w:t xml:space="preserve">. Subject to the express terms and conditions set forth herein, the Committee shall have the power from time to time to: </w:t>
      </w:r>
    </w:p>
    <w:p>
      <w:pPr>
        <w:pStyle w:val="TextBody"/>
        <w:spacing w:before="240" w:after="0"/>
        <w:jc w:val="left"/>
        <w:rPr>
          <w:rFonts w:ascii="ARIAL" w:hAnsi="ARIAL"/>
          <w:sz w:val="20"/>
        </w:rPr>
      </w:pPr>
      <w:r>
        <w:rPr>
          <w:rFonts w:ascii="ARIAL" w:hAnsi="ARIAL"/>
          <w:sz w:val="20"/>
        </w:rPr>
        <w:t xml:space="preserve">determine those Eligible Individuals to whom Options shall be granted under the Plan and the number of such Options to be granted, prescribe the terms and conditions (which need not be identical) of each such Option, including the exercise price per Share, the vesting schedule and the duration of each Option, and make any amendment or modification to any Option Agreement consistent with the terms of the Plan; </w:t>
      </w:r>
    </w:p>
    <w:p>
      <w:pPr>
        <w:pStyle w:val="TextBody"/>
        <w:spacing w:before="240" w:after="0"/>
        <w:jc w:val="left"/>
        <w:rPr>
          <w:rFonts w:ascii="ARIAL" w:hAnsi="ARIAL"/>
          <w:sz w:val="20"/>
        </w:rPr>
      </w:pPr>
      <w:r>
        <w:rPr>
          <w:rFonts w:ascii="ARIAL" w:hAnsi="ARIAL"/>
          <w:sz w:val="20"/>
        </w:rPr>
        <w:t xml:space="preserve">select those Eligible Individuals to whom Awards shall be granted under the Plan, determine the number of Shares in respect of which each Award is granted, the terms and conditions (which need not be identical) of each such Award, and make any amendment or modification to any Award Agreement consistent with the terms of the Plan; </w:t>
      </w:r>
    </w:p>
    <w:p>
      <w:pPr>
        <w:pStyle w:val="TextBody"/>
        <w:spacing w:before="240" w:after="0"/>
        <w:jc w:val="left"/>
        <w:rPr>
          <w:rFonts w:ascii="ARIAL" w:hAnsi="ARIAL"/>
          <w:sz w:val="20"/>
        </w:rPr>
      </w:pPr>
      <w:r>
        <w:rPr>
          <w:rFonts w:ascii="ARIAL" w:hAnsi="ARIAL"/>
          <w:sz w:val="20"/>
        </w:rPr>
        <w:t xml:space="preserve">construe and interpret the Plan and the Options and Awards granted hereunder, establish, amend and revoke rules and regulations for the administration of the Plan, including, but not limited to, correcting any defect or supplying any omission, or reconciling any inconsistency in the Plan or in any Agreement, in the manner and to the extent it shall deem necessary or advisable, including so that the Plan and the operation of the Plan comply with Rule 16b-3 under the Exchange Act, the Code to the extent applicable and other applicable law, and otherwise make the Plan fully effective. All decisions and determinations by the Committee in the exercise of this power shall be final, binding and conclusive upon the Company, its Subsidiaries, the Optionees and Grantees, and all other persons having any interest therein; </w:t>
      </w:r>
    </w:p>
    <w:p>
      <w:pPr>
        <w:pStyle w:val="TextBody"/>
        <w:spacing w:before="240" w:after="0"/>
        <w:jc w:val="left"/>
        <w:rPr>
          <w:rFonts w:ascii="ARIAL" w:hAnsi="ARIAL"/>
          <w:sz w:val="20"/>
        </w:rPr>
      </w:pPr>
      <w:r>
        <w:rPr>
          <w:rFonts w:ascii="ARIAL" w:hAnsi="ARIAL"/>
          <w:sz w:val="20"/>
        </w:rPr>
        <w:t xml:space="preserve">determine the duration and purposes for leaves of absence which may be granted to an Optionee or Grantee on an individual basis without constituting a termination of employment or service for purposes of the Plan; </w:t>
      </w:r>
    </w:p>
    <w:p>
      <w:pPr>
        <w:pStyle w:val="TextBody"/>
        <w:spacing w:before="240" w:after="0"/>
        <w:jc w:val="left"/>
        <w:rPr>
          <w:rFonts w:ascii="ARIAL" w:hAnsi="ARIAL"/>
          <w:sz w:val="20"/>
        </w:rPr>
      </w:pPr>
      <w:r>
        <w:rPr>
          <w:rFonts w:ascii="ARIAL" w:hAnsi="ARIAL"/>
          <w:sz w:val="20"/>
        </w:rPr>
        <w:t xml:space="preserve">exercise its discretion with respect to the powers and rights granted to it as set forth in the Plan; and </w:t>
      </w:r>
    </w:p>
    <w:p>
      <w:pPr>
        <w:pStyle w:val="TextBody"/>
        <w:spacing w:before="0" w:after="0"/>
        <w:jc w:val="left"/>
        <w:rPr/>
      </w:pPr>
      <w:r>
        <w:rPr/>
        <w:t> </w:t>
      </w:r>
    </w:p>
    <w:p>
      <w:pPr>
        <w:pStyle w:val="TextBody"/>
        <w:spacing w:before="0" w:after="0"/>
        <w:jc w:val="center"/>
        <w:rPr>
          <w:rFonts w:ascii="ARIAL" w:hAnsi="ARIAL"/>
          <w:sz w:val="22"/>
        </w:rPr>
      </w:pPr>
      <w:r>
        <w:rPr>
          <w:rFonts w:ascii="ARIAL" w:hAnsi="ARIAL"/>
          <w:sz w:val="22"/>
        </w:rPr>
        <w:t xml:space="preserve">B-7 </w:t>
      </w:r>
      <w:r>
        <w:br w:type="page"/>
      </w:r>
    </w:p>
    <w:p>
      <w:pPr>
        <w:pStyle w:val="HorizontalLine"/>
        <w:rPr/>
      </w:pPr>
      <w:r>
        <w:rPr/>
      </w:r>
    </w:p>
    <w:p>
      <w:pPr>
        <w:pStyle w:val="TextBody"/>
        <w:spacing w:before="0" w:after="0"/>
        <w:jc w:val="left"/>
        <w:rPr>
          <w:rFonts w:ascii="ARIAL" w:hAnsi="ARIAL"/>
          <w:sz w:val="20"/>
        </w:rPr>
      </w:pPr>
      <w:r>
        <w:rPr>
          <w:rFonts w:ascii="ARIAL" w:hAnsi="ARIAL"/>
          <w:sz w:val="20"/>
        </w:rPr>
        <w:t xml:space="preserve">generally, exercise such powers and perform such acts as are deemed necessary or advisable to promote the best interests of the Company with respect to the Plan. </w:t>
      </w:r>
    </w:p>
    <w:p>
      <w:pPr>
        <w:pStyle w:val="TextBody"/>
        <w:spacing w:before="240" w:after="0"/>
        <w:jc w:val="left"/>
        <w:rPr>
          <w:rFonts w:ascii="ARIAL" w:hAnsi="ARIAL"/>
          <w:sz w:val="20"/>
        </w:rPr>
      </w:pPr>
      <w:r>
        <w:rPr>
          <w:rFonts w:ascii="ARIAL" w:hAnsi="ARIAL"/>
          <w:sz w:val="20"/>
        </w:rPr>
        <w:t xml:space="preserve">Delegation. The Committee may delegate to one or more officers of the Company the authority to grant Options or Awards to Eligible Individuals (other than to himself or herself) and/or determine the number of Shares subject to each Option or Award (by resolution that specifies the total number of Shares subject to the Options or Awards that may be awarded by the officer and the terms of any such Options or Awards, including the exercise price), provided that such delegation is made in accordance with the Delaware General Corporation Law and any other applicable legal requirements, and such Options or Awards are not made to executive officers of the Company covered by Rule 16b-3 under the Exchange Act. </w:t>
      </w:r>
    </w:p>
    <w:p>
      <w:pPr>
        <w:pStyle w:val="TextBody"/>
        <w:spacing w:before="240" w:after="0"/>
        <w:jc w:val="left"/>
        <w:rPr>
          <w:rFonts w:ascii="ARIAL" w:hAnsi="ARIAL"/>
          <w:sz w:val="20"/>
        </w:rPr>
      </w:pPr>
      <w:r>
        <w:rPr>
          <w:rFonts w:ascii="ARIAL" w:hAnsi="ARIAL"/>
          <w:sz w:val="20"/>
        </w:rPr>
        <w:t xml:space="preserve">Shares Subject to the Plan; Grant Limitations. </w:t>
      </w:r>
    </w:p>
    <w:p>
      <w:pPr>
        <w:pStyle w:val="TextBody"/>
        <w:spacing w:before="240" w:after="0"/>
        <w:jc w:val="left"/>
        <w:rPr>
          <w:rFonts w:ascii="ARIAL" w:hAnsi="ARIAL"/>
          <w:sz w:val="20"/>
        </w:rPr>
      </w:pPr>
      <w:r>
        <w:rPr>
          <w:rFonts w:ascii="ARIAL" w:hAnsi="ARIAL"/>
          <w:sz w:val="20"/>
          <w:u w:val="single"/>
        </w:rPr>
        <w:t>Shares Subject to the Plan</w:t>
      </w:r>
      <w:r>
        <w:rPr>
          <w:rFonts w:ascii="ARIAL" w:hAnsi="ARIAL"/>
          <w:i/>
          <w:sz w:val="20"/>
        </w:rPr>
        <w:t xml:space="preserve">. </w:t>
      </w:r>
      <w:r>
        <w:rPr>
          <w:rFonts w:ascii="ARIAL" w:hAnsi="ARIAL"/>
          <w:sz w:val="20"/>
        </w:rPr>
        <w:t xml:space="preserve">The maximum number of Shares that may be made the subject of Options and Awards granted under the Plan is the sum of: </w:t>
      </w:r>
    </w:p>
    <w:p>
      <w:pPr>
        <w:pStyle w:val="TextBody"/>
        <w:spacing w:before="240" w:after="0"/>
        <w:jc w:val="left"/>
        <w:rPr>
          <w:rFonts w:ascii="ARIAL" w:hAnsi="ARIAL"/>
          <w:sz w:val="20"/>
        </w:rPr>
      </w:pPr>
      <w:r>
        <w:rPr>
          <w:rFonts w:ascii="ARIAL" w:hAnsi="ARIAL"/>
          <w:sz w:val="20"/>
        </w:rPr>
        <w:t xml:space="preserve">7,500,000 Shares added to the Plan as a result of the amendment and restatement contemplated hereby effective on the Restatement Effective Date; plus </w:t>
      </w:r>
    </w:p>
    <w:p>
      <w:pPr>
        <w:pStyle w:val="TextBody"/>
        <w:spacing w:before="240" w:after="0"/>
        <w:jc w:val="left"/>
        <w:rPr>
          <w:rFonts w:ascii="ARIAL" w:hAnsi="ARIAL"/>
          <w:sz w:val="20"/>
        </w:rPr>
      </w:pPr>
      <w:r>
        <w:rPr>
          <w:rFonts w:ascii="ARIAL" w:hAnsi="ARIAL"/>
          <w:sz w:val="20"/>
        </w:rPr>
        <w:t xml:space="preserve">1,539,421 Shares remaining in the Plan as of March 1, 2023 (after giving effect to the grant of Awards as part of the Company’s annual equity grant process which was approved by the Committee on February 15, 2023, which Awards had a grant date of March 1, 2023); </w:t>
      </w:r>
    </w:p>
    <w:p>
      <w:pPr>
        <w:pStyle w:val="TextBody"/>
        <w:spacing w:before="240" w:after="0"/>
        <w:jc w:val="left"/>
        <w:rPr>
          <w:rFonts w:ascii="ARIAL" w:hAnsi="ARIAL"/>
          <w:sz w:val="20"/>
        </w:rPr>
      </w:pPr>
      <w:r>
        <w:rPr>
          <w:rFonts w:ascii="ARIAL" w:hAnsi="ARIAL"/>
          <w:sz w:val="20"/>
        </w:rPr>
        <w:t xml:space="preserve">for a total of 9,039,421 Shares, less any Shares subject to Options or Awards granted after March 1, 2023 (the “Share Reserve”). </w:t>
      </w:r>
    </w:p>
    <w:p>
      <w:pPr>
        <w:pStyle w:val="TextBody"/>
        <w:spacing w:before="240" w:after="0"/>
        <w:jc w:val="left"/>
        <w:rPr>
          <w:rFonts w:ascii="ARIAL" w:hAnsi="ARIAL"/>
          <w:sz w:val="20"/>
        </w:rPr>
      </w:pPr>
      <w:r>
        <w:rPr>
          <w:rFonts w:ascii="ARIAL" w:hAnsi="ARIAL"/>
          <w:sz w:val="20"/>
        </w:rPr>
        <w:t xml:space="preserve">The Company shall reserve for the purposes of the Plan, out of its authorized but unissued Shares or out of Shares held in the Company’s treasury, or partly out of each, such number of Shares as shall be determined by the Board. In addition, for purposes of clarity, the Share Reserve is a limit on the number of Shares that may be issued pursuant to Awards under this Plan, and does not limit the granting of Awards, except that the Company will keep available at all times the number of Shares reasonably required to satisfy the Company’s obligation to issue Shares pursuant to Awards. </w:t>
      </w:r>
    </w:p>
    <w:p>
      <w:pPr>
        <w:pStyle w:val="TextBody"/>
        <w:spacing w:before="240" w:after="0"/>
        <w:jc w:val="left"/>
        <w:rPr>
          <w:rFonts w:ascii="ARIAL" w:hAnsi="ARIAL"/>
          <w:sz w:val="20"/>
        </w:rPr>
      </w:pPr>
      <w:r>
        <w:rPr>
          <w:rFonts w:ascii="ARIAL" w:hAnsi="ARIAL"/>
          <w:sz w:val="20"/>
          <w:u w:val="single"/>
        </w:rPr>
        <w:t>Grant Limitations</w:t>
      </w:r>
      <w:r>
        <w:rPr>
          <w:rFonts w:ascii="ARIAL" w:hAnsi="ARIAL"/>
          <w:sz w:val="20"/>
        </w:rPr>
        <w:t xml:space="preserve">. The following grant limitations shall apply when making Awards pursuant to the Plan: </w:t>
      </w:r>
    </w:p>
    <w:p>
      <w:pPr>
        <w:pStyle w:val="TextBody"/>
        <w:spacing w:before="240" w:after="0"/>
        <w:jc w:val="left"/>
        <w:rPr>
          <w:rFonts w:ascii="ARIAL" w:hAnsi="ARIAL"/>
          <w:sz w:val="20"/>
        </w:rPr>
      </w:pPr>
      <w:r>
        <w:rPr>
          <w:rFonts w:ascii="ARIAL" w:hAnsi="ARIAL"/>
          <w:sz w:val="20"/>
        </w:rPr>
        <w:t xml:space="preserve">The maximum grant date fair value of all Awards granted during any calendar year to a single Non-Employee Director for service as a Non-Employee Director shall not exceed $800,000; </w:t>
      </w:r>
    </w:p>
    <w:p>
      <w:pPr>
        <w:pStyle w:val="TextBody"/>
        <w:spacing w:before="240" w:after="0"/>
        <w:jc w:val="left"/>
        <w:rPr>
          <w:rFonts w:ascii="ARIAL" w:hAnsi="ARIAL"/>
          <w:sz w:val="20"/>
        </w:rPr>
      </w:pPr>
      <w:r>
        <w:rPr>
          <w:rFonts w:ascii="ARIAL" w:hAnsi="ARIAL"/>
          <w:sz w:val="20"/>
        </w:rPr>
        <w:t xml:space="preserve">In no event shall more than an aggregate of 2,000,000 Shares be issued upon the exercise of Incentive Stock Options granted under the Plan. </w:t>
      </w:r>
    </w:p>
    <w:p>
      <w:pPr>
        <w:pStyle w:val="TextBody"/>
        <w:spacing w:before="240" w:after="0"/>
        <w:jc w:val="left"/>
        <w:rPr>
          <w:rFonts w:ascii="ARIAL" w:hAnsi="ARIAL"/>
          <w:sz w:val="20"/>
        </w:rPr>
      </w:pPr>
      <w:r>
        <w:rPr>
          <w:rFonts w:ascii="ARIAL" w:hAnsi="ARIAL"/>
          <w:sz w:val="20"/>
          <w:u w:val="single"/>
        </w:rPr>
        <w:t>Fungible Plan Design; Substitute Awards</w:t>
      </w:r>
      <w:r>
        <w:rPr>
          <w:rFonts w:ascii="ARIAL" w:hAnsi="ARIAL"/>
          <w:sz w:val="20"/>
        </w:rPr>
        <w:t xml:space="preserve">. Upon the grant of an Option or an Award, the Share Reserve shall be reduced as follows: </w:t>
      </w:r>
    </w:p>
    <w:p>
      <w:pPr>
        <w:pStyle w:val="TextBody"/>
        <w:spacing w:before="240" w:after="0"/>
        <w:jc w:val="left"/>
        <w:rPr>
          <w:rFonts w:ascii="ARIAL" w:hAnsi="ARIAL"/>
          <w:sz w:val="20"/>
        </w:rPr>
      </w:pPr>
      <w:r>
        <w:rPr>
          <w:rFonts w:ascii="ARIAL" w:hAnsi="ARIAL"/>
          <w:sz w:val="20"/>
        </w:rPr>
        <w:t xml:space="preserve">In connection with the grant of an Option or an Award, the Share Reserve shall be reduced by the number of Shares (determined pursuant to Section 4.3(c)) in respect of which such Option or Award is granted or denominated. </w:t>
      </w:r>
    </w:p>
    <w:p>
      <w:pPr>
        <w:pStyle w:val="TextBody"/>
        <w:spacing w:before="240" w:after="0"/>
        <w:jc w:val="left"/>
        <w:rPr>
          <w:rFonts w:ascii="ARIAL" w:hAnsi="ARIAL"/>
          <w:sz w:val="20"/>
        </w:rPr>
      </w:pPr>
      <w:r>
        <w:rPr>
          <w:rFonts w:ascii="ARIAL" w:hAnsi="ARIAL"/>
          <w:sz w:val="20"/>
        </w:rPr>
        <w:t xml:space="preserve">Stock Appreciation Rights to be settled in Shares shall be counted in full against the Share Reserve, regardless of the number of Shares issued upon settlement of the Stock Appreciation Right. </w:t>
      </w:r>
    </w:p>
    <w:p>
      <w:pPr>
        <w:pStyle w:val="TextBody"/>
        <w:spacing w:before="0" w:after="0"/>
        <w:jc w:val="left"/>
        <w:rPr/>
      </w:pPr>
      <w:r>
        <w:rPr/>
        <w:t> </w:t>
      </w:r>
    </w:p>
    <w:p>
      <w:pPr>
        <w:pStyle w:val="TextBody"/>
        <w:spacing w:before="0" w:after="0"/>
        <w:jc w:val="center"/>
        <w:rPr>
          <w:rFonts w:ascii="ARIAL" w:hAnsi="ARIAL"/>
          <w:sz w:val="22"/>
        </w:rPr>
      </w:pPr>
      <w:r>
        <w:rPr>
          <w:rFonts w:ascii="ARIAL" w:hAnsi="ARIAL"/>
          <w:sz w:val="22"/>
        </w:rPr>
        <w:t xml:space="preserve">B-8 </w:t>
      </w:r>
      <w:r>
        <w:br w:type="page"/>
      </w:r>
    </w:p>
    <w:p>
      <w:pPr>
        <w:pStyle w:val="HorizontalLine"/>
        <w:rPr/>
      </w:pPr>
      <w:r>
        <w:rPr/>
      </w:r>
    </w:p>
    <w:p>
      <w:pPr>
        <w:pStyle w:val="TextBody"/>
        <w:spacing w:before="0" w:after="0"/>
        <w:jc w:val="left"/>
        <w:rPr>
          <w:rFonts w:ascii="ARIAL" w:hAnsi="ARIAL"/>
          <w:sz w:val="20"/>
        </w:rPr>
      </w:pPr>
      <w:r>
        <w:rPr>
          <w:rFonts w:ascii="ARIAL" w:hAnsi="ARIAL"/>
          <w:sz w:val="20"/>
        </w:rPr>
        <w:t xml:space="preserve">Notwithstanding the foregoing, Awards granted in the form of Restricted Stock (including Restricted Stock Units), Share-settled Performance Awards and Other Share Awards that are granted as “full value awards” on and after the Restatement Effective Date (as defined below) shall reduce the Share Reserve by 1.20 Shares for each Share subject to such an Award. </w:t>
      </w:r>
    </w:p>
    <w:p>
      <w:pPr>
        <w:pStyle w:val="TextBody"/>
        <w:spacing w:before="240" w:after="0"/>
        <w:jc w:val="left"/>
        <w:rPr>
          <w:rFonts w:ascii="ARIAL" w:hAnsi="ARIAL"/>
          <w:sz w:val="20"/>
        </w:rPr>
      </w:pPr>
      <w:r>
        <w:rPr>
          <w:rFonts w:ascii="ARIAL" w:hAnsi="ARIAL"/>
          <w:sz w:val="20"/>
        </w:rPr>
        <w:t xml:space="preserve">Notwithstanding the foregoing, Awards may be assumed or granted in connection with or following a merger or acquisition involving the Company or any of its Subsidiaries to the extent permitted by Section 303A.08 of the NYSE Listed Company Manual (or any successor provision thereof) (any such Awards, “Substitute Awards”), and such Substitute Awards will not reduce the Share Reserve. </w:t>
      </w:r>
    </w:p>
    <w:p>
      <w:pPr>
        <w:pStyle w:val="TextBody"/>
        <w:spacing w:before="240" w:after="0"/>
        <w:jc w:val="left"/>
        <w:rPr>
          <w:rFonts w:ascii="ARIAL" w:hAnsi="ARIAL"/>
          <w:sz w:val="20"/>
        </w:rPr>
      </w:pPr>
      <w:r>
        <w:rPr>
          <w:rFonts w:ascii="ARIAL" w:hAnsi="ARIAL"/>
          <w:sz w:val="20"/>
          <w:u w:val="single"/>
        </w:rPr>
        <w:t>Shares Returned to the Plan</w:t>
      </w:r>
      <w:r>
        <w:rPr>
          <w:rFonts w:ascii="ARIAL" w:hAnsi="ARIAL"/>
          <w:sz w:val="20"/>
        </w:rPr>
        <w:t xml:space="preserve">. Whenever any outstanding Option or Award or portion thereof expires, is canceled, is forfeited, is settled in cash or is otherwise terminated for any reason without having been exercised or Shares having been issued in respect of the Option or Award (or such portion thereof to which the expiration, forfeiture, cash settlement or other termination occurs), the Shares subject to the expired, canceled, forfeited, cash-settled or otherwise terminated portion of the Option or Award may again be the subject of Options or Awards granted hereunder for purposes of the Share Reserve. With regard to Awards referenced in Section 4.3(c), for each Share subject to an Award that is cancelled, forfeited, settled in cash or other otherwise terminated on and after the Restatement Effective Date as provided in the foregoing sentence (irrespective of whether any such Awards were granted on or after, or prior to, the Restatement Effective Date), 1.20 Shares may again be the subject of Options or Awards under the Plan for purposes of the Share Reserve. Notwithstanding the foregoing, the following events </w:t>
      </w:r>
      <w:r>
        <w:rPr>
          <w:rFonts w:ascii="ARIAL" w:hAnsi="ARIAL"/>
          <w:sz w:val="20"/>
          <w:u w:val="single"/>
        </w:rPr>
        <w:t>shall not</w:t>
      </w:r>
      <w:r>
        <w:rPr>
          <w:rFonts w:ascii="ARIAL" w:hAnsi="ARIAL"/>
          <w:sz w:val="20"/>
        </w:rPr>
        <w:t xml:space="preserve"> result in any increase in the Share Reserve: </w:t>
      </w:r>
    </w:p>
    <w:p>
      <w:pPr>
        <w:pStyle w:val="TextBody"/>
        <w:spacing w:before="240" w:after="0"/>
        <w:jc w:val="left"/>
        <w:rPr>
          <w:rFonts w:ascii="ARIAL" w:hAnsi="ARIAL"/>
          <w:sz w:val="20"/>
        </w:rPr>
      </w:pPr>
      <w:r>
        <w:rPr>
          <w:rFonts w:ascii="ARIAL" w:hAnsi="ARIAL"/>
          <w:sz w:val="20"/>
        </w:rPr>
        <w:t xml:space="preserve">Withholding of Shares to pay Taxes on any Option or Award, </w:t>
      </w:r>
    </w:p>
    <w:p>
      <w:pPr>
        <w:pStyle w:val="TextBody"/>
        <w:spacing w:before="240" w:after="0"/>
        <w:jc w:val="left"/>
        <w:rPr>
          <w:rFonts w:ascii="ARIAL" w:hAnsi="ARIAL"/>
          <w:sz w:val="20"/>
        </w:rPr>
      </w:pPr>
      <w:r>
        <w:rPr>
          <w:rFonts w:ascii="ARIAL" w:hAnsi="ARIAL"/>
          <w:sz w:val="20"/>
        </w:rPr>
        <w:t xml:space="preserve">The excess of the number of Shares subject to any Share-settled Stock Appreciation Rights over the number of Shares actually issued in settlement thereof, </w:t>
      </w:r>
    </w:p>
    <w:p>
      <w:pPr>
        <w:pStyle w:val="TextBody"/>
        <w:spacing w:before="240" w:after="0"/>
        <w:jc w:val="left"/>
        <w:rPr>
          <w:rFonts w:ascii="ARIAL" w:hAnsi="ARIAL"/>
          <w:sz w:val="20"/>
        </w:rPr>
      </w:pPr>
      <w:r>
        <w:rPr>
          <w:rFonts w:ascii="ARIAL" w:hAnsi="ARIAL"/>
          <w:sz w:val="20"/>
        </w:rPr>
        <w:t xml:space="preserve">Tendering of Shares for payment of Option exercise prices or Withholding Taxes (i.e., net settlement of Shares), and </w:t>
      </w:r>
    </w:p>
    <w:p>
      <w:pPr>
        <w:pStyle w:val="TextBody"/>
        <w:spacing w:before="240" w:after="0"/>
        <w:jc w:val="left"/>
        <w:rPr>
          <w:rFonts w:ascii="ARIAL" w:hAnsi="ARIAL"/>
          <w:sz w:val="20"/>
        </w:rPr>
      </w:pPr>
      <w:r>
        <w:rPr>
          <w:rFonts w:ascii="ARIAL" w:hAnsi="ARIAL"/>
          <w:sz w:val="20"/>
        </w:rPr>
        <w:t xml:space="preserve">Any Company purchase of Shares on the open market as a result of Option exercises. </w:t>
      </w:r>
    </w:p>
    <w:p>
      <w:pPr>
        <w:pStyle w:val="TextBody"/>
        <w:spacing w:before="240" w:after="0"/>
        <w:jc w:val="left"/>
        <w:rPr>
          <w:rFonts w:ascii="ARIAL" w:hAnsi="ARIAL"/>
          <w:sz w:val="20"/>
        </w:rPr>
      </w:pPr>
      <w:r>
        <w:rPr>
          <w:rFonts w:ascii="ARIAL" w:hAnsi="ARIAL"/>
          <w:sz w:val="20"/>
          <w:u w:val="single"/>
        </w:rPr>
        <w:t>Minimum Vesting Period</w:t>
      </w:r>
      <w:r>
        <w:rPr>
          <w:rFonts w:ascii="ARIAL" w:hAnsi="ARIAL"/>
          <w:sz w:val="20"/>
        </w:rPr>
        <w:t xml:space="preserve">. No portion of any Option or Award under this Plan will vest prior to one year from the date of grant; provided, however, that this minimum vesting requirement will not apply to (i) any vesting in connection with any death, Disability, termination of employment or service without Cause or for Good Reason, or a Change in Control, or (ii) any Options or Awards granted up to a maximum of five percent (5%) of the Share Reserve. For purposes of this Section 4.5, any Option or Award made to a Non-Employee Director with a vesting period at least equal to the period from the annual stockholders’ meeting at which the Option or Award is granted to the next annual stockholders’ meeting (provided that such annual meetings are at least fifty (50) weeks apart) shall be considered to have a vesting period of at least one (1) year. </w:t>
      </w:r>
    </w:p>
    <w:p>
      <w:pPr>
        <w:pStyle w:val="TextBody"/>
        <w:spacing w:before="240" w:after="0"/>
        <w:jc w:val="left"/>
        <w:rPr>
          <w:rFonts w:ascii="ARIAL" w:hAnsi="ARIAL"/>
          <w:sz w:val="20"/>
        </w:rPr>
      </w:pPr>
      <w:r>
        <w:rPr>
          <w:rFonts w:ascii="ARIAL" w:hAnsi="ARIAL"/>
          <w:sz w:val="20"/>
        </w:rPr>
        <w:t xml:space="preserve">Option Grants for Eligible Individuals. </w:t>
      </w:r>
    </w:p>
    <w:p>
      <w:pPr>
        <w:pStyle w:val="TextBody"/>
        <w:spacing w:before="240" w:after="0"/>
        <w:jc w:val="left"/>
        <w:rPr>
          <w:rFonts w:ascii="ARIAL" w:hAnsi="ARIAL"/>
          <w:sz w:val="20"/>
        </w:rPr>
      </w:pPr>
      <w:r>
        <w:rPr>
          <w:rFonts w:ascii="ARIAL" w:hAnsi="ARIAL"/>
          <w:sz w:val="20"/>
          <w:u w:val="single"/>
        </w:rPr>
        <w:t>Authority of Committee</w:t>
      </w:r>
      <w:r>
        <w:rPr>
          <w:rFonts w:ascii="ARIAL" w:hAnsi="ARIAL"/>
          <w:sz w:val="20"/>
        </w:rPr>
        <w:t xml:space="preserve">. Subject to other provisions of the Plan, the Committee shall have full and final authority to select those Eligible Individuals who will receive Options, and the terms and conditions of the grant to such Eligible Individuals shall be set forth in an Agreement. Incentive Stock Options may be granted only to Eligible Individuals who are employees of the Company or any Subsidiary. </w:t>
      </w:r>
    </w:p>
    <w:p>
      <w:pPr>
        <w:pStyle w:val="TextBody"/>
        <w:spacing w:before="0" w:after="0"/>
        <w:jc w:val="left"/>
        <w:rPr/>
      </w:pPr>
      <w:r>
        <w:rPr/>
        <w:t> </w:t>
      </w:r>
    </w:p>
    <w:p>
      <w:pPr>
        <w:pStyle w:val="TextBody"/>
        <w:spacing w:before="0" w:after="0"/>
        <w:jc w:val="center"/>
        <w:rPr>
          <w:rFonts w:ascii="ARIAL" w:hAnsi="ARIAL"/>
          <w:sz w:val="22"/>
        </w:rPr>
      </w:pPr>
      <w:r>
        <w:rPr>
          <w:rFonts w:ascii="ARIAL" w:hAnsi="ARIAL"/>
          <w:sz w:val="22"/>
        </w:rPr>
        <w:t xml:space="preserve">B-9 </w:t>
      </w:r>
      <w:r>
        <w:br w:type="page"/>
      </w:r>
    </w:p>
    <w:p>
      <w:pPr>
        <w:pStyle w:val="HorizontalLine"/>
        <w:rPr/>
      </w:pPr>
      <w:r>
        <w:rPr/>
      </w:r>
    </w:p>
    <w:p>
      <w:pPr>
        <w:pStyle w:val="TextBody"/>
        <w:spacing w:before="0" w:after="0"/>
        <w:jc w:val="left"/>
        <w:rPr>
          <w:rFonts w:ascii="ARIAL" w:hAnsi="ARIAL"/>
          <w:sz w:val="20"/>
        </w:rPr>
      </w:pPr>
      <w:r>
        <w:rPr>
          <w:rFonts w:ascii="ARIAL" w:hAnsi="ARIAL"/>
          <w:sz w:val="20"/>
          <w:u w:val="single"/>
        </w:rPr>
        <w:t>Exercise Price</w:t>
      </w:r>
      <w:r>
        <w:rPr>
          <w:rFonts w:ascii="ARIAL" w:hAnsi="ARIAL"/>
          <w:sz w:val="20"/>
        </w:rPr>
        <w:t xml:space="preserve">. The purchase price for Shares subject to an Option, or the manner in which the exercise price of an Option is to be determined shall be determined by the Committee and set forth in the Agreement; </w:t>
      </w:r>
      <w:r>
        <w:rPr>
          <w:rFonts w:ascii="ARIAL" w:hAnsi="ARIAL"/>
          <w:i/>
          <w:sz w:val="20"/>
        </w:rPr>
        <w:t>provided</w:t>
      </w:r>
      <w:r>
        <w:rPr>
          <w:rFonts w:ascii="ARIAL" w:hAnsi="ARIAL"/>
          <w:sz w:val="20"/>
        </w:rPr>
        <w:t xml:space="preserve">, </w:t>
      </w:r>
      <w:r>
        <w:rPr>
          <w:rFonts w:ascii="ARIAL" w:hAnsi="ARIAL"/>
          <w:i/>
          <w:sz w:val="20"/>
        </w:rPr>
        <w:t>however</w:t>
      </w:r>
      <w:r>
        <w:rPr>
          <w:rFonts w:ascii="ARIAL" w:hAnsi="ARIAL"/>
          <w:sz w:val="20"/>
        </w:rPr>
        <w:t xml:space="preserve">, that the exercise price per Share under each Option shall not be less than 100% of the Fair Market Value of a Share on the date the Option is granted (110% in the case of an Incentive Stock Option granted to a Ten-Percent Stockholder). </w:t>
      </w:r>
    </w:p>
    <w:p>
      <w:pPr>
        <w:pStyle w:val="TextBody"/>
        <w:spacing w:before="240" w:after="0"/>
        <w:jc w:val="left"/>
        <w:rPr>
          <w:rFonts w:ascii="ARIAL" w:hAnsi="ARIAL"/>
          <w:sz w:val="20"/>
        </w:rPr>
      </w:pPr>
      <w:r>
        <w:rPr>
          <w:rFonts w:ascii="ARIAL" w:hAnsi="ARIAL"/>
          <w:sz w:val="20"/>
          <w:u w:val="single"/>
        </w:rPr>
        <w:t>Maximum Duration</w:t>
      </w:r>
      <w:r>
        <w:rPr>
          <w:rFonts w:ascii="ARIAL" w:hAnsi="ARIAL"/>
          <w:sz w:val="20"/>
        </w:rPr>
        <w:t xml:space="preserve">. Options granted hereunder shall be for such term as the Committee shall determine, provided that an Option shall not be exercisable after the expiration of ten (10) years from the date it is granted (five (5) years in the case of an Incentive Stock Option granted to a Ten-Percent Stockholder); provided further, that unless the Committee provides otherwise, an Option (other than an Incentive Stock Option) shall, upon the death of an Optionee prior to the expiration of the Option, be exercisable for up to one (1) year following the date of such Optionee’s death even if such period extends beyond ten (10) years from the date the Option was granted. The Committee may, subsequent to the grant of any Option, extend the term thereof, but in no event shall the term be extended to a date later than the latest date upon which the Option could have expired by its original terms under any circumstances (or, if earlier, the 10th anniversary of the original date of grant of the Option). </w:t>
      </w:r>
    </w:p>
    <w:p>
      <w:pPr>
        <w:pStyle w:val="TextBody"/>
        <w:spacing w:before="240" w:after="0"/>
        <w:jc w:val="left"/>
        <w:rPr>
          <w:rFonts w:ascii="ARIAL" w:hAnsi="ARIAL"/>
          <w:sz w:val="20"/>
        </w:rPr>
      </w:pPr>
      <w:r>
        <w:rPr>
          <w:rFonts w:ascii="ARIAL" w:hAnsi="ARIAL"/>
          <w:sz w:val="20"/>
          <w:u w:val="single"/>
        </w:rPr>
        <w:t>Vesting</w:t>
      </w:r>
      <w:r>
        <w:rPr>
          <w:rFonts w:ascii="ARIAL" w:hAnsi="ARIAL"/>
          <w:sz w:val="20"/>
        </w:rPr>
        <w:t xml:space="preserve">. Subject to Section 5.10, each Option shall become exercisable in such installments (which need not be equal) and at such times as may be designated by the Committee and set forth in the Agreement. To the extent not exercised, installments shall accumulate and be exercisable, in whole or in part, at any time after becoming exercisable, but not later than the date the Option expires. </w:t>
      </w:r>
    </w:p>
    <w:p>
      <w:pPr>
        <w:pStyle w:val="TextBody"/>
        <w:spacing w:before="240" w:after="0"/>
        <w:jc w:val="left"/>
        <w:rPr>
          <w:rFonts w:ascii="ARIAL" w:hAnsi="ARIAL"/>
          <w:sz w:val="20"/>
        </w:rPr>
      </w:pPr>
      <w:r>
        <w:rPr>
          <w:rFonts w:ascii="ARIAL" w:hAnsi="ARIAL"/>
          <w:sz w:val="20"/>
          <w:u w:val="single"/>
        </w:rPr>
        <w:t>Deferred Delivery of Option Shares</w:t>
      </w:r>
      <w:r>
        <w:rPr>
          <w:rFonts w:ascii="ARIAL" w:hAnsi="ARIAL"/>
          <w:sz w:val="20"/>
        </w:rPr>
        <w:t xml:space="preserve">. Subject to Section 18.6, the Committee may permit Optionees to elect to defer the issuance of Shares upon the exercise of one or more Non-qualified Stock Options granted pursuant to the Plan. The terms and conditions of such deferral shall be determined at the time of the grant of the Option or thereafter and shall be set forth in the Agreement evidencing the Option. </w:t>
      </w:r>
    </w:p>
    <w:p>
      <w:pPr>
        <w:pStyle w:val="TextBody"/>
        <w:spacing w:before="240" w:after="0"/>
        <w:jc w:val="left"/>
        <w:rPr>
          <w:rFonts w:ascii="ARIAL" w:hAnsi="ARIAL"/>
          <w:sz w:val="20"/>
        </w:rPr>
      </w:pPr>
      <w:r>
        <w:rPr>
          <w:rFonts w:ascii="ARIAL" w:hAnsi="ARIAL"/>
          <w:sz w:val="20"/>
          <w:u w:val="single"/>
        </w:rPr>
        <w:t>Limitations on Incentive Stock Options.</w:t>
      </w:r>
      <w:r>
        <w:rPr>
          <w:rFonts w:ascii="ARIAL" w:hAnsi="ARIAL"/>
          <w:sz w:val="20"/>
        </w:rPr>
        <w:t xml:space="preserve"> To the extent that the aggregate Fair Market Value (determined as of the date of the grant) of Shares with respect to which Incentive Stock Options granted under the Plan and “incentive stock options” (within the meaning of Section 422 of the Code) granted under all other plans of the Company or its Subsidiaries (in either case determined without regard to this Section 5.6) are exercisable by an Optionee for the first time during any calendar year exceeds $100,000, such Incentive Stock Options shall be treated as Non-qualified Stock Options. In applying the limitation in the preceding sentence in the case of multiple Option grants, Options which were intended to be Incentive Stock Options shall be treated as Non-qualified Stock Options according to the order in which they were granted such that the most recently granted Options are first treated as Non-qualified Stock Options. </w:t>
      </w:r>
    </w:p>
    <w:p>
      <w:pPr>
        <w:pStyle w:val="TextBody"/>
        <w:spacing w:before="240" w:after="0"/>
        <w:jc w:val="left"/>
        <w:rPr>
          <w:rFonts w:ascii="ARIAL" w:hAnsi="ARIAL"/>
          <w:sz w:val="20"/>
        </w:rPr>
      </w:pPr>
      <w:r>
        <w:rPr>
          <w:rFonts w:ascii="ARIAL" w:hAnsi="ARIAL"/>
          <w:sz w:val="20"/>
          <w:u w:val="single"/>
        </w:rPr>
        <w:t>Non-Transferability</w:t>
      </w:r>
      <w:r>
        <w:rPr>
          <w:rFonts w:ascii="ARIAL" w:hAnsi="ARIAL"/>
          <w:sz w:val="20"/>
        </w:rPr>
        <w:t xml:space="preserve">. No Option shall be transferable by the Optionee otherwise than by will or by the laws of descent and distribution or, in the case of an Option other than an Incentive Stock Option, pursuant to a domestic relations order (within the meaning of Rule 16a-12 promulgated under the Exchange Act), and an Option shall be exercisable during the lifetime of such Optionee only by the Optionee or his or her guardian or legal representative. Notwithstanding the foregoing, the Committee may set forth in the Agreement evidencing an Option (other than an Incentive Stock Option), at the time of grant or thereafter, that the Option may be transferred to members of the Optionee’s immediate family, to trusts solely for the benefit of such immediate family members and to partnerships in which such family members and/or trusts are the only partners, and for purposes of this Plan, a transferee of an Option shall be deemed to be the Optionee. For this purpose, immediate family means the Optionee’s spouse, parents, children, stepchildren and grandchildren and the spouses of such parents, children, stepchildren and grandchildren. The terms of an Option shall be final, binding and conclusive upon the beneficiaries, executors, administrators, heirs and successors of the Optionee. </w:t>
      </w:r>
    </w:p>
    <w:p>
      <w:pPr>
        <w:pStyle w:val="TextBody"/>
        <w:spacing w:before="0" w:after="0"/>
        <w:jc w:val="left"/>
        <w:rPr/>
      </w:pPr>
      <w:r>
        <w:rPr/>
        <w:t> </w:t>
      </w:r>
    </w:p>
    <w:p>
      <w:pPr>
        <w:pStyle w:val="TextBody"/>
        <w:spacing w:before="0" w:after="0"/>
        <w:jc w:val="center"/>
        <w:rPr>
          <w:rFonts w:ascii="ARIAL" w:hAnsi="ARIAL"/>
          <w:sz w:val="22"/>
        </w:rPr>
      </w:pPr>
      <w:r>
        <w:rPr>
          <w:rFonts w:ascii="ARIAL" w:hAnsi="ARIAL"/>
          <w:sz w:val="22"/>
        </w:rPr>
        <w:t xml:space="preserve">B-10 </w:t>
      </w:r>
      <w:r>
        <w:br w:type="page"/>
      </w:r>
    </w:p>
    <w:p>
      <w:pPr>
        <w:pStyle w:val="HorizontalLine"/>
        <w:rPr/>
      </w:pPr>
      <w:r>
        <w:rPr/>
      </w:r>
    </w:p>
    <w:p>
      <w:pPr>
        <w:pStyle w:val="TextBody"/>
        <w:spacing w:before="0" w:after="0"/>
        <w:jc w:val="left"/>
        <w:rPr>
          <w:rFonts w:ascii="ARIAL" w:hAnsi="ARIAL"/>
          <w:sz w:val="20"/>
        </w:rPr>
      </w:pPr>
      <w:r>
        <w:rPr>
          <w:rFonts w:ascii="ARIAL" w:hAnsi="ARIAL"/>
          <w:sz w:val="20"/>
          <w:u w:val="single"/>
        </w:rPr>
        <w:t>Method of Exercise</w:t>
      </w:r>
      <w:r>
        <w:rPr>
          <w:rFonts w:ascii="ARIAL" w:hAnsi="ARIAL"/>
          <w:sz w:val="20"/>
        </w:rPr>
        <w:t xml:space="preserve">. The exercise of an Option shall be made only by a written notice delivered in person or by mail, or by such other means acceptable to the Committee and communicated to an Optionee, to the Secretary of the Company at the Company’s principal executive office, specifying the number of Options to be exercised and, to the extent applicable, accompanied by payment therefor and otherwise in accordance with the Agreement pursuant to which the Option was granted; </w:t>
      </w:r>
      <w:r>
        <w:rPr>
          <w:rFonts w:ascii="ARIAL" w:hAnsi="ARIAL"/>
          <w:i/>
          <w:sz w:val="20"/>
        </w:rPr>
        <w:t>provided, however</w:t>
      </w:r>
      <w:r>
        <w:rPr>
          <w:rFonts w:ascii="ARIAL" w:hAnsi="ARIAL"/>
          <w:sz w:val="20"/>
        </w:rPr>
        <w:t xml:space="preserve">, that Options may not be exercised by an Optionee following a hardship distribution to the Optionee to the extent such exercise is prohibited under the Community Health Systems, Inc. 401(k) Plan. The exercise price for any Shares purchased pursuant to the exercise of an Option shall be paid in either of the following forms (or any combination thereof): (a) cash or (b) the transfer, either actually or by attestation, to the Company of Shares owned by the Optionee prior to the exercise of the Option, such transfer to be upon such terms and conditions as determined by the Committee or (c) a combination of cash and the transfer of Shares; </w:t>
      </w:r>
      <w:r>
        <w:rPr>
          <w:rFonts w:ascii="ARIAL" w:hAnsi="ARIAL"/>
          <w:i/>
          <w:sz w:val="20"/>
        </w:rPr>
        <w:t>provided, however</w:t>
      </w:r>
      <w:r>
        <w:rPr>
          <w:rFonts w:ascii="ARIAL" w:hAnsi="ARIAL"/>
          <w:sz w:val="20"/>
        </w:rPr>
        <w:t xml:space="preserve">, that the Committee may determine that the exercise price shall be paid only in cash. In addition, subject to applicable securities laws, Options may be exercised pursuant to such other cashless exercise procedures that are, from time to time, deemed acceptable by the Committee. Any Shares transferred to the Company as payment of the exercise price under an Option shall be valued at their Fair Market Value on the day of exercise of such Option. If requested by the Committee, the Optionee shall deliver the Agreement evidencing the Option to the Secretary of the Company who shall endorse thereon a notation of such exercise and return such Agreement to the Optionee. No fractional Shares (or cash in lieu thereof) shall be issued upon exercise of an Option and the number of Shares that may be purchased upon exercise shall be rounded to the nearest number of whole Shares. </w:t>
      </w:r>
    </w:p>
    <w:p>
      <w:pPr>
        <w:pStyle w:val="TextBody"/>
        <w:spacing w:before="240" w:after="0"/>
        <w:jc w:val="left"/>
        <w:rPr>
          <w:rFonts w:ascii="ARIAL" w:hAnsi="ARIAL"/>
          <w:sz w:val="20"/>
        </w:rPr>
      </w:pPr>
      <w:r>
        <w:rPr>
          <w:rFonts w:ascii="ARIAL" w:hAnsi="ARIAL"/>
          <w:sz w:val="20"/>
          <w:u w:val="single"/>
        </w:rPr>
        <w:t>Rights of Optionees</w:t>
      </w:r>
      <w:r>
        <w:rPr>
          <w:rFonts w:ascii="ARIAL" w:hAnsi="ARIAL"/>
          <w:sz w:val="20"/>
        </w:rPr>
        <w:t>. No Optionee shall be deemed for any purpose to be the owner of any Shares subject to any Option unless and until (a) the Option shall have been exercised pursuant to the terms thereof, (b) the Company shall have issued and delivered Shares to the Optionee, and (c) the Optionee’s name shall have been entered as a stockholder of record on the books of the Company or otherwise evidenced by a “book entry” (</w:t>
      </w:r>
      <w:r>
        <w:rPr>
          <w:rFonts w:ascii="ARIAL" w:hAnsi="ARIAL"/>
          <w:i/>
          <w:sz w:val="20"/>
        </w:rPr>
        <w:t>i.e</w:t>
      </w:r>
      <w:r>
        <w:rPr>
          <w:rFonts w:ascii="ARIAL" w:hAnsi="ARIAL"/>
          <w:sz w:val="20"/>
        </w:rPr>
        <w:t xml:space="preserve">., a computerized or manual entry) in the records of the Company or its designated agent. Thereupon, the Optionee shall have full voting, dividend and other ownership rights with respect to such Shares, subject to such terms and conditions as may be set forth in the applicable Agreement. </w:t>
      </w:r>
    </w:p>
    <w:p>
      <w:pPr>
        <w:pStyle w:val="TextBody"/>
        <w:spacing w:before="240" w:after="0"/>
        <w:jc w:val="left"/>
        <w:rPr>
          <w:rFonts w:ascii="ARIAL" w:hAnsi="ARIAL"/>
          <w:sz w:val="20"/>
        </w:rPr>
      </w:pPr>
      <w:r>
        <w:rPr>
          <w:rFonts w:ascii="ARIAL" w:hAnsi="ARIAL"/>
          <w:sz w:val="20"/>
          <w:u w:val="single"/>
        </w:rPr>
        <w:t>Effect of Change in Control</w:t>
      </w:r>
      <w:r>
        <w:rPr>
          <w:rFonts w:ascii="ARIAL" w:hAnsi="ARIAL"/>
          <w:sz w:val="20"/>
        </w:rPr>
        <w:t xml:space="preserve">. Section 13(b) shall control the treatment of any Options outstanding at the time of a Change in Control. </w:t>
      </w:r>
    </w:p>
    <w:p>
      <w:pPr>
        <w:pStyle w:val="TextBody"/>
        <w:spacing w:before="240" w:after="0"/>
        <w:jc w:val="left"/>
        <w:rPr>
          <w:rFonts w:ascii="ARIAL" w:hAnsi="ARIAL"/>
          <w:sz w:val="20"/>
        </w:rPr>
      </w:pPr>
      <w:r>
        <w:rPr>
          <w:rFonts w:ascii="ARIAL" w:hAnsi="ARIAL"/>
          <w:sz w:val="20"/>
        </w:rPr>
        <w:t xml:space="preserve">Limitations on Repricing. </w:t>
      </w:r>
    </w:p>
    <w:p>
      <w:pPr>
        <w:pStyle w:val="TextBody"/>
        <w:spacing w:before="240" w:after="0"/>
        <w:jc w:val="left"/>
        <w:rPr>
          <w:rFonts w:ascii="ARIAL" w:hAnsi="ARIAL"/>
          <w:sz w:val="20"/>
        </w:rPr>
      </w:pPr>
      <w:r>
        <w:rPr>
          <w:rFonts w:ascii="ARIAL" w:hAnsi="ARIAL"/>
          <w:sz w:val="20"/>
        </w:rPr>
        <w:t xml:space="preserve">Notwithstanding anything in the Plan to the contrary, except as permitted or required by the provisions of Sections 12 or 13 hereof, neither the Board nor the Committee shall have the power to (i) lower the Option Price of an Option after it is granted, (ii) lower the Grant Price of a Stock Appreciation Right after it is granted, (iii) cancel an Option when the exercise price thereof exceeds the Fair Market Value of the underlying Shares in exchange for cash or another Award or grant substitute Options with a lower exercise price than the cancelled Options, (iv) cancel a Stock Appreciation Right when the Grant Price exceeds the Fair Market Value of the underlying Shares in exchange for cash or another Award, or grant substitute Stock Appreciation Rights with a lower Grant Price than the cancelled Award, or (v) take any other action with respect to an Option or Stock Appreciation Right that would be treated as a repricing under the rules and regulations of the principal securities exchange on which the Shares are traded, in each case without the approval of the Company’s stockholders. </w:t>
      </w:r>
    </w:p>
    <w:p>
      <w:pPr>
        <w:pStyle w:val="TextBody"/>
        <w:spacing w:before="240" w:after="0"/>
        <w:jc w:val="left"/>
        <w:rPr>
          <w:rFonts w:ascii="ARIAL" w:hAnsi="ARIAL"/>
          <w:sz w:val="20"/>
        </w:rPr>
      </w:pPr>
      <w:r>
        <w:rPr>
          <w:rFonts w:ascii="ARIAL" w:hAnsi="ARIAL"/>
          <w:sz w:val="20"/>
        </w:rPr>
        <w:t xml:space="preserve">Stock Appreciation Rights. </w:t>
      </w:r>
    </w:p>
    <w:p>
      <w:pPr>
        <w:pStyle w:val="TextBody"/>
        <w:spacing w:before="240" w:after="0"/>
        <w:jc w:val="left"/>
        <w:rPr>
          <w:rFonts w:ascii="ARIAL" w:hAnsi="ARIAL"/>
          <w:sz w:val="20"/>
        </w:rPr>
      </w:pPr>
      <w:r>
        <w:rPr>
          <w:rFonts w:ascii="ARIAL" w:hAnsi="ARIAL"/>
          <w:sz w:val="20"/>
        </w:rPr>
        <w:t xml:space="preserve">The Committee may in its discretion, either alone or in connection with the grant of an Option, grant Stock Appreciation Rights in accordance with the Plan and such other terms and conditions as </w:t>
      </w:r>
    </w:p>
    <w:p>
      <w:pPr>
        <w:pStyle w:val="TextBody"/>
        <w:spacing w:before="0" w:after="0"/>
        <w:jc w:val="left"/>
        <w:rPr/>
      </w:pPr>
      <w:r>
        <w:rPr/>
        <w:t> </w:t>
      </w:r>
    </w:p>
    <w:p>
      <w:pPr>
        <w:pStyle w:val="TextBody"/>
        <w:spacing w:before="0" w:after="0"/>
        <w:jc w:val="center"/>
        <w:rPr>
          <w:rFonts w:ascii="ARIAL" w:hAnsi="ARIAL"/>
          <w:sz w:val="22"/>
        </w:rPr>
      </w:pPr>
      <w:r>
        <w:rPr>
          <w:rFonts w:ascii="ARIAL" w:hAnsi="ARIAL"/>
          <w:sz w:val="22"/>
        </w:rPr>
        <w:t xml:space="preserve">B-11 </w:t>
      </w:r>
      <w:r>
        <w:br w:type="page"/>
      </w:r>
    </w:p>
    <w:p>
      <w:pPr>
        <w:pStyle w:val="HorizontalLine"/>
        <w:rPr/>
      </w:pPr>
      <w:r>
        <w:rPr/>
      </w:r>
    </w:p>
    <w:p>
      <w:pPr>
        <w:pStyle w:val="TextBody"/>
        <w:spacing w:before="0" w:after="0"/>
        <w:jc w:val="left"/>
        <w:rPr>
          <w:rFonts w:ascii="ARIAL" w:hAnsi="ARIAL"/>
          <w:sz w:val="20"/>
        </w:rPr>
      </w:pPr>
      <w:r>
        <w:rPr>
          <w:rFonts w:ascii="ARIAL" w:hAnsi="ARIAL"/>
          <w:sz w:val="20"/>
        </w:rPr>
        <w:t xml:space="preserve">shall be set forth in an Agreement. If granted in connection with an Option, a Stock Appreciation Right shall cover the same Shares covered by the Option (or such lesser number of Shares as the Committee may determine) and shall, except as provided in this Section 7, be subject to the same terms and conditions as the related Option. </w:t>
      </w:r>
    </w:p>
    <w:p>
      <w:pPr>
        <w:pStyle w:val="TextBody"/>
        <w:spacing w:before="240" w:after="0"/>
        <w:jc w:val="left"/>
        <w:rPr>
          <w:rFonts w:ascii="ARIAL" w:hAnsi="ARIAL"/>
          <w:sz w:val="20"/>
        </w:rPr>
      </w:pPr>
      <w:r>
        <w:rPr>
          <w:rFonts w:ascii="ARIAL" w:hAnsi="ARIAL"/>
          <w:sz w:val="20"/>
          <w:u w:val="single"/>
        </w:rPr>
        <w:t>Time of Grant</w:t>
      </w:r>
      <w:r>
        <w:rPr>
          <w:rFonts w:ascii="ARIAL" w:hAnsi="ARIAL"/>
          <w:sz w:val="20"/>
        </w:rPr>
        <w:t xml:space="preserve">. A Stock Appreciation Right may be granted (a) at any time if unrelated to an Option, or (b) if related to an Option, either at the time of grant or at any time thereafter during the term of the Option. </w:t>
      </w:r>
    </w:p>
    <w:p>
      <w:pPr>
        <w:pStyle w:val="TextBody"/>
        <w:spacing w:before="240" w:after="0"/>
        <w:jc w:val="left"/>
        <w:rPr>
          <w:rFonts w:ascii="ARIAL" w:hAnsi="ARIAL"/>
          <w:sz w:val="20"/>
        </w:rPr>
      </w:pPr>
      <w:r>
        <w:rPr>
          <w:rFonts w:ascii="ARIAL" w:hAnsi="ARIAL"/>
          <w:sz w:val="20"/>
          <w:u w:val="single"/>
        </w:rPr>
        <w:t>Stock Appreciation Right Related to an Option</w:t>
      </w:r>
      <w:r>
        <w:rPr>
          <w:rFonts w:ascii="ARIAL" w:hAnsi="ARIAL"/>
          <w:sz w:val="20"/>
        </w:rPr>
        <w:t xml:space="preserve">. </w:t>
      </w:r>
    </w:p>
    <w:p>
      <w:pPr>
        <w:pStyle w:val="TextBody"/>
        <w:spacing w:before="240" w:after="0"/>
        <w:jc w:val="left"/>
        <w:rPr>
          <w:rFonts w:ascii="ARIAL" w:hAnsi="ARIAL"/>
          <w:sz w:val="20"/>
        </w:rPr>
      </w:pPr>
      <w:r>
        <w:rPr>
          <w:rFonts w:ascii="ARIAL" w:hAnsi="ARIAL"/>
          <w:sz w:val="20"/>
          <w:u w:val="single"/>
        </w:rPr>
        <w:t>Exercise</w:t>
      </w:r>
      <w:r>
        <w:rPr>
          <w:rFonts w:ascii="ARIAL" w:hAnsi="ARIAL"/>
          <w:sz w:val="20"/>
        </w:rPr>
        <w:t xml:space="preserve">. A Stock Appreciation Right granted in connection with an Option shall be exercisable at such time or times and only to the extent that the related Option is exercisable, and will not be transferable except to the extent the related Option may be transferable. A Stock Appreciation Right granted in connection with an Incentive Stock Option shall be exercisable only if the Fair Market Value of a Share on the date of exercise exceeds the exercise price specified in the related Incentive Stock Option Agreement. In no event shall a Stock Appreciation Right related to an Option have a term of greater than ten (10) years. </w:t>
      </w:r>
    </w:p>
    <w:p>
      <w:pPr>
        <w:pStyle w:val="TextBody"/>
        <w:spacing w:before="240" w:after="0"/>
        <w:jc w:val="left"/>
        <w:rPr>
          <w:rFonts w:ascii="ARIAL" w:hAnsi="ARIAL"/>
          <w:sz w:val="20"/>
        </w:rPr>
      </w:pPr>
      <w:r>
        <w:rPr>
          <w:rFonts w:ascii="ARIAL" w:hAnsi="ARIAL"/>
          <w:sz w:val="20"/>
          <w:u w:val="single"/>
        </w:rPr>
        <w:t>Amount Payable</w:t>
      </w:r>
      <w:r>
        <w:rPr>
          <w:rFonts w:ascii="ARIAL" w:hAnsi="ARIAL"/>
          <w:sz w:val="20"/>
        </w:rPr>
        <w:t xml:space="preserve">. Upon the exercise of a Stock Appreciation Right related to an Option, the Grantee shall be entitled to receive an amount determined by multiplying (i) the excess of the Fair Market Value of a Share on the date of exercise of such Stock Appreciation Right over the per Share exercise price under the related Option, by (ii) the number of Shares as to which such Stock Appreciation Right is being exercised. Notwithstanding the foregoing, the Committee may limit in any manner the amount payable with respect to any Stock Appreciation Right by including such a limit in the Agreement evidencing the Stock Appreciation Right at the time it is granted. </w:t>
      </w:r>
    </w:p>
    <w:p>
      <w:pPr>
        <w:pStyle w:val="TextBody"/>
        <w:spacing w:before="240" w:after="0"/>
        <w:jc w:val="left"/>
        <w:rPr>
          <w:rFonts w:ascii="ARIAL" w:hAnsi="ARIAL"/>
          <w:sz w:val="20"/>
        </w:rPr>
      </w:pPr>
      <w:r>
        <w:rPr>
          <w:rFonts w:ascii="ARIAL" w:hAnsi="ARIAL"/>
          <w:sz w:val="20"/>
          <w:u w:val="single"/>
        </w:rPr>
        <w:t>Treatment of Related Options and Stock Appreciation Rights upon Exercise</w:t>
      </w:r>
      <w:r>
        <w:rPr>
          <w:rFonts w:ascii="ARIAL" w:hAnsi="ARIAL"/>
          <w:sz w:val="20"/>
        </w:rPr>
        <w:t xml:space="preserve">. Upon the exercise of a Stock Appreciation Right related to an Option, the Option shall be canceled to the extent of the number of Shares as to which the Stock Appreciation Right is exercised, and upon the exercise of an Option related to a Stock Appreciation Right, the Stock Appreciation Right shall be canceled to the extent of the number of Shares as to which the Option is exercised or surrendered. </w:t>
      </w:r>
    </w:p>
    <w:p>
      <w:pPr>
        <w:pStyle w:val="TextBody"/>
        <w:spacing w:before="240" w:after="0"/>
        <w:jc w:val="left"/>
        <w:rPr>
          <w:rFonts w:ascii="ARIAL" w:hAnsi="ARIAL"/>
          <w:sz w:val="20"/>
        </w:rPr>
      </w:pPr>
      <w:r>
        <w:rPr>
          <w:rFonts w:ascii="ARIAL" w:hAnsi="ARIAL"/>
          <w:sz w:val="20"/>
          <w:u w:val="single"/>
        </w:rPr>
        <w:t>Stock Appreciation Right Unrelated to an Option</w:t>
      </w:r>
      <w:r>
        <w:rPr>
          <w:rFonts w:ascii="ARIAL" w:hAnsi="ARIAL"/>
          <w:sz w:val="20"/>
        </w:rPr>
        <w:t xml:space="preserve">. The Committee may grant Stock Appreciation Rights unrelated to Options to Eligible Individuals. Stock Appreciation Rights unrelated to Options shall contain such terms and conditions as to exercisability (subject to Section 7.7), vesting and duration as the Committee shall determine, but in no event shall any Stock Appreciation Right have a term of greater than ten (10) years. The Committee shall establish the Grant Price at the time each Stock Appreciation Right unrelated to an Option is granted, which shall not be less than the Fair Market Value of a Share on the date the Stock Appreciation Right is granted. Upon exercise of a Stock Appreciation Right unrelated to an Option, the Grantee shall be entitled to receive an amount determined by multiplying (a) the excess of the Fair Market Value of a Share on the date of exercise of such Stock Appreciation Right over the Grant Price of the Stock Appreciation Right, by (b) the number of Shares as to which the Stock Appreciation Right is being exercised. Notwithstanding the foregoing, the Committee may limit in any manner the amount payable with respect to any Stock Appreciation Right by including such a limit in the Agreement evidencing the Stock Appreciation Right at the time it is granted. </w:t>
      </w:r>
    </w:p>
    <w:p>
      <w:pPr>
        <w:pStyle w:val="TextBody"/>
        <w:spacing w:before="240" w:after="0"/>
        <w:jc w:val="left"/>
        <w:rPr>
          <w:rFonts w:ascii="ARIAL" w:hAnsi="ARIAL"/>
          <w:sz w:val="20"/>
        </w:rPr>
      </w:pPr>
      <w:r>
        <w:rPr>
          <w:rFonts w:ascii="ARIAL" w:hAnsi="ARIAL"/>
          <w:sz w:val="20"/>
          <w:u w:val="single"/>
        </w:rPr>
        <w:t>Non-Transferability</w:t>
      </w:r>
      <w:r>
        <w:rPr>
          <w:rFonts w:ascii="ARIAL" w:hAnsi="ARIAL"/>
          <w:sz w:val="20"/>
        </w:rPr>
        <w:t xml:space="preserve">. No Stock Appreciation Right shall be transferable by the Grantee otherwise than by will or by the laws of descent and distribution or pursuant to a domestic relations order (within the meaning of Rule 16a-12 promulgated under the Exchange Act), and such Stock Appreciation Right shall be exercisable during the lifetime of such Grantee only by the Grantee or his or her guardian or </w:t>
      </w:r>
    </w:p>
    <w:p>
      <w:pPr>
        <w:pStyle w:val="TextBody"/>
        <w:spacing w:before="0" w:after="0"/>
        <w:jc w:val="left"/>
        <w:rPr/>
      </w:pPr>
      <w:r>
        <w:rPr/>
        <w:t> </w:t>
      </w:r>
    </w:p>
    <w:p>
      <w:pPr>
        <w:pStyle w:val="TextBody"/>
        <w:spacing w:before="0" w:after="0"/>
        <w:jc w:val="center"/>
        <w:rPr>
          <w:rFonts w:ascii="ARIAL" w:hAnsi="ARIAL"/>
          <w:sz w:val="22"/>
        </w:rPr>
      </w:pPr>
      <w:r>
        <w:rPr>
          <w:rFonts w:ascii="ARIAL" w:hAnsi="ARIAL"/>
          <w:sz w:val="22"/>
        </w:rPr>
        <w:t xml:space="preserve">B-12 </w:t>
      </w:r>
      <w:r>
        <w:br w:type="page"/>
      </w:r>
    </w:p>
    <w:p>
      <w:pPr>
        <w:pStyle w:val="HorizontalLine"/>
        <w:rPr/>
      </w:pPr>
      <w:r>
        <w:rPr/>
      </w:r>
    </w:p>
    <w:p>
      <w:pPr>
        <w:pStyle w:val="TextBody"/>
        <w:spacing w:before="0" w:after="0"/>
        <w:jc w:val="left"/>
        <w:rPr>
          <w:rFonts w:ascii="ARIAL" w:hAnsi="ARIAL"/>
          <w:sz w:val="20"/>
        </w:rPr>
      </w:pPr>
      <w:r>
        <w:rPr>
          <w:rFonts w:ascii="ARIAL" w:hAnsi="ARIAL"/>
          <w:sz w:val="20"/>
        </w:rPr>
        <w:t xml:space="preserve">legal representative. The terms of such Stock Appreciation Right shall be final, binding and conclusive upon the beneficiaries, executors, administrators, heirs and successors of the Grantee. </w:t>
      </w:r>
    </w:p>
    <w:p>
      <w:pPr>
        <w:pStyle w:val="TextBody"/>
        <w:spacing w:before="240" w:after="0"/>
        <w:jc w:val="left"/>
        <w:rPr>
          <w:rFonts w:ascii="ARIAL" w:hAnsi="ARIAL"/>
          <w:sz w:val="20"/>
        </w:rPr>
      </w:pPr>
      <w:r>
        <w:rPr>
          <w:rFonts w:ascii="ARIAL" w:hAnsi="ARIAL"/>
          <w:sz w:val="20"/>
          <w:u w:val="single"/>
        </w:rPr>
        <w:t>Method of Exercise</w:t>
      </w:r>
      <w:r>
        <w:rPr>
          <w:rFonts w:ascii="ARIAL" w:hAnsi="ARIAL"/>
          <w:sz w:val="20"/>
        </w:rPr>
        <w:t xml:space="preserve">. Stock Appreciation Rights shall be exercised by a Grantee only by a written notice delivered in person or by mail, or by such other means acceptable to the Committee and communicated to the Grantee, to the Secretary of the Company at the Company’s principal executive office, specifying the number of Shares with respect to which the Stock Appreciation Right is being exercised. If requested by the Committee, the Grantee shall deliver the Agreement evidencing the Stock Appreciation Right being exercised and the Agreement evidencing any related Option to the Secretary of the Company who shall endorse thereon a notation of such exercise and return such Agreement to the Grantee. </w:t>
      </w:r>
    </w:p>
    <w:p>
      <w:pPr>
        <w:pStyle w:val="TextBody"/>
        <w:spacing w:before="240" w:after="0"/>
        <w:jc w:val="left"/>
        <w:rPr>
          <w:rFonts w:ascii="ARIAL" w:hAnsi="ARIAL"/>
          <w:sz w:val="20"/>
        </w:rPr>
      </w:pPr>
      <w:r>
        <w:rPr>
          <w:rFonts w:ascii="ARIAL" w:hAnsi="ARIAL"/>
          <w:sz w:val="20"/>
          <w:u w:val="single"/>
        </w:rPr>
        <w:t>Form of Payment</w:t>
      </w:r>
      <w:r>
        <w:rPr>
          <w:rFonts w:ascii="ARIAL" w:hAnsi="ARIAL"/>
          <w:sz w:val="20"/>
        </w:rPr>
        <w:t xml:space="preserve">. Payment of the amount determined under Sections 7.2(b) or 7.3 may be made in the discretion of the Committee solely in whole Shares in a number determined at their Fair Market Value on the date of exercise of the Stock Appreciation Right, or solely in cash, or in a combination of cash and Shares. If the Committee decides to make full payment in Shares and the amount payable results in a fractional Share, payment for the fractional Share will be made in cash. </w:t>
      </w:r>
    </w:p>
    <w:p>
      <w:pPr>
        <w:pStyle w:val="TextBody"/>
        <w:spacing w:before="240" w:after="0"/>
        <w:jc w:val="left"/>
        <w:rPr>
          <w:rFonts w:ascii="ARIAL" w:hAnsi="ARIAL"/>
          <w:sz w:val="20"/>
        </w:rPr>
      </w:pPr>
      <w:r>
        <w:rPr>
          <w:rFonts w:ascii="ARIAL" w:hAnsi="ARIAL"/>
          <w:sz w:val="20"/>
          <w:u w:val="single"/>
        </w:rPr>
        <w:t>Effect of Change in Control</w:t>
      </w:r>
      <w:r>
        <w:rPr>
          <w:rFonts w:ascii="ARIAL" w:hAnsi="ARIAL"/>
          <w:sz w:val="20"/>
        </w:rPr>
        <w:t xml:space="preserve">. Section 13(b) shall control the treatment of any Stock Appreciation Rights outstanding at the time of a Change in Control. </w:t>
      </w:r>
    </w:p>
    <w:p>
      <w:pPr>
        <w:pStyle w:val="TextBody"/>
        <w:spacing w:before="240" w:after="0"/>
        <w:jc w:val="left"/>
        <w:rPr>
          <w:rFonts w:ascii="ARIAL" w:hAnsi="ARIAL"/>
          <w:sz w:val="20"/>
        </w:rPr>
      </w:pPr>
      <w:r>
        <w:rPr>
          <w:rFonts w:ascii="ARIAL" w:hAnsi="ARIAL"/>
          <w:sz w:val="20"/>
        </w:rPr>
        <w:t xml:space="preserve">Restricted Stock and Restricted Stock Units. </w:t>
      </w:r>
    </w:p>
    <w:p>
      <w:pPr>
        <w:pStyle w:val="TextBody"/>
        <w:spacing w:before="240" w:after="0"/>
        <w:jc w:val="left"/>
        <w:rPr>
          <w:rFonts w:ascii="ARIAL" w:hAnsi="ARIAL"/>
          <w:sz w:val="20"/>
        </w:rPr>
      </w:pPr>
      <w:r>
        <w:rPr>
          <w:rFonts w:ascii="ARIAL" w:hAnsi="ARIAL"/>
          <w:sz w:val="20"/>
          <w:u w:val="single"/>
        </w:rPr>
        <w:t>Restricted Stock</w:t>
      </w:r>
      <w:r>
        <w:rPr>
          <w:rFonts w:ascii="ARIAL" w:hAnsi="ARIAL"/>
          <w:sz w:val="20"/>
        </w:rPr>
        <w:t>. The Committee may grant Awards of Restricted Stock to Eligible Individuals, which shall be evidenced by an Agreement between the Company and the Grantee. Each Agreement shall contain such restrictions, terms and conditions as the Committee may, in its discretion, determine and (without limiting the generality of the foregoing) such Agreements may require that an appropriate legend be placed on Share certificates. The Committee may provide that a Grantee’s ownership of Restricted Stock prior to the lapse of any transfer restrictions or any other applicable restrictions shall, in lieu of such certificates, be evidenced by a “book entry” (</w:t>
      </w:r>
      <w:r>
        <w:rPr>
          <w:rFonts w:ascii="ARIAL" w:hAnsi="ARIAL"/>
          <w:i/>
          <w:sz w:val="20"/>
        </w:rPr>
        <w:t>i.e</w:t>
      </w:r>
      <w:r>
        <w:rPr>
          <w:rFonts w:ascii="ARIAL" w:hAnsi="ARIAL"/>
          <w:sz w:val="20"/>
        </w:rPr>
        <w:t xml:space="preserve">., a computerized or manual entry) in the records of the Company or its designated agent in the name of the Grantee who has received such Award, and confirmation and account statements sent to the Grantee with respect to such book entry Shares may bear the restrictive legend referenced in the preceding sentence. Such records of the Company or such agent shall, absent manifest error, be binding on all Grantees who receive Restricted Stock Awards evidenced in such manner. Awards of Restricted Stock shall be subject to the terms and provisions set forth below in this Section 8.1. </w:t>
      </w:r>
    </w:p>
    <w:p>
      <w:pPr>
        <w:pStyle w:val="TextBody"/>
        <w:spacing w:before="240" w:after="0"/>
        <w:jc w:val="left"/>
        <w:rPr>
          <w:rFonts w:ascii="ARIAL" w:hAnsi="ARIAL"/>
          <w:sz w:val="20"/>
        </w:rPr>
      </w:pPr>
      <w:r>
        <w:rPr>
          <w:rFonts w:ascii="ARIAL" w:hAnsi="ARIAL"/>
          <w:sz w:val="20"/>
          <w:u w:val="single"/>
        </w:rPr>
        <w:t>Rights of Grantee</w:t>
      </w:r>
      <w:r>
        <w:rPr>
          <w:rFonts w:ascii="ARIAL" w:hAnsi="ARIAL"/>
          <w:sz w:val="20"/>
        </w:rPr>
        <w:t xml:space="preserve">. Subject to the foregoing provisions concerning book entry issuance, Shares of Restricted Stock granted pursuant to an Award hereunder shall be issued in the name of the Grantee as soon as reasonably practicable after the Award is granted provided that, to the extent required in the Agreement and/or by the Committee, the Grantee has executed an Agreement evidencing the Award and followed such other procedures and/or executed such other documentation as may be required by the Agreement and/or the Committee, and in each case, including by electronic execution. If a Grantee shall fail to so execute the Agreement evidencing a Restricted Stock Award and/or shall fail to follow any such procedures or execute any such other documentation, the Award shall be null and void to the extent provided by the Agreement and/or the Committee. Unless the Committee determines otherwise and as set forth in the Agreement, subject to Section 8.1(d) below, the Grantee shall have all of the rights of a stockholder with respect to such Shares, including the right to vote the Shares and to receive all dividends or other distributions paid or made with respect to the Shares. </w:t>
      </w:r>
    </w:p>
    <w:p>
      <w:pPr>
        <w:pStyle w:val="TextBody"/>
        <w:spacing w:before="0" w:after="0"/>
        <w:jc w:val="left"/>
        <w:rPr/>
      </w:pPr>
      <w:r>
        <w:rPr/>
        <w:t> </w:t>
      </w:r>
    </w:p>
    <w:p>
      <w:pPr>
        <w:pStyle w:val="TextBody"/>
        <w:spacing w:before="0" w:after="0"/>
        <w:jc w:val="center"/>
        <w:rPr>
          <w:rFonts w:ascii="ARIAL" w:hAnsi="ARIAL"/>
          <w:sz w:val="22"/>
        </w:rPr>
      </w:pPr>
      <w:r>
        <w:rPr>
          <w:rFonts w:ascii="ARIAL" w:hAnsi="ARIAL"/>
          <w:sz w:val="22"/>
        </w:rPr>
        <w:t xml:space="preserve">B-13 </w:t>
      </w:r>
      <w:r>
        <w:br w:type="page"/>
      </w:r>
    </w:p>
    <w:p>
      <w:pPr>
        <w:pStyle w:val="HorizontalLine"/>
        <w:rPr/>
      </w:pPr>
      <w:r>
        <w:rPr/>
      </w:r>
    </w:p>
    <w:p>
      <w:pPr>
        <w:pStyle w:val="TextBody"/>
        <w:spacing w:before="0" w:after="0"/>
        <w:jc w:val="left"/>
        <w:rPr>
          <w:rFonts w:ascii="ARIAL" w:hAnsi="ARIAL"/>
          <w:sz w:val="20"/>
        </w:rPr>
      </w:pPr>
      <w:r>
        <w:rPr>
          <w:rFonts w:ascii="ARIAL" w:hAnsi="ARIAL"/>
          <w:sz w:val="20"/>
          <w:u w:val="single"/>
        </w:rPr>
        <w:t>Non-Transferability</w:t>
      </w:r>
      <w:r>
        <w:rPr>
          <w:rFonts w:ascii="ARIAL" w:hAnsi="ARIAL"/>
          <w:sz w:val="20"/>
        </w:rPr>
        <w:t xml:space="preserve">. Until all restrictions upon the Shares of Restricted Stock awarded to a Grantee shall have lapsed in the manner set forth in Section 8.1(c), such Shares shall not be sold, transferred or otherwise disposed of and shall not be pledged or otherwise hypothecated. </w:t>
      </w:r>
    </w:p>
    <w:p>
      <w:pPr>
        <w:pStyle w:val="TextBody"/>
        <w:spacing w:before="240" w:after="0"/>
        <w:jc w:val="left"/>
        <w:rPr>
          <w:rFonts w:ascii="ARIAL" w:hAnsi="ARIAL"/>
          <w:sz w:val="20"/>
        </w:rPr>
      </w:pPr>
      <w:r>
        <w:rPr>
          <w:rFonts w:ascii="ARIAL" w:hAnsi="ARIAL"/>
          <w:sz w:val="20"/>
        </w:rPr>
        <w:t xml:space="preserve">Lapse of Restrictions. </w:t>
      </w:r>
    </w:p>
    <w:p>
      <w:pPr>
        <w:pStyle w:val="TextBody"/>
        <w:spacing w:before="240" w:after="0"/>
        <w:jc w:val="left"/>
        <w:rPr>
          <w:rFonts w:ascii="ARIAL" w:hAnsi="ARIAL"/>
          <w:sz w:val="20"/>
        </w:rPr>
      </w:pPr>
      <w:r>
        <w:rPr>
          <w:rFonts w:ascii="ARIAL" w:hAnsi="ARIAL"/>
          <w:sz w:val="20"/>
          <w:u w:val="single"/>
        </w:rPr>
        <w:t>Generally</w:t>
      </w:r>
      <w:r>
        <w:rPr>
          <w:rFonts w:ascii="ARIAL" w:hAnsi="ARIAL"/>
          <w:sz w:val="20"/>
        </w:rPr>
        <w:t xml:space="preserve">. Restrictions upon Shares of Restricted Stock awarded hereunder shall lapse at such time or times and on such terms and conditions as the Committee may determine. The Agreement evidencing the Award shall set forth any such restrictions. </w:t>
      </w:r>
    </w:p>
    <w:p>
      <w:pPr>
        <w:pStyle w:val="TextBody"/>
        <w:spacing w:before="240" w:after="0"/>
        <w:jc w:val="left"/>
        <w:rPr>
          <w:rFonts w:ascii="ARIAL" w:hAnsi="ARIAL"/>
          <w:sz w:val="20"/>
        </w:rPr>
      </w:pPr>
      <w:r>
        <w:rPr>
          <w:rFonts w:ascii="ARIAL" w:hAnsi="ARIAL"/>
          <w:sz w:val="20"/>
          <w:u w:val="single"/>
        </w:rPr>
        <w:t>Effect of Change in Control</w:t>
      </w:r>
      <w:r>
        <w:rPr>
          <w:rFonts w:ascii="ARIAL" w:hAnsi="ARIAL"/>
          <w:sz w:val="20"/>
        </w:rPr>
        <w:t xml:space="preserve">. Section 13(b) shall control the treatment of any Shares of Restricted Stock then outstanding in the event of a Change in Control. </w:t>
      </w:r>
    </w:p>
    <w:p>
      <w:pPr>
        <w:pStyle w:val="TextBody"/>
        <w:spacing w:before="240" w:after="0"/>
        <w:jc w:val="left"/>
        <w:rPr>
          <w:rFonts w:ascii="ARIAL" w:hAnsi="ARIAL"/>
          <w:sz w:val="20"/>
        </w:rPr>
      </w:pPr>
      <w:r>
        <w:rPr>
          <w:rFonts w:ascii="ARIAL" w:hAnsi="ARIAL"/>
          <w:sz w:val="20"/>
          <w:u w:val="single"/>
        </w:rPr>
        <w:t>Treatment of Dividends</w:t>
      </w:r>
      <w:r>
        <w:rPr>
          <w:rFonts w:ascii="ARIAL" w:hAnsi="ARIAL"/>
          <w:sz w:val="20"/>
        </w:rPr>
        <w:t xml:space="preserve">. At the time an Award of Shares of Restricted Stock is granted, the Committee may, in its discretion, determine that the payment to the Grantee of dividends, or a specified portion thereof, declared or paid on such Shares by the Company shall be (i) deferred until the lapsing of the restrictions imposed upon such Shares and (ii) held by the Company for the account of the Grantee until such time. In the event that dividends are to be deferred, the Committee shall determine whether such dividends are to be reinvested in Shares (which shall be held as additional Shares of Restricted Stock) or held in cash. If deferred dividends are to be held in cash, there may be credited at the end of each year (or portion thereof) interest on the amount of the account at the beginning of the year at a rate per annum as the Committee, in its discretion, may determine. Payment of deferred dividends in respect of Shares of Restricted Stock (whether held in cash or as additional Shares of Restricted Stock), together with interest accrued thereon, if any, shall be made upon the lapsing of restrictions imposed on the Shares in respect of which the deferred dividends were paid, and any dividends deferred (together with any interest accrued thereon) in respect of any Shares of Restricted Stock shall be forfeited upon the forfeiture of such Shares. For the avoidance of doubt, if deferred dividends are not paid with respect to a Share of Restricted Stock, no dividends shall be paid on such Share of Restricted Stock. </w:t>
      </w:r>
    </w:p>
    <w:p>
      <w:pPr>
        <w:pStyle w:val="TextBody"/>
        <w:spacing w:before="240" w:after="0"/>
        <w:jc w:val="left"/>
        <w:rPr>
          <w:rFonts w:ascii="ARIAL" w:hAnsi="ARIAL"/>
          <w:sz w:val="20"/>
        </w:rPr>
      </w:pPr>
      <w:r>
        <w:rPr>
          <w:rFonts w:ascii="ARIAL" w:hAnsi="ARIAL"/>
          <w:sz w:val="20"/>
          <w:u w:val="single"/>
        </w:rPr>
        <w:t>Delivery of Shares</w:t>
      </w:r>
      <w:r>
        <w:rPr>
          <w:rFonts w:ascii="ARIAL" w:hAnsi="ARIAL"/>
          <w:sz w:val="20"/>
        </w:rPr>
        <w:t xml:space="preserve">. Upon the lapse of the restrictions on Shares of Restricted Stock, the Company shall cause a stock certificate to be delivered to the Grantee with respect to such Shares, free of all restrictions hereunder (or, in the case of book entry Shares, such restrictions and legend shall be removed from the confirmation and account statements delivered to the Grantee or the Grantee’s beneficiary or estate, as the case may be, in book-entry form). </w:t>
      </w:r>
    </w:p>
    <w:p>
      <w:pPr>
        <w:pStyle w:val="TextBody"/>
        <w:spacing w:before="240" w:after="0"/>
        <w:jc w:val="left"/>
        <w:rPr>
          <w:rFonts w:ascii="ARIAL" w:hAnsi="ARIAL"/>
          <w:sz w:val="20"/>
        </w:rPr>
      </w:pPr>
      <w:r>
        <w:rPr>
          <w:rFonts w:ascii="ARIAL" w:hAnsi="ARIAL"/>
          <w:sz w:val="20"/>
          <w:u w:val="single"/>
        </w:rPr>
        <w:t>Restricted Stock Units</w:t>
      </w:r>
      <w:r>
        <w:rPr>
          <w:rFonts w:ascii="ARIAL" w:hAnsi="ARIAL"/>
          <w:sz w:val="20"/>
        </w:rPr>
        <w:t xml:space="preserve">. The Committee may grant to Eligible Individuals Awards of Restricted Stock Units, which shall be evidenced by an Agreement between the Company and the Grantee, provided that, to the extent required in the Agreement and/or by the Committee, any such Grantee has executed an Agreement evidencing the Award and followed such other procedures and/or executed such other documentation as may be required by the Agreement and/or the Committee, and in each case, including by electronic execution. Each such Agreement shall contain such restrictions, terms and conditions as the Committee may determine. Awards of Restricted Stock Units shall be subject to the terms and provisions set forth below in this Section 8.2. </w:t>
      </w:r>
    </w:p>
    <w:p>
      <w:pPr>
        <w:pStyle w:val="TextBody"/>
        <w:spacing w:before="240" w:after="0"/>
        <w:jc w:val="left"/>
        <w:rPr>
          <w:rFonts w:ascii="ARIAL" w:hAnsi="ARIAL"/>
          <w:sz w:val="20"/>
        </w:rPr>
      </w:pPr>
      <w:r>
        <w:rPr>
          <w:rFonts w:ascii="ARIAL" w:hAnsi="ARIAL"/>
          <w:sz w:val="20"/>
          <w:u w:val="single"/>
        </w:rPr>
        <w:t>Payment of Awards</w:t>
      </w:r>
      <w:r>
        <w:rPr>
          <w:rFonts w:ascii="ARIAL" w:hAnsi="ARIAL"/>
          <w:sz w:val="20"/>
        </w:rPr>
        <w:t xml:space="preserve">. Each Restricted Stock Unit shall represent a Grantee’s right to receive a payment upon vesting of the Restricted Stock Unit or on any later date specified by the Committee equal to the Fair Market Value of a Share as of the date the Restricted Stock Unit was granted, the vesting date or such other date as determined by the Committee at the time the Restricted Stock Unit was granted. The Committee may, at the time a Restricted Stock Unit is granted, provide a limitation on the amount payable in respect of each Restricted Stock Unit and may provide for Dividend Equivalent Rights with respect to such Award; provided, that no Dividend Equivalent Rights shall be </w:t>
      </w:r>
    </w:p>
    <w:p>
      <w:pPr>
        <w:pStyle w:val="TextBody"/>
        <w:spacing w:before="0" w:after="0"/>
        <w:jc w:val="left"/>
        <w:rPr/>
      </w:pPr>
      <w:r>
        <w:rPr/>
        <w:t> </w:t>
      </w:r>
    </w:p>
    <w:p>
      <w:pPr>
        <w:pStyle w:val="TextBody"/>
        <w:spacing w:before="0" w:after="0"/>
        <w:jc w:val="center"/>
        <w:rPr>
          <w:rFonts w:ascii="ARIAL" w:hAnsi="ARIAL"/>
          <w:sz w:val="22"/>
        </w:rPr>
      </w:pPr>
      <w:r>
        <w:rPr>
          <w:rFonts w:ascii="ARIAL" w:hAnsi="ARIAL"/>
          <w:sz w:val="22"/>
        </w:rPr>
        <w:t xml:space="preserve">B-14 </w:t>
      </w:r>
      <w:r>
        <w:br w:type="page"/>
      </w:r>
    </w:p>
    <w:p>
      <w:pPr>
        <w:pStyle w:val="HorizontalLine"/>
        <w:rPr/>
      </w:pPr>
      <w:r>
        <w:rPr/>
      </w:r>
    </w:p>
    <w:p>
      <w:pPr>
        <w:pStyle w:val="TextBody"/>
        <w:spacing w:before="0" w:after="0"/>
        <w:jc w:val="left"/>
        <w:rPr>
          <w:rFonts w:ascii="ARIAL" w:hAnsi="ARIAL"/>
          <w:sz w:val="20"/>
        </w:rPr>
      </w:pPr>
      <w:r>
        <w:rPr>
          <w:rFonts w:ascii="ARIAL" w:hAnsi="ARIAL"/>
          <w:sz w:val="20"/>
        </w:rPr>
        <w:t xml:space="preserve">paid except to the extent the underlying Restricted Stock Unit is paid or settled. The Committee may provide for the settlement of Restricted Stock Units in cash or with Shares having a Fair Market Value equal to the payment to which the Grantee has become entitled. </w:t>
      </w:r>
    </w:p>
    <w:p>
      <w:pPr>
        <w:pStyle w:val="TextBody"/>
        <w:spacing w:before="240" w:after="0"/>
        <w:jc w:val="left"/>
        <w:rPr>
          <w:rFonts w:ascii="ARIAL" w:hAnsi="ARIAL"/>
          <w:sz w:val="20"/>
        </w:rPr>
      </w:pPr>
      <w:r>
        <w:rPr>
          <w:rFonts w:ascii="ARIAL" w:hAnsi="ARIAL"/>
          <w:sz w:val="20"/>
          <w:u w:val="single"/>
        </w:rPr>
        <w:t>Effect of Change in Control</w:t>
      </w:r>
      <w:r>
        <w:rPr>
          <w:rFonts w:ascii="ARIAL" w:hAnsi="ARIAL"/>
          <w:sz w:val="20"/>
        </w:rPr>
        <w:t xml:space="preserve">. Section 13(b) shall control the treatment of any Restricted Stock Units then outstanding in the event of a Change in Control. </w:t>
      </w:r>
    </w:p>
    <w:p>
      <w:pPr>
        <w:pStyle w:val="TextBody"/>
        <w:spacing w:before="240" w:after="0"/>
        <w:jc w:val="left"/>
        <w:rPr>
          <w:rFonts w:ascii="ARIAL" w:hAnsi="ARIAL"/>
          <w:sz w:val="20"/>
        </w:rPr>
      </w:pPr>
      <w:r>
        <w:rPr>
          <w:rFonts w:ascii="ARIAL" w:hAnsi="ARIAL"/>
          <w:sz w:val="20"/>
        </w:rPr>
        <w:t xml:space="preserve">Performance Awards. </w:t>
      </w:r>
    </w:p>
    <w:p>
      <w:pPr>
        <w:pStyle w:val="TextBody"/>
        <w:spacing w:before="240" w:after="0"/>
        <w:jc w:val="left"/>
        <w:rPr>
          <w:rFonts w:ascii="ARIAL" w:hAnsi="ARIAL"/>
          <w:sz w:val="20"/>
        </w:rPr>
      </w:pPr>
      <w:r>
        <w:rPr>
          <w:rFonts w:ascii="ARIAL" w:hAnsi="ARIAL"/>
          <w:sz w:val="20"/>
          <w:u w:val="single"/>
        </w:rPr>
        <w:t>Performance Units</w:t>
      </w:r>
      <w:r>
        <w:rPr>
          <w:rFonts w:ascii="ARIAL" w:hAnsi="ARIAL"/>
          <w:sz w:val="20"/>
        </w:rPr>
        <w:t xml:space="preserve">. The Committee, in its discretion, may grant Awards of Performance Units to Eligible Individuals, the terms and conditions of which shall be set forth in an Agreement between the Company and the Grantee, provided that, to the extent required in the Agreement and/or by the Committee, any such Grantee has executed an Agreement evidencing the Award and followed such other procedures and/or executed such other documentation as may be required by the Agreement and/or the Committee, and in each case, including by electronic execution. Contingent upon the attainment of specified Performance Objectives within the Performance Cycle, Performance Units represent the right to receive payment as provided in Section 9.1(b) of (i) the Fair Market Value of a Share on the date the Performance Unit was granted, the date the Performance Unit became vested or any other date specified by the Committee or (ii) a percentage (which may be more than 100%) of the amount described in clause (i) depending on the level of Performance Objective attainment; </w:t>
      </w:r>
      <w:r>
        <w:rPr>
          <w:rFonts w:ascii="ARIAL" w:hAnsi="ARIAL"/>
          <w:i/>
          <w:sz w:val="20"/>
        </w:rPr>
        <w:t>provided, however</w:t>
      </w:r>
      <w:r>
        <w:rPr>
          <w:rFonts w:ascii="ARIAL" w:hAnsi="ARIAL"/>
          <w:sz w:val="20"/>
        </w:rPr>
        <w:t xml:space="preserve">, that the Committee may at the time a Performance Unit is granted specify a maximum amount payable in respect of a vested Performance Unit. Each Agreement shall specify the number of Performance Units to which it relates, the Performance Objectives which must be satisfied in order for the Performance Units to vest and the Performance Cycle within which such Performance Objectives must be satisfied. At the time a Performance Unit is granted, the Committee may provide for Dividend Equivalent Rights with respect to such Award; provided, that no Dividend Equivalent Rights shall be paid except to the extent the underlying Performance Unit is paid or settled. </w:t>
      </w:r>
    </w:p>
    <w:p>
      <w:pPr>
        <w:pStyle w:val="TextBody"/>
        <w:spacing w:before="240" w:after="0"/>
        <w:jc w:val="left"/>
        <w:rPr>
          <w:rFonts w:ascii="ARIAL" w:hAnsi="ARIAL"/>
          <w:sz w:val="20"/>
        </w:rPr>
      </w:pPr>
      <w:r>
        <w:rPr>
          <w:rFonts w:ascii="ARIAL" w:hAnsi="ARIAL"/>
          <w:sz w:val="20"/>
          <w:u w:val="single"/>
        </w:rPr>
        <w:t>Vesting and Forfeiture</w:t>
      </w:r>
      <w:r>
        <w:rPr>
          <w:rFonts w:ascii="ARIAL" w:hAnsi="ARIAL"/>
          <w:sz w:val="20"/>
        </w:rPr>
        <w:t xml:space="preserve">. Subject to Section 9.4, a Grantee shall become vested with respect to the Performance Units to the extent that the Performance Objectives set forth in the Agreement are satisfied for the Performance Cycle or as otherwise provided in any Agreement with respect thereto. </w:t>
      </w:r>
    </w:p>
    <w:p>
      <w:pPr>
        <w:pStyle w:val="TextBody"/>
        <w:spacing w:before="240" w:after="0"/>
        <w:jc w:val="left"/>
        <w:rPr>
          <w:rFonts w:ascii="ARIAL" w:hAnsi="ARIAL"/>
          <w:sz w:val="20"/>
        </w:rPr>
      </w:pPr>
      <w:r>
        <w:rPr>
          <w:rFonts w:ascii="ARIAL" w:hAnsi="ARIAL"/>
          <w:sz w:val="20"/>
          <w:u w:val="single"/>
        </w:rPr>
        <w:t>Payment of Awards</w:t>
      </w:r>
      <w:r>
        <w:rPr>
          <w:rFonts w:ascii="ARIAL" w:hAnsi="ARIAL"/>
          <w:sz w:val="20"/>
        </w:rPr>
        <w:t xml:space="preserve">. Payment to Grantees in respect of vested Performance Units shall be made as soon as practicable after the last day of the Performance Cycle to which such Award relates unless the Agreement evidencing the Award provides for the deferral of payment (or an election therefor), in which event the terms and conditions of the deferral shall be set forth in the Agreement. Subject to Section 9.4, such payments may be made entirely in Shares valued at their Fair Market Value, entirely in cash, or in such combination of Shares and cash as the Committee in its discretion shall determine at any time prior to such payment, </w:t>
      </w:r>
      <w:r>
        <w:rPr>
          <w:rFonts w:ascii="ARIAL" w:hAnsi="ARIAL"/>
          <w:i/>
          <w:sz w:val="20"/>
        </w:rPr>
        <w:t>provided, however</w:t>
      </w:r>
      <w:r>
        <w:rPr>
          <w:rFonts w:ascii="ARIAL" w:hAnsi="ARIAL"/>
          <w:sz w:val="20"/>
        </w:rPr>
        <w:t xml:space="preserve">, that, subject to Section 18.6, if the Committee in its discretion at or after grant determines to make such payment entirely or partially in Shares of Restricted Stock, the Committee must determine the extent to which such payment will be in Shares of Restricted Stock and the terms of such Restricted Stock at the time the Award is granted. </w:t>
      </w:r>
    </w:p>
    <w:p>
      <w:pPr>
        <w:pStyle w:val="TextBody"/>
        <w:spacing w:before="240" w:after="0"/>
        <w:jc w:val="left"/>
        <w:rPr>
          <w:rFonts w:ascii="ARIAL" w:hAnsi="ARIAL"/>
          <w:sz w:val="20"/>
        </w:rPr>
      </w:pPr>
      <w:r>
        <w:rPr>
          <w:rFonts w:ascii="ARIAL" w:hAnsi="ARIAL"/>
          <w:sz w:val="20"/>
          <w:u w:val="single"/>
        </w:rPr>
        <w:t>Performance Shares</w:t>
      </w:r>
      <w:r>
        <w:rPr>
          <w:rFonts w:ascii="ARIAL" w:hAnsi="ARIAL"/>
          <w:sz w:val="20"/>
        </w:rPr>
        <w:t xml:space="preserve">. The Committee, in its discretion, may grant Awards of Performance Shares to Eligible Individuals, the terms and conditions of which shall be set forth in an Agreement between the Company and the Grantee, provided that, to the extent required in the Agreement and/or by the Committee, any such Grantee has executed an Agreement evidencing the Award and followed such other procedures and/or executed such other documentation as may be required by the Agreement and/or the Committee, and in each case, including by electronic execution. Each Agreement may require that an appropriate legend be placed on Share certificates. Awards of Performance Shares shall be subject to the following terms and provisions: </w:t>
      </w:r>
    </w:p>
    <w:p>
      <w:pPr>
        <w:pStyle w:val="TextBody"/>
        <w:spacing w:before="0" w:after="0"/>
        <w:jc w:val="left"/>
        <w:rPr/>
      </w:pPr>
      <w:r>
        <w:rPr/>
        <w:t> </w:t>
      </w:r>
    </w:p>
    <w:p>
      <w:pPr>
        <w:pStyle w:val="TextBody"/>
        <w:spacing w:before="0" w:after="0"/>
        <w:jc w:val="center"/>
        <w:rPr>
          <w:rFonts w:ascii="ARIAL" w:hAnsi="ARIAL"/>
          <w:sz w:val="22"/>
        </w:rPr>
      </w:pPr>
      <w:r>
        <w:rPr>
          <w:rFonts w:ascii="ARIAL" w:hAnsi="ARIAL"/>
          <w:sz w:val="22"/>
        </w:rPr>
        <w:t xml:space="preserve">B-15 </w:t>
      </w:r>
      <w:r>
        <w:br w:type="page"/>
      </w:r>
    </w:p>
    <w:p>
      <w:pPr>
        <w:pStyle w:val="HorizontalLine"/>
        <w:rPr/>
      </w:pPr>
      <w:r>
        <w:rPr/>
      </w:r>
    </w:p>
    <w:p>
      <w:pPr>
        <w:pStyle w:val="TextBody"/>
        <w:spacing w:before="0" w:after="0"/>
        <w:jc w:val="left"/>
        <w:rPr>
          <w:rFonts w:ascii="ARIAL" w:hAnsi="ARIAL"/>
          <w:sz w:val="20"/>
        </w:rPr>
      </w:pPr>
      <w:r>
        <w:rPr>
          <w:rFonts w:ascii="ARIAL" w:hAnsi="ARIAL"/>
          <w:sz w:val="20"/>
          <w:u w:val="single"/>
        </w:rPr>
        <w:t>Rights of Grantee</w:t>
      </w:r>
      <w:r>
        <w:rPr>
          <w:rFonts w:ascii="ARIAL" w:hAnsi="ARIAL"/>
          <w:sz w:val="20"/>
        </w:rPr>
        <w:t xml:space="preserve">. The Committee shall provide at the time an Award of Performance Shares is made the time or times at which the actual Shares represented by such Award shall be issued in the name of the Grantee; </w:t>
      </w:r>
      <w:r>
        <w:rPr>
          <w:rFonts w:ascii="ARIAL" w:hAnsi="ARIAL"/>
          <w:i/>
          <w:sz w:val="20"/>
        </w:rPr>
        <w:t>provided, however</w:t>
      </w:r>
      <w:r>
        <w:rPr>
          <w:rFonts w:ascii="ARIAL" w:hAnsi="ARIAL"/>
          <w:sz w:val="20"/>
        </w:rPr>
        <w:t xml:space="preserve">, that, to the extent required in the Agreement and/or by the Committee, no Performance Shares shall be issued until the Grantee has executed an Agreement evidencing the Award and followed such other procedures as may be required by the Agreement and/or the Committee, and in each case, including by electronic execution. If a Grantee shall fail to so execute the Agreement evidencing an Award of Performance Shares and/or shall fail to follow any such procedures and/or execute such other documentation, the Award shall be null and void to the extent provided by the Agreement and/or the Committee. The Committee may, in its discretion, provide that Performance Shares shall be evidenced by the book entry procedures set forth in Section 8.1. Except as restricted by the terms of the Agreement, subject to Section 9.2(d) below, the Grantee shall have, in the discretion of the Committee, all of the rights of a stockholder with respect to such Shares, including the right to vote the Shares and to receive all dividends or other distributions paid or made with respect to the Shares. </w:t>
      </w:r>
    </w:p>
    <w:p>
      <w:pPr>
        <w:pStyle w:val="TextBody"/>
        <w:spacing w:before="240" w:after="0"/>
        <w:jc w:val="left"/>
        <w:rPr>
          <w:rFonts w:ascii="ARIAL" w:hAnsi="ARIAL"/>
          <w:sz w:val="20"/>
        </w:rPr>
      </w:pPr>
      <w:r>
        <w:rPr>
          <w:rFonts w:ascii="ARIAL" w:hAnsi="ARIAL"/>
          <w:sz w:val="20"/>
          <w:u w:val="single"/>
        </w:rPr>
        <w:t>Non-Transferability</w:t>
      </w:r>
      <w:r>
        <w:rPr>
          <w:rFonts w:ascii="ARIAL" w:hAnsi="ARIAL"/>
          <w:sz w:val="20"/>
        </w:rPr>
        <w:t xml:space="preserve">. Until any restrictions upon the Performance Shares awarded to a Grantee shall have lapsed in the manner set forth in Section 9.2(c) or 9.4, such Performance Shares shall not be sold, transferred or otherwise disposed of and shall not be pledged or otherwise hypothecated, nor shall they be delivered to the Grantee. The Committee may also impose such other restrictions and conditions on the Performance Shares as it deems appropriate. </w:t>
      </w:r>
    </w:p>
    <w:p>
      <w:pPr>
        <w:pStyle w:val="TextBody"/>
        <w:spacing w:before="240" w:after="0"/>
        <w:jc w:val="left"/>
        <w:rPr>
          <w:rFonts w:ascii="ARIAL" w:hAnsi="ARIAL"/>
          <w:sz w:val="20"/>
        </w:rPr>
      </w:pPr>
      <w:r>
        <w:rPr>
          <w:rFonts w:ascii="ARIAL" w:hAnsi="ARIAL"/>
          <w:sz w:val="20"/>
          <w:u w:val="single"/>
        </w:rPr>
        <w:t>Lapse of Restrictions</w:t>
      </w:r>
      <w:r>
        <w:rPr>
          <w:rFonts w:ascii="ARIAL" w:hAnsi="ARIAL"/>
          <w:sz w:val="20"/>
        </w:rPr>
        <w:t xml:space="preserve">. Subject to Section 9.4, restrictions upon Performance Shares awarded hereunder shall lapse and such Performance Shares shall become vested at such time or times and on such terms, conditions and satisfaction of Performance Objectives as the Committee may, in its discretion, determine at the time an Award is granted. </w:t>
      </w:r>
    </w:p>
    <w:p>
      <w:pPr>
        <w:pStyle w:val="TextBody"/>
        <w:spacing w:before="240" w:after="0"/>
        <w:jc w:val="left"/>
        <w:rPr>
          <w:rFonts w:ascii="ARIAL" w:hAnsi="ARIAL"/>
          <w:sz w:val="20"/>
        </w:rPr>
      </w:pPr>
      <w:r>
        <w:rPr>
          <w:rFonts w:ascii="ARIAL" w:hAnsi="ARIAL"/>
          <w:sz w:val="20"/>
          <w:u w:val="single"/>
        </w:rPr>
        <w:t>Treatment of Dividends</w:t>
      </w:r>
      <w:r>
        <w:rPr>
          <w:rFonts w:ascii="ARIAL" w:hAnsi="ARIAL"/>
          <w:sz w:val="20"/>
        </w:rPr>
        <w:t xml:space="preserve">. The payment to the Grantee of dividends, or a specified portion thereof, declared or paid on Shares represented by an Award of Performance Shares which have been issued by the Company to the Grantee shall be (i) deferred until the lapse of the restrictions imposed upon such Performance Shares and (ii) held by the Company or its agent for the account of the Grantee until such time. The Committee shall determine whether such dividends are to be reinvested in shares of Stock (which shall be held as additional Performance Shares) or held in cash. If deferred dividends are to be held in cash, there may be credited at the end of each year (or portion thereof) interest on the amount of the account at the beginning of the year at a rate per annum as the Committee, in its discretion, may determine. Payment of deferred dividends in respect of Performance Shares (whether held in cash or in additional Performance Shares), together with interest accrued thereon, if any, shall be made upon the lapsing of restrictions imposed on the Performance Shares in respect of which the deferred dividends were paid, and any dividends deferred (together with any interest accrued thereon) in respect of any Performance Shares shall be forfeited upon the forfeiture of such Performance Shares. </w:t>
      </w:r>
    </w:p>
    <w:p>
      <w:pPr>
        <w:pStyle w:val="TextBody"/>
        <w:spacing w:before="240" w:after="0"/>
        <w:jc w:val="left"/>
        <w:rPr>
          <w:rFonts w:ascii="ARIAL" w:hAnsi="ARIAL"/>
          <w:sz w:val="20"/>
        </w:rPr>
      </w:pPr>
      <w:r>
        <w:rPr>
          <w:rFonts w:ascii="ARIAL" w:hAnsi="ARIAL"/>
          <w:sz w:val="20"/>
          <w:u w:val="single"/>
        </w:rPr>
        <w:t>Delivery of Shares</w:t>
      </w:r>
      <w:r>
        <w:rPr>
          <w:rFonts w:ascii="ARIAL" w:hAnsi="ARIAL"/>
          <w:sz w:val="20"/>
        </w:rPr>
        <w:t xml:space="preserve">. Upon the lapse of the restrictions on Performance Shares awarded hereunder, the Committee shall cause a stock certificate to be delivered to the Grantee with respect to such Shares, free of all restrictions hereunder, or in the case of book entry Shares, such restrictions and legend shall be removed from the confirmation and account statements delivered to the Grantee or the Grantee’s beneficiary or estate, as the case may be. </w:t>
      </w:r>
    </w:p>
    <w:p>
      <w:pPr>
        <w:pStyle w:val="TextBody"/>
        <w:spacing w:before="240" w:after="0"/>
        <w:jc w:val="left"/>
        <w:rPr>
          <w:rFonts w:ascii="ARIAL" w:hAnsi="ARIAL"/>
          <w:sz w:val="20"/>
        </w:rPr>
      </w:pPr>
      <w:r>
        <w:rPr>
          <w:rFonts w:ascii="ARIAL" w:hAnsi="ARIAL"/>
          <w:sz w:val="20"/>
        </w:rPr>
        <w:t xml:space="preserve">Performance Objectives. </w:t>
      </w:r>
    </w:p>
    <w:p>
      <w:pPr>
        <w:pStyle w:val="TextBody"/>
        <w:spacing w:before="240" w:after="0"/>
        <w:jc w:val="left"/>
        <w:rPr>
          <w:rFonts w:ascii="ARIAL" w:hAnsi="ARIAL"/>
          <w:sz w:val="20"/>
        </w:rPr>
      </w:pPr>
      <w:r>
        <w:rPr>
          <w:rFonts w:ascii="ARIAL" w:hAnsi="ARIAL"/>
          <w:sz w:val="20"/>
          <w:u w:val="single"/>
        </w:rPr>
        <w:t>Establishment</w:t>
      </w:r>
      <w:r>
        <w:rPr>
          <w:rFonts w:ascii="ARIAL" w:hAnsi="ARIAL"/>
          <w:sz w:val="20"/>
        </w:rPr>
        <w:t xml:space="preserve">. Performance Objectives for Performance Awards may be expressed in terms of (i) earnings per Share, (ii) net revenue, (iii) EBITDA or adjusted EBITDA, (iv) Share price, (v) pre-tax profits, (vi) net earnings, (vii) return on equity or assets, (viii) operating income, (ix) EBITDA or adjusted </w:t>
      </w:r>
    </w:p>
    <w:p>
      <w:pPr>
        <w:pStyle w:val="TextBody"/>
        <w:spacing w:before="0" w:after="0"/>
        <w:jc w:val="left"/>
        <w:rPr/>
      </w:pPr>
      <w:r>
        <w:rPr/>
        <w:t> </w:t>
      </w:r>
    </w:p>
    <w:p>
      <w:pPr>
        <w:pStyle w:val="TextBody"/>
        <w:spacing w:before="0" w:after="0"/>
        <w:jc w:val="center"/>
        <w:rPr>
          <w:rFonts w:ascii="ARIAL" w:hAnsi="ARIAL"/>
          <w:sz w:val="22"/>
        </w:rPr>
      </w:pPr>
      <w:r>
        <w:rPr>
          <w:rFonts w:ascii="ARIAL" w:hAnsi="ARIAL"/>
          <w:sz w:val="22"/>
        </w:rPr>
        <w:t xml:space="preserve">B-16 </w:t>
      </w:r>
      <w:r>
        <w:br w:type="page"/>
      </w:r>
    </w:p>
    <w:p>
      <w:pPr>
        <w:pStyle w:val="HorizontalLine"/>
        <w:rPr/>
      </w:pPr>
      <w:r>
        <w:rPr/>
      </w:r>
    </w:p>
    <w:p>
      <w:pPr>
        <w:pStyle w:val="TextBody"/>
        <w:spacing w:before="0" w:after="0"/>
        <w:jc w:val="left"/>
        <w:rPr>
          <w:rFonts w:ascii="ARIAL" w:hAnsi="ARIAL"/>
          <w:sz w:val="20"/>
        </w:rPr>
      </w:pPr>
      <w:r>
        <w:rPr>
          <w:rFonts w:ascii="ARIAL" w:hAnsi="ARIAL"/>
          <w:sz w:val="20"/>
        </w:rPr>
        <w:t xml:space="preserve">EBITDA margin, (x) EBITDA or adjusted EBITDA margin improvement, (xi) bad debt expense, (xii) cash receipts, (xiii) uncompensated care expense, (xiv) days in net revenue in net patient accounts receivable, (xv) gross income, (xvi) net income (before or after taxes), (xvii) cash flow; (xviii) gross profit, (xix) gross profit return on investment, (xx) gross margin return on investment, (xxi) gross margin; (xxii) operating margin, (xxiii) working capital, (xxiv) earnings before interest and taxes, (xxv) return on capital, (xxvi) return on invested capital, (xxvii) revenue growth, (xxviii) annual recurring revenues, (xxix) recurring revenues, (xxx) total shareholder return, (xxxi) economic value added, (xxxii) specified objectives with regard to limiting the level of increase in all or a portion of the Company’s bank debt or other long-term or short-term public or private debt or other similar financial obligations of the Company, which may be calculated net of cash balances and/or other offsets and adjustments as may be established by the Committee in its sole discretion, (xxxiii) reduction in operating expenses, (xxxiv) same-store financial metrics in relation to any of the foregoing, (xxxv) any combination of the foregoing, (xxxvi) individual performance criteria, or (xxxvii) any other quantitative or qualitative performance criteria as may be determined by the Committee in its discretion. Performance Objectives may be in respect of the performance of the Company, any of its Subsidiaries, any of its Divisions or any combination thereof. Performance Objectives may be absolute or relative (to prior performance of the Company or to the performance of one or more other entities or external indices) and may be expressed in terms of a progression within a specified range. </w:t>
      </w:r>
    </w:p>
    <w:p>
      <w:pPr>
        <w:pStyle w:val="TextBody"/>
        <w:spacing w:before="240" w:after="0"/>
        <w:jc w:val="left"/>
        <w:rPr>
          <w:rFonts w:ascii="ARIAL" w:hAnsi="ARIAL"/>
          <w:sz w:val="20"/>
        </w:rPr>
      </w:pPr>
      <w:r>
        <w:rPr>
          <w:rFonts w:ascii="ARIAL" w:hAnsi="ARIAL"/>
          <w:sz w:val="20"/>
          <w:u w:val="single"/>
        </w:rPr>
        <w:t>Effect of Certain Events</w:t>
      </w:r>
      <w:r>
        <w:rPr>
          <w:rFonts w:ascii="ARIAL" w:hAnsi="ARIAL"/>
          <w:sz w:val="20"/>
        </w:rPr>
        <w:t xml:space="preserve">. At the time of the grant of a Performance Award, or at any time thereafter, the Committee may provide for the manner in which performance will be measured against the Performance Objectives (or may adjust the Performance Objectives) to reflect the impact of specified corporate transactions, accounting or tax law changes, other extraordinary, unusual or nonrecurring events, and such other matters that the Committee determines is consistent with the intent of the Performance Award. </w:t>
      </w:r>
    </w:p>
    <w:p>
      <w:pPr>
        <w:pStyle w:val="TextBody"/>
        <w:spacing w:before="240" w:after="0"/>
        <w:jc w:val="left"/>
        <w:rPr>
          <w:rFonts w:ascii="ARIAL" w:hAnsi="ARIAL"/>
          <w:sz w:val="20"/>
        </w:rPr>
      </w:pPr>
      <w:r>
        <w:rPr>
          <w:rFonts w:ascii="ARIAL" w:hAnsi="ARIAL"/>
          <w:sz w:val="20"/>
          <w:u w:val="single"/>
        </w:rPr>
        <w:t>Effect of Change in Control</w:t>
      </w:r>
      <w:r>
        <w:rPr>
          <w:rFonts w:ascii="ARIAL" w:hAnsi="ARIAL"/>
          <w:sz w:val="20"/>
        </w:rPr>
        <w:t xml:space="preserve">. Section 13(b) shall control the treatment of any Performance Units then outstanding in the event of a Change in Control. </w:t>
      </w:r>
    </w:p>
    <w:p>
      <w:pPr>
        <w:pStyle w:val="TextBody"/>
        <w:spacing w:before="240" w:after="0"/>
        <w:jc w:val="left"/>
        <w:rPr>
          <w:rFonts w:ascii="ARIAL" w:hAnsi="ARIAL"/>
          <w:sz w:val="20"/>
        </w:rPr>
      </w:pPr>
      <w:r>
        <w:rPr>
          <w:rFonts w:ascii="ARIAL" w:hAnsi="ARIAL"/>
          <w:sz w:val="20"/>
          <w:u w:val="single"/>
        </w:rPr>
        <w:t>Non-Transferability</w:t>
      </w:r>
      <w:r>
        <w:rPr>
          <w:rFonts w:ascii="ARIAL" w:hAnsi="ARIAL"/>
          <w:sz w:val="20"/>
        </w:rPr>
        <w:t xml:space="preserve">. Until the vesting of Performance Units or the lapse of any restrictions on Performance Shares, as the case may be, such Performance Units or Performance Shares shall not be sold, transferred or otherwise disposed of and shall not be pledged or otherwise hypothecated. </w:t>
      </w:r>
    </w:p>
    <w:p>
      <w:pPr>
        <w:pStyle w:val="TextBody"/>
        <w:spacing w:before="240" w:after="0"/>
        <w:jc w:val="left"/>
        <w:rPr>
          <w:rFonts w:ascii="ARIAL" w:hAnsi="ARIAL"/>
          <w:sz w:val="20"/>
        </w:rPr>
      </w:pPr>
      <w:r>
        <w:rPr>
          <w:rFonts w:ascii="ARIAL" w:hAnsi="ARIAL"/>
          <w:sz w:val="20"/>
        </w:rPr>
        <w:t xml:space="preserve">Other Share Awards. </w:t>
      </w:r>
    </w:p>
    <w:p>
      <w:pPr>
        <w:pStyle w:val="TextBody"/>
        <w:spacing w:before="240" w:after="0"/>
        <w:jc w:val="left"/>
        <w:rPr>
          <w:rFonts w:ascii="ARIAL" w:hAnsi="ARIAL"/>
          <w:sz w:val="20"/>
        </w:rPr>
      </w:pPr>
      <w:r>
        <w:rPr>
          <w:rFonts w:ascii="ARIAL" w:hAnsi="ARIAL"/>
          <w:sz w:val="20"/>
        </w:rPr>
        <w:t>The Committee may grant an Other Share Award to any Eligible Individual, which Other Share Award shall consist of any right that is (i) not an Award described in</w:t>
      </w:r>
      <w:r>
        <w:rPr>
          <w:rFonts w:ascii="ARIAL" w:hAnsi="ARIAL"/>
          <w:sz w:val="20"/>
          <w:u w:val="single"/>
        </w:rPr>
        <w:t> Sections 5, 6</w:t>
      </w:r>
      <w:r>
        <w:rPr>
          <w:rFonts w:ascii="ARIAL" w:hAnsi="ARIAL"/>
          <w:sz w:val="20"/>
        </w:rPr>
        <w:t xml:space="preserve">, 8 or 9 above and (ii) an Award of Shares or an Award denominated or payable in, valued in whole or in part by reference to, or otherwise based on or related to, Shares, as determined by the Committee to be consistent with the purposes of the Plan. Other Share Awards may be made as additional compensation for services rendered by the Eligible Individual or may be in lieu of cash or other compensation to which the Eligible Individual is entitled from the Company. </w:t>
      </w:r>
    </w:p>
    <w:p>
      <w:pPr>
        <w:pStyle w:val="TextBody"/>
        <w:spacing w:before="240" w:after="0"/>
        <w:jc w:val="left"/>
        <w:rPr>
          <w:rFonts w:ascii="ARIAL" w:hAnsi="ARIAL"/>
          <w:sz w:val="20"/>
        </w:rPr>
      </w:pPr>
      <w:r>
        <w:rPr>
          <w:rFonts w:ascii="ARIAL" w:hAnsi="ARIAL"/>
          <w:sz w:val="20"/>
        </w:rPr>
        <w:t xml:space="preserve">Effect of a Termination of Employment or Service. </w:t>
      </w:r>
    </w:p>
    <w:p>
      <w:pPr>
        <w:pStyle w:val="TextBody"/>
        <w:spacing w:before="240" w:after="0"/>
        <w:jc w:val="left"/>
        <w:rPr>
          <w:rFonts w:ascii="ARIAL" w:hAnsi="ARIAL"/>
          <w:sz w:val="20"/>
        </w:rPr>
      </w:pPr>
      <w:r>
        <w:rPr>
          <w:rFonts w:ascii="ARIAL" w:hAnsi="ARIAL"/>
          <w:sz w:val="20"/>
        </w:rPr>
        <w:t xml:space="preserve">The Agreement evidencing the grant of each Option and each Award shall set forth the terms and conditions applicable to such Option or Award upon a termination or change in the status of the employment and/or service of the Optionee or Grantee by the Company, a Subsidiary or a Division (including a termination or change by reason of the sale of a Subsidiary or a Division), which shall be as the Committee may, in its discretion, determine at the time the Option or Award is granted or thereafter. </w:t>
      </w:r>
    </w:p>
    <w:p>
      <w:pPr>
        <w:pStyle w:val="TextBody"/>
        <w:spacing w:before="0" w:after="0"/>
        <w:jc w:val="left"/>
        <w:rPr/>
      </w:pPr>
      <w:r>
        <w:rPr/>
        <w:t> </w:t>
      </w:r>
    </w:p>
    <w:p>
      <w:pPr>
        <w:pStyle w:val="TextBody"/>
        <w:spacing w:before="0" w:after="0"/>
        <w:jc w:val="center"/>
        <w:rPr>
          <w:rFonts w:ascii="ARIAL" w:hAnsi="ARIAL"/>
          <w:sz w:val="22"/>
        </w:rPr>
      </w:pPr>
      <w:r>
        <w:rPr>
          <w:rFonts w:ascii="ARIAL" w:hAnsi="ARIAL"/>
          <w:sz w:val="22"/>
        </w:rPr>
        <w:t xml:space="preserve">B-17 </w:t>
      </w:r>
      <w:r>
        <w:br w:type="page"/>
      </w:r>
    </w:p>
    <w:p>
      <w:pPr>
        <w:pStyle w:val="HorizontalLine"/>
        <w:rPr/>
      </w:pPr>
      <w:r>
        <w:rPr/>
      </w:r>
    </w:p>
    <w:p>
      <w:pPr>
        <w:pStyle w:val="TextBody"/>
        <w:spacing w:before="0" w:after="0"/>
        <w:jc w:val="left"/>
        <w:rPr>
          <w:rFonts w:ascii="ARIAL" w:hAnsi="ARIAL"/>
          <w:sz w:val="20"/>
        </w:rPr>
      </w:pPr>
      <w:r>
        <w:rPr>
          <w:rFonts w:ascii="ARIAL" w:hAnsi="ARIAL"/>
          <w:sz w:val="20"/>
        </w:rPr>
        <w:t xml:space="preserve">Adjustment Upon Changes in Capitalization. </w:t>
      </w:r>
    </w:p>
    <w:p>
      <w:pPr>
        <w:pStyle w:val="TextBody"/>
        <w:spacing w:before="240" w:after="0"/>
        <w:jc w:val="left"/>
        <w:rPr>
          <w:rFonts w:ascii="ARIAL" w:hAnsi="ARIAL"/>
          <w:sz w:val="20"/>
        </w:rPr>
      </w:pPr>
      <w:r>
        <w:rPr>
          <w:rFonts w:ascii="ARIAL" w:hAnsi="ARIAL"/>
          <w:sz w:val="20"/>
        </w:rPr>
        <w:t xml:space="preserve">In the event of a Change in Capitalization, subject to Section 13, the Committee shall conclusively determine the appropriate adjustments, if any, to (i) the maximum number and class of Shares or other stock or securities with respect to which Options or Awards may be granted under the Plan, (ii) applicable limits with respect to the Shares and Awards as provided herein, (iii) the number and class of Shares or other stock or securities which are subject to outstanding Options or Awards granted under the Plan and the exercise price therefor, if applicable, and (iv) Performance Objectives applicable to outstanding Performance Awards. </w:t>
      </w:r>
    </w:p>
    <w:p>
      <w:pPr>
        <w:pStyle w:val="TextBody"/>
        <w:spacing w:before="240" w:after="0"/>
        <w:jc w:val="left"/>
        <w:rPr>
          <w:rFonts w:ascii="ARIAL" w:hAnsi="ARIAL"/>
          <w:sz w:val="20"/>
        </w:rPr>
      </w:pPr>
      <w:r>
        <w:rPr>
          <w:rFonts w:ascii="ARIAL" w:hAnsi="ARIAL"/>
          <w:sz w:val="20"/>
        </w:rPr>
        <w:t xml:space="preserve">Any such adjustment in the Shares or other stock or securities subject to outstanding Incentive Stock Options (including any adjustments in the exercise price) shall be made in such manner as not to constitute a modification as defined by Section 424(h)(3) of the Code and only to the extent permitted by Sections 422 and 424 of the Code. In addition, (a) no adjustment to any Option or Award that is not subject to Section 409A of the Code shall be made in a manner that would subject the Option or Award to Section 409A of the Code and (b) any adjustment to an Option or Award that is subject to Section 409A of the Code shall be made only in a manner and to the extent permitted by Section 409A of the Code. </w:t>
      </w:r>
    </w:p>
    <w:p>
      <w:pPr>
        <w:pStyle w:val="TextBody"/>
        <w:spacing w:before="240" w:after="0"/>
        <w:jc w:val="left"/>
        <w:rPr>
          <w:rFonts w:ascii="ARIAL" w:hAnsi="ARIAL"/>
          <w:sz w:val="20"/>
        </w:rPr>
      </w:pPr>
      <w:r>
        <w:rPr>
          <w:rFonts w:ascii="ARIAL" w:hAnsi="ARIAL"/>
          <w:sz w:val="20"/>
        </w:rPr>
        <w:t xml:space="preserve">If, by reason of a Change in Capitalization, a Grantee of an Award shall be entitled to, or an Optionee shall be entitled to exercise an Option with respect to, new, additional or different shares of stock or securities of the Company or any other corporation, such new, additional or different shares shall thereupon be subject to all of the conditions, restrictions and performance criteria which were applicable to the Shares subject to the Award or Option, as the case may be, prior to such Change in Capitalization. </w:t>
      </w:r>
    </w:p>
    <w:p>
      <w:pPr>
        <w:pStyle w:val="TextBody"/>
        <w:spacing w:before="240" w:after="0"/>
        <w:jc w:val="left"/>
        <w:rPr>
          <w:rFonts w:ascii="ARIAL" w:hAnsi="ARIAL"/>
          <w:sz w:val="20"/>
        </w:rPr>
      </w:pPr>
      <w:r>
        <w:rPr>
          <w:rFonts w:ascii="ARIAL" w:hAnsi="ARIAL"/>
          <w:sz w:val="20"/>
        </w:rPr>
        <w:t xml:space="preserve">Effect of Certain Transactions; Effect of Change in Control. </w:t>
      </w:r>
    </w:p>
    <w:p>
      <w:pPr>
        <w:pStyle w:val="TextBody"/>
        <w:spacing w:before="240" w:after="0"/>
        <w:jc w:val="left"/>
        <w:rPr>
          <w:rFonts w:ascii="ARIAL" w:hAnsi="ARIAL"/>
          <w:sz w:val="20"/>
        </w:rPr>
      </w:pPr>
      <w:r>
        <w:rPr>
          <w:rFonts w:ascii="ARIAL" w:hAnsi="ARIAL"/>
          <w:sz w:val="20"/>
          <w:u w:val="single"/>
        </w:rPr>
        <w:t>Effect of Certain Transactions.</w:t>
      </w:r>
      <w:r>
        <w:rPr>
          <w:rFonts w:ascii="ARIAL" w:hAnsi="ARIAL"/>
          <w:sz w:val="20"/>
        </w:rPr>
        <w:t xml:space="preserve"> Subject to Section 13(b), or as otherwise provided in an Agreement, in the event of (a) the liquidation or dissolution of the Company or (b) a merger or consolidation of the Company (a “Transaction”), the Plan and the Options and Awards issued hereunder shall continue in effect in accordance with their respective terms, except that following a Transaction either (i) each outstanding Option or Award shall be treated as provided for in the agreement entered into in connection with the Transaction or (ii) if not so provided in such agreement, each Optionee and Grantee shall be entitled to receive in respect of each Share subject to any outstanding Options or Awards, as the case may be, upon exercise of any Option or payment or transfer in respect of any Award, the same number and kind of stock, securities, cash, property or other consideration that each holder of a Share was entitled to receive in the Transaction in respect of a Share; </w:t>
      </w:r>
      <w:r>
        <w:rPr>
          <w:rFonts w:ascii="ARIAL" w:hAnsi="ARIAL"/>
          <w:i/>
          <w:sz w:val="20"/>
        </w:rPr>
        <w:t>provided, however</w:t>
      </w:r>
      <w:r>
        <w:rPr>
          <w:rFonts w:ascii="ARIAL" w:hAnsi="ARIAL"/>
          <w:sz w:val="20"/>
        </w:rPr>
        <w:t xml:space="preserve">, that such stock, securities, cash, property, or other consideration shall remain subject to all of the conditions, restrictions and performance criteria which were applicable to the Options and Awards prior to such Transaction. For the avoidance of doubt, the Committee may, without the consent of any Optionee or Grantee, provide for the cancellation of outstanding Awards in connection with a Transaction in exchange for the payment in cash or property equal in value to the Fair Market Value of the Shares underlying such Awards, less, in the case of Options (and Stock Appreciation Rights), the aggregate exercise price (or Grant Price) thereof; </w:t>
      </w:r>
      <w:r>
        <w:rPr>
          <w:rFonts w:ascii="ARIAL" w:hAnsi="ARIAL"/>
          <w:i/>
          <w:sz w:val="20"/>
        </w:rPr>
        <w:t>provided</w:t>
      </w:r>
      <w:r>
        <w:rPr>
          <w:rFonts w:ascii="ARIAL" w:hAnsi="ARIAL"/>
          <w:sz w:val="20"/>
        </w:rPr>
        <w:t xml:space="preserve"> that Options with an aggregate exercise price that is equal to or in excess of the aggregate Fair Market Value of the Shares underlying such Options, and Stock Appreciation Rights whose Grant Price is equal to or in excess of the Fair Market Value of a Share to which such Stock Appreciation Rights relate, may be cancelled in connection with such Transaction without any consideration being paid in respect thereof. The treatment of any Option or Award as provided in this Section 13(a) shall be conclusively presumed to be appropriate for purposes of Section 12. </w:t>
      </w:r>
    </w:p>
    <w:p>
      <w:pPr>
        <w:pStyle w:val="TextBody"/>
        <w:spacing w:before="0" w:after="0"/>
        <w:jc w:val="left"/>
        <w:rPr/>
      </w:pPr>
      <w:r>
        <w:rPr/>
        <w:t> </w:t>
      </w:r>
    </w:p>
    <w:p>
      <w:pPr>
        <w:pStyle w:val="TextBody"/>
        <w:spacing w:before="0" w:after="0"/>
        <w:jc w:val="center"/>
        <w:rPr>
          <w:rFonts w:ascii="ARIAL" w:hAnsi="ARIAL"/>
          <w:sz w:val="22"/>
        </w:rPr>
      </w:pPr>
      <w:r>
        <w:rPr>
          <w:rFonts w:ascii="ARIAL" w:hAnsi="ARIAL"/>
          <w:sz w:val="22"/>
        </w:rPr>
        <w:t xml:space="preserve">B-18 </w:t>
      </w:r>
      <w:r>
        <w:br w:type="page"/>
      </w:r>
    </w:p>
    <w:p>
      <w:pPr>
        <w:pStyle w:val="HorizontalLine"/>
        <w:rPr/>
      </w:pPr>
      <w:r>
        <w:rPr/>
      </w:r>
    </w:p>
    <w:p>
      <w:pPr>
        <w:pStyle w:val="TextBody"/>
        <w:spacing w:before="0" w:after="0"/>
        <w:jc w:val="left"/>
        <w:rPr>
          <w:rFonts w:ascii="ARIAL" w:hAnsi="ARIAL"/>
          <w:sz w:val="20"/>
        </w:rPr>
      </w:pPr>
      <w:r>
        <w:rPr>
          <w:rFonts w:ascii="ARIAL" w:hAnsi="ARIAL"/>
          <w:sz w:val="20"/>
          <w:u w:val="single"/>
        </w:rPr>
        <w:t>Effect of Change in Control</w:t>
      </w:r>
      <w:r>
        <w:rPr>
          <w:rFonts w:ascii="ARIAL" w:hAnsi="ARIAL"/>
          <w:sz w:val="20"/>
        </w:rPr>
        <w:t xml:space="preserve">. Notwithstanding any other provision of the Plan to the contrary, in the event of a Change in Control, the following provisions of this Section 13(b) shall apply except to the extent an Agreement provides for a different treatment (in which case the Agreement shall govern and this Section 13(b) shall not be applicable): </w:t>
      </w:r>
    </w:p>
    <w:p>
      <w:pPr>
        <w:pStyle w:val="TextBody"/>
        <w:spacing w:before="240" w:after="0"/>
        <w:jc w:val="left"/>
        <w:rPr>
          <w:rFonts w:ascii="ARIAL" w:hAnsi="ARIAL"/>
          <w:sz w:val="20"/>
        </w:rPr>
      </w:pPr>
      <w:r>
        <w:rPr>
          <w:rFonts w:ascii="ARIAL" w:hAnsi="ARIAL"/>
          <w:sz w:val="20"/>
        </w:rPr>
        <w:t xml:space="preserve">If and to the extent that outstanding Options or Awards under the Plan (A) are assumed by the successor entity (or affiliate thereto) or continued or (B) are replaced with equity awards that preserve the existing value of the Options or Awards at the time of the Change in Control and provide for subsequent payout in accordance with a vesting schedule and Performance Objectives, as applicable, that are the same or more favorable to the Grantees than the vesting schedule and Performance Objectives applicable to the Options or Awards, then all such Options or Awards or such substitutes thereof shall remain outstanding and be governed by their respective terms and the provisions of the Plan, subject to Section 13(b)(iv) below. </w:t>
      </w:r>
    </w:p>
    <w:p>
      <w:pPr>
        <w:pStyle w:val="TextBody"/>
        <w:spacing w:before="240" w:after="0"/>
        <w:jc w:val="left"/>
        <w:rPr>
          <w:rFonts w:ascii="ARIAL" w:hAnsi="ARIAL"/>
          <w:sz w:val="20"/>
        </w:rPr>
      </w:pPr>
      <w:r>
        <w:rPr>
          <w:rFonts w:ascii="ARIAL" w:hAnsi="ARIAL"/>
          <w:sz w:val="20"/>
        </w:rPr>
        <w:t xml:space="preserve">If and to the extent that outstanding Options or Awards under the Plan are not assumed, continued or replaced in accordance with Section 13(b)(i) above, then upon the Change in Control the following treatment (referred to as “Change-in-Control Treatment”) shall apply to such Options or Awards: (A) outstanding Options and Stock Appreciation Rights shall immediately vest and become exercisable; (B) the restrictions and other conditions applicable to outstanding Restricted Shares, Restricted Stock Units and Stock Awards, including vesting requirements, shall immediately lapse; such Awards shall be free of all restrictions and fully vested; and, with respect to Restricted Stock Units, shall be payable immediately in accordance with their terms or, if later, as of the earliest permissible date under Code Section 409A; and (C) outstanding Performance Awards granted under the Plan shall immediately vest and shall become immediately payable in accordance with their terms as if the Performance Objectives have been achieved at the target performance level. </w:t>
      </w:r>
    </w:p>
    <w:p>
      <w:pPr>
        <w:pStyle w:val="TextBody"/>
        <w:spacing w:before="240" w:after="0"/>
        <w:jc w:val="left"/>
        <w:rPr>
          <w:rFonts w:ascii="ARIAL" w:hAnsi="ARIAL"/>
          <w:sz w:val="20"/>
        </w:rPr>
      </w:pPr>
      <w:r>
        <w:rPr>
          <w:rFonts w:ascii="ARIAL" w:hAnsi="ARIAL"/>
          <w:sz w:val="20"/>
        </w:rPr>
        <w:t xml:space="preserve">If and to the extent that outstanding Options or Awards under the Plan are not assumed, continued or replaced in accordance with Section 13(b)(i) above, then in connection with the application of the Change-in-Control Treatment set forth in Section 13(b)(ii) above, the Board and/or the Committee may, in its sole discretion, provide for cancellation of such outstanding Awards at the time of the Change in Control in which case a payment of cash, property or a combination thereof shall be made to each such Optionee or Grantee upon the consummation of the Change in Control that is determined by the Board and/or Committee in its sole discretion and that is at least equal to the excess (if any) of the value of the consideration that would be received in such Change in Control by the holders of the Company’s securities relating to such Options or Awards over the exercise or purchase price (if any) for such Options or Awards (except that, in the case of an Option or Stock Appreciation Right, such payment shall be limited as necessary to prevent the Option or Stock Appreciation Right from being subject to tax under Code Section 409A); </w:t>
      </w:r>
      <w:r>
        <w:rPr>
          <w:rFonts w:ascii="ARIAL" w:hAnsi="ARIAL"/>
          <w:i/>
          <w:sz w:val="20"/>
        </w:rPr>
        <w:t>provided</w:t>
      </w:r>
      <w:r>
        <w:rPr>
          <w:rFonts w:ascii="ARIAL" w:hAnsi="ARIAL"/>
          <w:sz w:val="20"/>
        </w:rPr>
        <w:t xml:space="preserve"> that Options with an aggregate exercise price that is equal to or in excess of the Fair Market Value of a Share in such Change in Control, and Stock Appreciation Rights whose Grant Price is equal to or in excess of the Fair Market Value of a Share in connection with such Change in Control, may be cancelled in connection with such Change in Control as may be determined by the Board and/or Committee in its sole discretion without any consideration being paid in respect thereof. </w:t>
      </w:r>
    </w:p>
    <w:p>
      <w:pPr>
        <w:pStyle w:val="TextBody"/>
        <w:spacing w:before="240" w:after="0"/>
        <w:jc w:val="left"/>
        <w:rPr>
          <w:rFonts w:ascii="ARIAL" w:hAnsi="ARIAL"/>
          <w:sz w:val="20"/>
        </w:rPr>
      </w:pPr>
      <w:r>
        <w:rPr>
          <w:rFonts w:ascii="ARIAL" w:hAnsi="ARIAL"/>
          <w:sz w:val="20"/>
        </w:rPr>
        <w:t xml:space="preserve">If and to the extent that (A) outstanding Options or Awards are assumed, continued or replaced in accordance with Section 13(b)(i) above and (B) a Optionee’s or Grantee’s employment with, or performance of services for, the Company or any of its Subsidiaries or successors is terminated by the Company or such Subsidiary or successor for any reason other than Cause or by such Optionee or Grantee for Good Reason, in each case, within the two-year period commencing on the Change in Control, then, as of the date of such Optionee’s or Grantee’s termination, the Change-in-Control Treatment set forth in Section 13(b)(ii) above shall apply to all assumed or replaced Options or Awards of such Optionee or Grantee then outstanding. </w:t>
      </w:r>
    </w:p>
    <w:p>
      <w:pPr>
        <w:pStyle w:val="TextBody"/>
        <w:spacing w:before="0" w:after="0"/>
        <w:jc w:val="left"/>
        <w:rPr/>
      </w:pPr>
      <w:r>
        <w:rPr/>
        <w:t> </w:t>
      </w:r>
    </w:p>
    <w:p>
      <w:pPr>
        <w:pStyle w:val="TextBody"/>
        <w:spacing w:before="0" w:after="0"/>
        <w:jc w:val="center"/>
        <w:rPr>
          <w:rFonts w:ascii="ARIAL" w:hAnsi="ARIAL"/>
          <w:sz w:val="22"/>
        </w:rPr>
      </w:pPr>
      <w:r>
        <w:rPr>
          <w:rFonts w:ascii="ARIAL" w:hAnsi="ARIAL"/>
          <w:sz w:val="22"/>
        </w:rPr>
        <w:t xml:space="preserve">B-19 </w:t>
      </w:r>
      <w:r>
        <w:br w:type="page"/>
      </w:r>
    </w:p>
    <w:p>
      <w:pPr>
        <w:pStyle w:val="HorizontalLine"/>
        <w:rPr/>
      </w:pPr>
      <w:r>
        <w:rPr/>
      </w:r>
    </w:p>
    <w:p>
      <w:pPr>
        <w:pStyle w:val="TextBody"/>
        <w:spacing w:before="0" w:after="0"/>
        <w:jc w:val="left"/>
        <w:rPr>
          <w:rFonts w:ascii="ARIAL" w:hAnsi="ARIAL"/>
          <w:sz w:val="20"/>
        </w:rPr>
      </w:pPr>
      <w:r>
        <w:rPr>
          <w:rFonts w:ascii="ARIAL" w:hAnsi="ARIAL"/>
          <w:sz w:val="20"/>
        </w:rPr>
        <w:t xml:space="preserve">Outstanding Options or Stock Appreciation Rights that are assumed, continued or replaced in accordance with Section 13(b)(i) may be exercised by the Optionee or Grantee in accordance with the applicable terms and conditions of such Option or Stock Appreciation Right as set forth in the applicable Agreement or elsewhere; provided, however, that Options or Stock Appreciation Rights that become exercisable in accordance with Section 13(b)(iv) may be exercised until the expiration of the original full term of such Option or Stock Appreciation Right notwithstanding the other original terms and conditions of such Award, to the extent allowed without such Option or Stock Appreciation Right becoming subject to tax under Code Section 409A. </w:t>
      </w:r>
    </w:p>
    <w:p>
      <w:pPr>
        <w:pStyle w:val="TextBody"/>
        <w:spacing w:before="240" w:after="0"/>
        <w:jc w:val="left"/>
        <w:rPr>
          <w:rFonts w:ascii="ARIAL" w:hAnsi="ARIAL"/>
          <w:sz w:val="20"/>
        </w:rPr>
      </w:pPr>
      <w:r>
        <w:rPr>
          <w:rFonts w:ascii="ARIAL" w:hAnsi="ARIAL"/>
          <w:sz w:val="20"/>
        </w:rPr>
        <w:t xml:space="preserve">Interpretation. </w:t>
      </w:r>
    </w:p>
    <w:p>
      <w:pPr>
        <w:pStyle w:val="TextBody"/>
        <w:spacing w:before="240" w:after="0"/>
        <w:jc w:val="left"/>
        <w:rPr>
          <w:rFonts w:ascii="ARIAL" w:hAnsi="ARIAL"/>
          <w:sz w:val="20"/>
        </w:rPr>
      </w:pPr>
      <w:r>
        <w:rPr>
          <w:rFonts w:ascii="ARIAL" w:hAnsi="ARIAL"/>
          <w:sz w:val="20"/>
        </w:rPr>
        <w:t xml:space="preserve">The Plan is intended to comply with Rule 16b-3 promulgated under the Exchange Act and the Committee shall interpret and administer the provisions of the Plan or any Agreement in a manner consistent therewith. Any provisions inconsistent with such Rule shall be inoperative and shall not affect the validity of the Plan. </w:t>
      </w:r>
    </w:p>
    <w:p>
      <w:pPr>
        <w:pStyle w:val="TextBody"/>
        <w:spacing w:before="240" w:after="0"/>
        <w:jc w:val="left"/>
        <w:rPr>
          <w:rFonts w:ascii="ARIAL" w:hAnsi="ARIAL"/>
          <w:sz w:val="20"/>
        </w:rPr>
      </w:pPr>
      <w:r>
        <w:rPr>
          <w:rFonts w:ascii="ARIAL" w:hAnsi="ARIAL"/>
          <w:sz w:val="20"/>
        </w:rPr>
        <w:t xml:space="preserve">To the extent that any legal requirement of Section 16 of the Exchange Act as set forth in the Plan ceases to be required under Section 16 of the Exchange Act, that Plan provision shall cease to apply. </w:t>
      </w:r>
    </w:p>
    <w:p>
      <w:pPr>
        <w:pStyle w:val="TextBody"/>
        <w:spacing w:before="240" w:after="0"/>
        <w:jc w:val="left"/>
        <w:rPr>
          <w:rFonts w:ascii="ARIAL" w:hAnsi="ARIAL"/>
          <w:sz w:val="20"/>
        </w:rPr>
      </w:pPr>
      <w:r>
        <w:rPr>
          <w:rFonts w:ascii="ARIAL" w:hAnsi="ARIAL"/>
          <w:sz w:val="20"/>
        </w:rPr>
        <w:t xml:space="preserve">Termination and Amendment of the Plan or Modification of Options and Awards. </w:t>
      </w:r>
    </w:p>
    <w:p>
      <w:pPr>
        <w:pStyle w:val="TextBody"/>
        <w:spacing w:before="240" w:after="0"/>
        <w:jc w:val="left"/>
        <w:rPr>
          <w:rFonts w:ascii="ARIAL" w:hAnsi="ARIAL"/>
          <w:sz w:val="20"/>
        </w:rPr>
      </w:pPr>
      <w:r>
        <w:rPr>
          <w:rFonts w:ascii="ARIAL" w:hAnsi="ARIAL"/>
          <w:sz w:val="20"/>
          <w:u w:val="single"/>
        </w:rPr>
        <w:t>Plan Amendment or Termination</w:t>
      </w:r>
      <w:r>
        <w:rPr>
          <w:rFonts w:ascii="ARIAL" w:hAnsi="ARIAL"/>
          <w:sz w:val="20"/>
        </w:rPr>
        <w:t xml:space="preserve">. The Plan shall terminate on the day preceding the tenth anniversary of the Restatement Effective Date and no Option or Award may be granted thereafter. The Board may sooner terminate the Plan and the Board, subject to Section 6, may at any time and from time to time amend, modify or suspend the Plan; </w:t>
      </w:r>
      <w:r>
        <w:rPr>
          <w:rFonts w:ascii="ARIAL" w:hAnsi="ARIAL"/>
          <w:i/>
          <w:sz w:val="20"/>
        </w:rPr>
        <w:t>provided, however</w:t>
      </w:r>
      <w:r>
        <w:rPr>
          <w:rFonts w:ascii="ARIAL" w:hAnsi="ARIAL"/>
          <w:sz w:val="20"/>
        </w:rPr>
        <w:t xml:space="preserve">, that: </w:t>
      </w:r>
    </w:p>
    <w:p>
      <w:pPr>
        <w:pStyle w:val="TextBody"/>
        <w:spacing w:before="240" w:after="0"/>
        <w:jc w:val="left"/>
        <w:rPr>
          <w:rFonts w:ascii="ARIAL" w:hAnsi="ARIAL"/>
          <w:sz w:val="20"/>
        </w:rPr>
      </w:pPr>
      <w:r>
        <w:rPr>
          <w:rFonts w:ascii="ARIAL" w:hAnsi="ARIAL"/>
          <w:sz w:val="20"/>
        </w:rPr>
        <w:t xml:space="preserve">no such amendment, modification, suspension or termination shall impair or materially and adversely alter any Options or Awards theretofore granted under the Plan, except with the written consent of the applicable Optionee or Grantee, nor shall any amendment, modification, suspension or termination deprive any Optionee or Grantee of any Shares which he or she may have acquired through or as a result of the Plan; and </w:t>
      </w:r>
    </w:p>
    <w:p>
      <w:pPr>
        <w:pStyle w:val="TextBody"/>
        <w:spacing w:before="240" w:after="0"/>
        <w:jc w:val="left"/>
        <w:rPr>
          <w:rFonts w:ascii="ARIAL" w:hAnsi="ARIAL"/>
          <w:sz w:val="20"/>
        </w:rPr>
      </w:pPr>
      <w:r>
        <w:rPr>
          <w:rFonts w:ascii="ARIAL" w:hAnsi="ARIAL"/>
          <w:sz w:val="20"/>
        </w:rPr>
        <w:t xml:space="preserve">to the extent necessary under any applicable law, regulation or exchange requirement with which the Committee determines it is necessary or desirable for the Company to comply, no amendment shall be effective unless approved by the stockholders of the Company in accordance with any such law, regulation or exchange requirement. </w:t>
      </w:r>
    </w:p>
    <w:p>
      <w:pPr>
        <w:pStyle w:val="TextBody"/>
        <w:spacing w:before="240" w:after="0"/>
        <w:jc w:val="left"/>
        <w:rPr>
          <w:rFonts w:ascii="ARIAL" w:hAnsi="ARIAL"/>
          <w:sz w:val="20"/>
        </w:rPr>
      </w:pPr>
      <w:r>
        <w:rPr>
          <w:rFonts w:ascii="ARIAL" w:hAnsi="ARIAL"/>
          <w:sz w:val="20"/>
          <w:u w:val="single"/>
        </w:rPr>
        <w:t>Modification of Options and Awards</w:t>
      </w:r>
      <w:r>
        <w:rPr>
          <w:rFonts w:ascii="ARIAL" w:hAnsi="ARIAL"/>
          <w:sz w:val="20"/>
        </w:rPr>
        <w:t xml:space="preserve">. No modification of an Option or Award shall materially and adversely alter or impair any rights or obligations under the Option or Award without the written consent of the Optionee or Grantee, as the case may be. </w:t>
      </w:r>
    </w:p>
    <w:p>
      <w:pPr>
        <w:pStyle w:val="TextBody"/>
        <w:spacing w:before="240" w:after="0"/>
        <w:jc w:val="left"/>
        <w:rPr>
          <w:rFonts w:ascii="ARIAL" w:hAnsi="ARIAL"/>
          <w:sz w:val="20"/>
        </w:rPr>
      </w:pPr>
      <w:r>
        <w:rPr>
          <w:rFonts w:ascii="ARIAL" w:hAnsi="ARIAL"/>
          <w:sz w:val="20"/>
        </w:rPr>
        <w:t xml:space="preserve">Non-Exclusivity of the Plan. </w:t>
      </w:r>
    </w:p>
    <w:p>
      <w:pPr>
        <w:pStyle w:val="TextBody"/>
        <w:spacing w:before="240" w:after="0"/>
        <w:jc w:val="left"/>
        <w:rPr>
          <w:rFonts w:ascii="ARIAL" w:hAnsi="ARIAL"/>
          <w:sz w:val="20"/>
        </w:rPr>
      </w:pPr>
      <w:r>
        <w:rPr>
          <w:rFonts w:ascii="ARIAL" w:hAnsi="ARIAL"/>
          <w:sz w:val="20"/>
        </w:rPr>
        <w:t xml:space="preserve">The adoption of the Plan by the Board shall not be construed as amending, modifying or rescinding any previously approved incentive arrangement or as creating any limitations on the power of the Board to adopt such other incentive arrangements as it may deem desirable, including, without limitation, the granting of stock options otherwise than under the Plan, and such arrangements may be either applicable generally or only in specific cases. </w:t>
      </w:r>
    </w:p>
    <w:p>
      <w:pPr>
        <w:pStyle w:val="TextBody"/>
        <w:spacing w:before="0" w:after="0"/>
        <w:jc w:val="left"/>
        <w:rPr/>
      </w:pPr>
      <w:r>
        <w:rPr/>
        <w:t> </w:t>
      </w:r>
    </w:p>
    <w:p>
      <w:pPr>
        <w:pStyle w:val="TextBody"/>
        <w:spacing w:before="0" w:after="0"/>
        <w:jc w:val="center"/>
        <w:rPr>
          <w:rFonts w:ascii="ARIAL" w:hAnsi="ARIAL"/>
          <w:sz w:val="22"/>
        </w:rPr>
      </w:pPr>
      <w:r>
        <w:rPr>
          <w:rFonts w:ascii="ARIAL" w:hAnsi="ARIAL"/>
          <w:sz w:val="22"/>
        </w:rPr>
        <w:t xml:space="preserve">B-20 </w:t>
      </w:r>
      <w:r>
        <w:br w:type="page"/>
      </w:r>
    </w:p>
    <w:p>
      <w:pPr>
        <w:pStyle w:val="HorizontalLine"/>
        <w:rPr/>
      </w:pPr>
      <w:r>
        <w:rPr/>
      </w:r>
    </w:p>
    <w:p>
      <w:pPr>
        <w:pStyle w:val="TextBody"/>
        <w:spacing w:before="0" w:after="0"/>
        <w:jc w:val="left"/>
        <w:rPr>
          <w:rFonts w:ascii="ARIAL" w:hAnsi="ARIAL"/>
          <w:sz w:val="20"/>
        </w:rPr>
      </w:pPr>
      <w:r>
        <w:rPr>
          <w:rFonts w:ascii="ARIAL" w:hAnsi="ARIAL"/>
          <w:sz w:val="20"/>
        </w:rPr>
        <w:t xml:space="preserve">Limitation of Liability. </w:t>
      </w:r>
    </w:p>
    <w:p>
      <w:pPr>
        <w:pStyle w:val="TextBody"/>
        <w:spacing w:before="240" w:after="0"/>
        <w:jc w:val="left"/>
        <w:rPr>
          <w:rFonts w:ascii="ARIAL" w:hAnsi="ARIAL"/>
          <w:sz w:val="20"/>
        </w:rPr>
      </w:pPr>
      <w:r>
        <w:rPr>
          <w:rFonts w:ascii="ARIAL" w:hAnsi="ARIAL"/>
          <w:sz w:val="20"/>
        </w:rPr>
        <w:t xml:space="preserve">As illustrative of the limitations of liability of the Company, but not intended to be exhaustive thereof, nothing in the Plan shall be construed to: </w:t>
      </w:r>
    </w:p>
    <w:p>
      <w:pPr>
        <w:pStyle w:val="TextBody"/>
        <w:spacing w:before="240" w:after="0"/>
        <w:jc w:val="left"/>
        <w:rPr>
          <w:rFonts w:ascii="ARIAL" w:hAnsi="ARIAL"/>
          <w:sz w:val="20"/>
        </w:rPr>
      </w:pPr>
      <w:r>
        <w:rPr>
          <w:rFonts w:ascii="ARIAL" w:hAnsi="ARIAL"/>
          <w:sz w:val="20"/>
        </w:rPr>
        <w:t xml:space="preserve">give any person any right to be granted an Option or Award other than at the sole discretion of the Committee; </w:t>
      </w:r>
    </w:p>
    <w:p>
      <w:pPr>
        <w:pStyle w:val="TextBody"/>
        <w:spacing w:before="240" w:after="0"/>
        <w:jc w:val="left"/>
        <w:rPr>
          <w:rFonts w:ascii="ARIAL" w:hAnsi="ARIAL"/>
          <w:sz w:val="20"/>
        </w:rPr>
      </w:pPr>
      <w:r>
        <w:rPr>
          <w:rFonts w:ascii="ARIAL" w:hAnsi="ARIAL"/>
          <w:sz w:val="20"/>
        </w:rPr>
        <w:t xml:space="preserve">give any person any rights whatsoever with respect to Shares except as specifically provided in the Plan; </w:t>
      </w:r>
    </w:p>
    <w:p>
      <w:pPr>
        <w:pStyle w:val="TextBody"/>
        <w:spacing w:before="240" w:after="0"/>
        <w:jc w:val="left"/>
        <w:rPr>
          <w:rFonts w:ascii="ARIAL" w:hAnsi="ARIAL"/>
          <w:sz w:val="20"/>
        </w:rPr>
      </w:pPr>
      <w:r>
        <w:rPr>
          <w:rFonts w:ascii="ARIAL" w:hAnsi="ARIAL"/>
          <w:sz w:val="20"/>
        </w:rPr>
        <w:t xml:space="preserve">limit in any way the right of the Company or any Subsidiary to terminate the employment of any person at any time; or </w:t>
      </w:r>
    </w:p>
    <w:p>
      <w:pPr>
        <w:pStyle w:val="TextBody"/>
        <w:spacing w:before="240" w:after="0"/>
        <w:jc w:val="left"/>
        <w:rPr>
          <w:rFonts w:ascii="ARIAL" w:hAnsi="ARIAL"/>
          <w:sz w:val="20"/>
        </w:rPr>
      </w:pPr>
      <w:r>
        <w:rPr>
          <w:rFonts w:ascii="ARIAL" w:hAnsi="ARIAL"/>
          <w:sz w:val="20"/>
        </w:rPr>
        <w:t xml:space="preserve">be evidence of any agreement or understanding, expressed or implied, that the Company will employ any person at any particular rate of compensation or for any particular period of time. </w:t>
      </w:r>
    </w:p>
    <w:p>
      <w:pPr>
        <w:pStyle w:val="TextBody"/>
        <w:spacing w:before="240" w:after="0"/>
        <w:jc w:val="left"/>
        <w:rPr>
          <w:rFonts w:ascii="ARIAL" w:hAnsi="ARIAL"/>
          <w:sz w:val="20"/>
        </w:rPr>
      </w:pPr>
      <w:r>
        <w:rPr>
          <w:rFonts w:ascii="ARIAL" w:hAnsi="ARIAL"/>
          <w:sz w:val="20"/>
        </w:rPr>
        <w:t xml:space="preserve">Regulations and Other Approvals; Governing Law. </w:t>
      </w:r>
    </w:p>
    <w:p>
      <w:pPr>
        <w:pStyle w:val="TextBody"/>
        <w:spacing w:before="240" w:after="0"/>
        <w:jc w:val="left"/>
        <w:rPr>
          <w:rFonts w:ascii="ARIAL" w:hAnsi="ARIAL"/>
          <w:sz w:val="20"/>
        </w:rPr>
      </w:pPr>
      <w:r>
        <w:rPr>
          <w:rFonts w:ascii="ARIAL" w:hAnsi="ARIAL"/>
          <w:sz w:val="20"/>
        </w:rPr>
        <w:t xml:space="preserve">Except as to matters of federal law, the Plan and the rights of all persons claiming hereunder shall be construed and determined in accordance with the laws of the State of Delaware without giving effect to conflicts of laws principles thereof. </w:t>
      </w:r>
    </w:p>
    <w:p>
      <w:pPr>
        <w:pStyle w:val="TextBody"/>
        <w:spacing w:before="240" w:after="0"/>
        <w:jc w:val="left"/>
        <w:rPr>
          <w:rFonts w:ascii="ARIAL" w:hAnsi="ARIAL"/>
          <w:sz w:val="20"/>
        </w:rPr>
      </w:pPr>
      <w:r>
        <w:rPr>
          <w:rFonts w:ascii="ARIAL" w:hAnsi="ARIAL"/>
          <w:sz w:val="20"/>
        </w:rPr>
        <w:t xml:space="preserve">The obligation of the Company to sell or deliver Shares with respect to Options and Awards granted under the Plan shall be subject to all applicable laws, rules and regulations, including all applicable federal and state securities laws, and the obtaining of all such approvals by governmental agencies as may be deemed necessary or appropriate by the Committee. </w:t>
      </w:r>
    </w:p>
    <w:p>
      <w:pPr>
        <w:pStyle w:val="TextBody"/>
        <w:spacing w:before="240" w:after="0"/>
        <w:jc w:val="left"/>
        <w:rPr>
          <w:rFonts w:ascii="ARIAL" w:hAnsi="ARIAL"/>
          <w:sz w:val="20"/>
        </w:rPr>
      </w:pPr>
      <w:r>
        <w:rPr>
          <w:rFonts w:ascii="ARIAL" w:hAnsi="ARIAL"/>
          <w:sz w:val="20"/>
        </w:rPr>
        <w:t xml:space="preserve">The Board may make such changes as may be necessary or appropriate to comply with the rules and regulations of any government authority, or to obtain for Eligible Individuals granted Incentive Stock Options the tax benefits under the applicable provisions of the Code and regulations promulgated thereunder. </w:t>
      </w:r>
    </w:p>
    <w:p>
      <w:pPr>
        <w:pStyle w:val="TextBody"/>
        <w:spacing w:before="240" w:after="0"/>
        <w:jc w:val="left"/>
        <w:rPr>
          <w:rFonts w:ascii="ARIAL" w:hAnsi="ARIAL"/>
          <w:sz w:val="20"/>
        </w:rPr>
      </w:pPr>
      <w:r>
        <w:rPr>
          <w:rFonts w:ascii="ARIAL" w:hAnsi="ARIAL"/>
          <w:sz w:val="20"/>
        </w:rPr>
        <w:t xml:space="preserve">Each Option and Award is subject to the requirement that, if at any time the Committee determines, in its discretion, that the listing, registration or qualification of Shares issuable pursuant to the Plan is required by any securities exchange or under any state or federal law, or the consent or approval of any governmental regulatory body is necessary or desirable as a condition of, or in connection with, the grant of an Option or Award or the issuance of Shares, no Options or Awards shall be granted or payment made or Shares issued, in whole or in part, unless listing, registration, qualification, consent or approval has been effected or obtained free of any conditions as acceptable to the Committee. </w:t>
      </w:r>
    </w:p>
    <w:p>
      <w:pPr>
        <w:pStyle w:val="TextBody"/>
        <w:spacing w:before="240" w:after="0"/>
        <w:jc w:val="left"/>
        <w:rPr>
          <w:rFonts w:ascii="ARIAL" w:hAnsi="ARIAL"/>
          <w:sz w:val="20"/>
        </w:rPr>
      </w:pPr>
      <w:r>
        <w:rPr>
          <w:rFonts w:ascii="ARIAL" w:hAnsi="ARIAL"/>
          <w:sz w:val="20"/>
        </w:rPr>
        <w:t xml:space="preserve">Notwithstanding anything contained in the Plan or any Agreement to the contrary, in the event that the disposition of Shares acquired pursuant to the Plan is not covered by a then current registration statement under the Securities Act of 1933, as amended (the “Securities Act”), and is not otherwise exempt from such registration, such Shares shall be restricted against transfer to the extent required by the Securities Act and Rule 144 or other regulations thereunder. The Committee may require any individual receiving Shares pursuant to an Option or Award granted under the Plan, as a condition precedent to receipt of such Shares, to represent and warrant to the Company in writing that the Shares acquired by such individual are acquired without a view to any distribution thereof and will not be sold or transferred other than pursuant to an effective registration thereof under the Securities Act or pursuant to an exemption applicable under the Securities Act or the rules and regulations promulgated thereunder. </w:t>
      </w:r>
    </w:p>
    <w:p>
      <w:pPr>
        <w:pStyle w:val="TextBody"/>
        <w:spacing w:before="0" w:after="0"/>
        <w:jc w:val="left"/>
        <w:rPr/>
      </w:pPr>
      <w:r>
        <w:rPr/>
        <w:t> </w:t>
      </w:r>
    </w:p>
    <w:p>
      <w:pPr>
        <w:pStyle w:val="TextBody"/>
        <w:spacing w:before="0" w:after="0"/>
        <w:jc w:val="center"/>
        <w:rPr>
          <w:rFonts w:ascii="ARIAL" w:hAnsi="ARIAL"/>
          <w:sz w:val="22"/>
        </w:rPr>
      </w:pPr>
      <w:r>
        <w:rPr>
          <w:rFonts w:ascii="ARIAL" w:hAnsi="ARIAL"/>
          <w:sz w:val="22"/>
        </w:rPr>
        <w:t xml:space="preserve">B-21 </w:t>
      </w:r>
      <w:r>
        <w:br w:type="page"/>
      </w:r>
    </w:p>
    <w:p>
      <w:pPr>
        <w:pStyle w:val="HorizontalLine"/>
        <w:rPr/>
      </w:pPr>
      <w:r>
        <w:rPr/>
      </w:r>
    </w:p>
    <w:p>
      <w:pPr>
        <w:pStyle w:val="TextBody"/>
        <w:spacing w:before="0" w:after="0"/>
        <w:jc w:val="left"/>
        <w:rPr>
          <w:rFonts w:ascii="ARIAL" w:hAnsi="ARIAL"/>
          <w:sz w:val="20"/>
        </w:rPr>
      </w:pPr>
      <w:r>
        <w:rPr>
          <w:rFonts w:ascii="ARIAL" w:hAnsi="ARIAL"/>
          <w:sz w:val="20"/>
        </w:rPr>
        <w:t xml:space="preserve">The certificates evidencing any such Shares shall be appropriately amended or have an appropriate legend placed thereon to reflect their status as restricted securities as aforesaid. </w:t>
      </w:r>
    </w:p>
    <w:p>
      <w:pPr>
        <w:pStyle w:val="TextBody"/>
        <w:spacing w:before="240" w:after="0"/>
        <w:jc w:val="left"/>
        <w:rPr>
          <w:rFonts w:ascii="ARIAL" w:hAnsi="ARIAL"/>
          <w:sz w:val="20"/>
        </w:rPr>
      </w:pPr>
      <w:r>
        <w:rPr>
          <w:rFonts w:ascii="ARIAL" w:hAnsi="ARIAL"/>
          <w:sz w:val="20"/>
          <w:u w:val="single"/>
        </w:rPr>
        <w:t>Compliance With Section 409A</w:t>
      </w:r>
      <w:r>
        <w:rPr>
          <w:rFonts w:ascii="ARIAL" w:hAnsi="ARIAL"/>
          <w:sz w:val="20"/>
        </w:rPr>
        <w:t xml:space="preserve">. All Options and Awards granted under the plan are intended either not to be subject to Section 409A of the Code or, if subject to Section 409A of the Code, to be administered, operated and construed in compliance with Section 409A of the Code and any guidance issued thereunder. Notwithstanding this or any other provision of the Plan to the contrary, the Committee may amend the Plan or any Option or Award granted hereunder in any manner, or take any other action, that it determines, in its sole discretion, is necessary, appropriate or advisable to cause the Plan or any Option or Award granted hereunder to comply with Section 409A and any guidance issued thereunder. In the event that it is reasonably determined by the Board or Committee that, as a result of Section 409A of the Code, payments in respect of any Award under the Plan may not be made at the time contemplated by the terms of the Plan or the relevant Agreement, as the case may be, without causing the Grantee holding such Award to be subject to taxation under Section 409A of the Code, the Company will make such payment on the first day that would not result in the Grantee incurring any tax liability under Section 409A of the Code; which, if the Grantee is a “specified employee” within the meaning of the Section 409A, generally shall be the first day following the six-month period beginning on the date of Grantee’s termination of employment. Any such action, once taken, shall be deemed to be effective from the earliest date necessary to avoid a violation of Section 409A and shall be final, binding and conclusive on all Eligible Individuals and other individuals having or claiming any right or interest under the Plan. Although the Company intends to administer the Plan so that Awards will be exempt from, or will comply with, the requirements of Section 409A of the Code, the Company does not warrant that any Award under the Plan will qualify for favorable tax treatment under Section 409A of the Code or any other provision of federal, state, local or foreign law. The Company shall not be liable to any Grantee for any tax, interest, or penalties that Grantee might owe as a result of the grant, holding, vesting, exercise, or payment of any Award under the Plan. </w:t>
      </w:r>
    </w:p>
    <w:p>
      <w:pPr>
        <w:pStyle w:val="TextBody"/>
        <w:spacing w:before="240" w:after="0"/>
        <w:jc w:val="left"/>
        <w:rPr>
          <w:rFonts w:ascii="ARIAL" w:hAnsi="ARIAL"/>
          <w:sz w:val="20"/>
        </w:rPr>
      </w:pPr>
      <w:r>
        <w:rPr>
          <w:rFonts w:ascii="ARIAL" w:hAnsi="ARIAL"/>
          <w:sz w:val="20"/>
        </w:rPr>
        <w:t xml:space="preserve">Miscellaneous. </w:t>
      </w:r>
    </w:p>
    <w:p>
      <w:pPr>
        <w:pStyle w:val="TextBody"/>
        <w:spacing w:before="240" w:after="0"/>
        <w:jc w:val="left"/>
        <w:rPr>
          <w:rFonts w:ascii="ARIAL" w:hAnsi="ARIAL"/>
          <w:sz w:val="20"/>
        </w:rPr>
      </w:pPr>
      <w:r>
        <w:rPr>
          <w:rFonts w:ascii="ARIAL" w:hAnsi="ARIAL"/>
          <w:sz w:val="20"/>
          <w:u w:val="single"/>
        </w:rPr>
        <w:t>Forfeiture and Clawback Provisions</w:t>
      </w:r>
      <w:r>
        <w:rPr>
          <w:rFonts w:ascii="ARIAL" w:hAnsi="ARIAL"/>
          <w:sz w:val="20"/>
        </w:rPr>
        <w:t xml:space="preserve">. Pursuant to its general authority to determine the terms and conditions applicable to Options and Awards granted under the Plan, the Committee shall have the right to provide, in an Agreement, or to require a Grantee to agree by separate written or electronic instrument at or after grant, that all Options and Awards (including any proceeds, gains or other economic benefit actually or constructively received by the Grantee upon any receipt or exercise of any Option or Award or upon the receipt or resale of any Shares underlying the Option or Award) will be subject to repayment or reimbursement to the extent set forth in any recoupment or clawback provisions which may be included in any such Agreement or separate instrument. In addition, without limiting the foregoing, any Option or Award granted pursuant to this Plan shall be subject to forfeiture, repayment, reimbursement or other recoupment by the Grantee to the Company (i) to the extent provided in the Company’s current Clawback Policy, as it may be amended from time to time (the “Current Clawback Policy”), (ii) to the extent that Grantee in the future becomes subject to any other recoupment or clawback policy hereafter adopted by the Company, including any such policy (or amended version of the Current Clawback Policy) adopted by the Company to comply with the requirements of any applicable laws, rules or regulations, including pursuant to final SEC rules and/or final New York Stock Exchange listing standards with respect to recoupment adopted in connection with the Dodd-Frank Wall Street Reform and Consumer Protection Act (such final rules and final New York Stock Exchange listing standards, the “Dodd-Frank Clawback Requirements”) (such policies referenced in clause (i) or this clause (ii), collectively, the “Policies”), or (iii) to the extent provided under any applicable laws which impose mandatory recoupment, under circumstances set forth in such applicable laws, including pursuant to the Sarbanes-Oxley Act of 2002 and the Dodd-Frank Clawback Requirements. The Company may utilize any method of recovery specified in the Policies in connection with any Award recoupment required or permitted under the Policies. </w:t>
      </w:r>
    </w:p>
    <w:p>
      <w:pPr>
        <w:pStyle w:val="TextBody"/>
        <w:spacing w:before="0" w:after="0"/>
        <w:jc w:val="left"/>
        <w:rPr/>
      </w:pPr>
      <w:r>
        <w:rPr/>
        <w:t> </w:t>
      </w:r>
    </w:p>
    <w:p>
      <w:pPr>
        <w:pStyle w:val="TextBody"/>
        <w:spacing w:before="0" w:after="0"/>
        <w:jc w:val="center"/>
        <w:rPr>
          <w:rFonts w:ascii="ARIAL" w:hAnsi="ARIAL"/>
          <w:sz w:val="22"/>
        </w:rPr>
      </w:pPr>
      <w:r>
        <w:rPr>
          <w:rFonts w:ascii="ARIAL" w:hAnsi="ARIAL"/>
          <w:sz w:val="22"/>
        </w:rPr>
        <w:t xml:space="preserve">B-22 </w:t>
      </w:r>
      <w:r>
        <w:br w:type="page"/>
      </w:r>
    </w:p>
    <w:p>
      <w:pPr>
        <w:pStyle w:val="HorizontalLine"/>
        <w:rPr/>
      </w:pPr>
      <w:r>
        <w:rPr/>
      </w:r>
    </w:p>
    <w:p>
      <w:pPr>
        <w:pStyle w:val="TextBody"/>
        <w:spacing w:before="0" w:after="0"/>
        <w:jc w:val="left"/>
        <w:rPr>
          <w:rFonts w:ascii="ARIAL" w:hAnsi="ARIAL"/>
          <w:sz w:val="20"/>
        </w:rPr>
      </w:pPr>
      <w:r>
        <w:rPr>
          <w:rFonts w:ascii="ARIAL" w:hAnsi="ARIAL"/>
          <w:sz w:val="20"/>
          <w:u w:val="single"/>
        </w:rPr>
        <w:t>Multiple Agreements</w:t>
      </w:r>
      <w:r>
        <w:rPr>
          <w:rFonts w:ascii="ARIAL" w:hAnsi="ARIAL"/>
          <w:sz w:val="20"/>
        </w:rPr>
        <w:t xml:space="preserve">. The terms of each Option or Award may differ from other Options or Awards granted under the Plan at the same time or at some other time. The Committee may also grant more than one Option or Award to a given Eligible Individual during the term of the Plan, either in addition to, or in substitution for, one or more Options or Awards previously granted to that Eligible Individual. </w:t>
      </w:r>
    </w:p>
    <w:p>
      <w:pPr>
        <w:pStyle w:val="TextBody"/>
        <w:spacing w:before="240" w:after="0"/>
        <w:jc w:val="left"/>
        <w:rPr>
          <w:rFonts w:ascii="ARIAL" w:hAnsi="ARIAL"/>
          <w:sz w:val="20"/>
        </w:rPr>
      </w:pPr>
      <w:r>
        <w:rPr>
          <w:rFonts w:ascii="ARIAL" w:hAnsi="ARIAL"/>
          <w:sz w:val="20"/>
          <w:u w:val="single"/>
        </w:rPr>
        <w:t>Beneficiary Designation</w:t>
      </w:r>
      <w:r>
        <w:rPr>
          <w:rFonts w:ascii="ARIAL" w:hAnsi="ARIAL"/>
          <w:sz w:val="20"/>
        </w:rPr>
        <w:t xml:space="preserve">. Each Optionee or Grantee may, from time to time, name one or more individuals (each, a “Beneficiary”) to whom any benefit under the Plan is to be paid or who may exercise any rights of the Optionee or Grantee under any Option or Award granted under the Plan in the event of the Optionee’s or Grantee’s death before he or she receives any or all of such benefit or exercises such Option. Each such designation shall revoke all prior designations by the same Optionee or Grantee, shall be in a form prescribed by the Company, and will be effective only when filed by the Optionee or Grantee in writing with the Company during the Optionee’s or Grantee’s lifetime. In the absence of any such designation, benefits remaining unpaid at the Optionee’s or Grantee’s death and rights to be exercised following the Optionee’s or Grantee’s death shall be paid to or exercised by the Optionee’s or Grantee’s estate. </w:t>
      </w:r>
    </w:p>
    <w:p>
      <w:pPr>
        <w:pStyle w:val="TextBody"/>
        <w:spacing w:before="240" w:after="0"/>
        <w:jc w:val="left"/>
        <w:rPr>
          <w:rFonts w:ascii="ARIAL" w:hAnsi="ARIAL"/>
          <w:sz w:val="20"/>
        </w:rPr>
      </w:pPr>
      <w:r>
        <w:rPr>
          <w:rFonts w:ascii="ARIAL" w:hAnsi="ARIAL"/>
          <w:sz w:val="20"/>
          <w:u w:val="single"/>
        </w:rPr>
        <w:t>Withholding of Taxes</w:t>
      </w:r>
      <w:r>
        <w:rPr>
          <w:rFonts w:ascii="ARIAL" w:hAnsi="ARIAL"/>
          <w:sz w:val="20"/>
        </w:rPr>
        <w:t xml:space="preserve">. </w:t>
      </w:r>
    </w:p>
    <w:p>
      <w:pPr>
        <w:pStyle w:val="TextBody"/>
        <w:spacing w:before="240" w:after="0"/>
        <w:jc w:val="left"/>
        <w:rPr>
          <w:rFonts w:ascii="ARIAL" w:hAnsi="ARIAL"/>
          <w:sz w:val="20"/>
        </w:rPr>
      </w:pPr>
      <w:r>
        <w:rPr>
          <w:rFonts w:ascii="ARIAL" w:hAnsi="ARIAL"/>
          <w:sz w:val="20"/>
        </w:rPr>
        <w:t xml:space="preserve">At such times as an Optionee or Grantee recognizes taxable income in connection with the receipt of Shares or cash hereunder (a “Taxable Event”), the Optionee or Grantee shall pay to the Company an amount equal to any U.S. federal, state and local and non-U.S. income taxes and other amounts as may be required by law to be withheld by the Company in connection with the Taxable Event (the “Withholding Taxes”) prior to the issuance of such Shares or the payment of such cash. The Company shall have the right to deduct from any payment of cash to an Optionee or Grantee, including other wages, an amount equal to the Withholding Taxes in satisfaction of the obligation to pay Withholding Taxes. The Committee, in its discretion, may provide in an Agreement evidencing an Option or Award at the time of grant, or thereafter, that the Optionee or Grantee may satisfy the obligation to pay Withholding Taxes to the Company in any manner satisfactory to the Committee, including by any Optionee or Grantee electing to have withheld a portion of the Shares issuable to him or her pursuant to the Option or Award having an aggregate Fair Market Value equal to the Withholding Taxes. In the event Shares are withheld by the Company to satisfy any obligation to pay Withholding Taxes, such Shares shall be retired and cancelled and shall not thereafter be available to grant an Option or Award with respect thereto. In determining the procedures by which Shares will be withheld for Withholding Taxes, to the extent required to avoid the Company’s incurring an adverse accounting charge, the amount of any Shares so withheld shall not exceed the amount necessary to satisfy Withholding Taxes determined using the maximum statutory withholding rates for U.S. federal, state and local and/or non-U.S. tax purposes, including payroll taxes, that are applicable to supplemental taxable income. </w:t>
      </w:r>
    </w:p>
    <w:p>
      <w:pPr>
        <w:pStyle w:val="TextBody"/>
        <w:spacing w:before="240" w:after="0"/>
        <w:jc w:val="left"/>
        <w:rPr>
          <w:rFonts w:ascii="ARIAL" w:hAnsi="ARIAL"/>
          <w:sz w:val="20"/>
        </w:rPr>
      </w:pPr>
      <w:r>
        <w:rPr>
          <w:rFonts w:ascii="ARIAL" w:hAnsi="ARIAL"/>
          <w:sz w:val="20"/>
        </w:rPr>
        <w:t xml:space="preserve">If an Optionee makes a disposition, within the meaning of Section 424(c) of the Code and regulations promulgated thereunder, of any Share or Shares issued to such Optionee pursuant to the exercise of an Incentive Stock Option within the two-year period commencing on the day after the date of the grant or within the one-year period commencing on the day after the date of transfer of such Share or Shares to the Optionee pursuant to such exercise, the Optionee shall, within ten (10) days of such disposition, notify the Company thereof, by delivery of written notice to the Company at its principal executive office. </w:t>
      </w:r>
    </w:p>
    <w:p>
      <w:pPr>
        <w:pStyle w:val="TextBody"/>
        <w:spacing w:before="240" w:after="0"/>
        <w:jc w:val="left"/>
        <w:rPr>
          <w:rFonts w:ascii="ARIAL" w:hAnsi="ARIAL"/>
          <w:sz w:val="20"/>
        </w:rPr>
      </w:pPr>
      <w:r>
        <w:rPr>
          <w:rFonts w:ascii="ARIAL" w:hAnsi="ARIAL"/>
          <w:sz w:val="20"/>
          <w:u w:val="single"/>
        </w:rPr>
        <w:t>Data Privacy</w:t>
      </w:r>
      <w:r>
        <w:rPr>
          <w:rFonts w:ascii="ARIAL" w:hAnsi="ARIAL"/>
          <w:i/>
          <w:sz w:val="20"/>
        </w:rPr>
        <w:t xml:space="preserve">. </w:t>
      </w:r>
      <w:r>
        <w:rPr>
          <w:rFonts w:ascii="ARIAL" w:hAnsi="ARIAL"/>
          <w:sz w:val="20"/>
        </w:rPr>
        <w:t xml:space="preserve">As a condition of receipt of any Award, any Optionee or Grantee explicitly and unambiguously consents to the collection, use and transfer, in electronic or other form, of personal data as described in this </w:t>
      </w:r>
      <w:r>
        <w:rPr>
          <w:rFonts w:ascii="ARIAL" w:hAnsi="ARIAL"/>
          <w:sz w:val="20"/>
          <w:u w:val="single"/>
        </w:rPr>
        <w:t>Section 19.5</w:t>
      </w:r>
      <w:r>
        <w:rPr>
          <w:rFonts w:ascii="ARIAL" w:hAnsi="ARIAL"/>
          <w:sz w:val="20"/>
        </w:rPr>
        <w:t xml:space="preserve"> by and among, as applicable, the Company and its Subsidiaries for the exclusive purpose of implementing, administering and managing the Optionee’s or Grantee’s participation in the Plan. The Company and its Subsidiaries may hold certain personal information </w:t>
      </w:r>
    </w:p>
    <w:p>
      <w:pPr>
        <w:pStyle w:val="TextBody"/>
        <w:spacing w:before="0" w:after="0"/>
        <w:jc w:val="left"/>
        <w:rPr/>
      </w:pPr>
      <w:r>
        <w:rPr/>
        <w:t> </w:t>
      </w:r>
    </w:p>
    <w:p>
      <w:pPr>
        <w:pStyle w:val="TextBody"/>
        <w:spacing w:before="0" w:after="0"/>
        <w:jc w:val="center"/>
        <w:rPr>
          <w:rFonts w:ascii="ARIAL" w:hAnsi="ARIAL"/>
          <w:sz w:val="22"/>
        </w:rPr>
      </w:pPr>
      <w:r>
        <w:rPr>
          <w:rFonts w:ascii="ARIAL" w:hAnsi="ARIAL"/>
          <w:sz w:val="22"/>
        </w:rPr>
        <w:t xml:space="preserve">B-23 </w:t>
      </w:r>
      <w:r>
        <w:br w:type="page"/>
      </w:r>
    </w:p>
    <w:p>
      <w:pPr>
        <w:pStyle w:val="HorizontalLine"/>
        <w:rPr/>
      </w:pPr>
      <w:r>
        <w:rPr/>
      </w:r>
    </w:p>
    <w:p>
      <w:pPr>
        <w:pStyle w:val="TextBody"/>
        <w:spacing w:before="0" w:after="0"/>
        <w:jc w:val="left"/>
        <w:rPr>
          <w:rFonts w:ascii="ARIAL" w:hAnsi="ARIAL"/>
          <w:sz w:val="20"/>
        </w:rPr>
      </w:pPr>
      <w:r>
        <w:rPr>
          <w:rFonts w:ascii="ARIAL" w:hAnsi="ARIAL"/>
          <w:sz w:val="20"/>
        </w:rPr>
        <w:t xml:space="preserve">about an Optionee or Grantee, including but not limited to, the Optionee’s or Grantee’s name, home address and telephone number, date of birth, social security or other identification number, salary, nationality, job title(s), any Shares held by Optionee or Grantee, details of all Awards made to Optionee or Grantee, in each case, for the purpose of implementing, managing and administering the Plan and Awards (the “Data”). The Company and its Subsidiaries may transfer the Data amongst themselves as necessary for the purpose of implementation, administration and management of an Optionee’s or Grantee’s participation in the Plan, and the Company and its Subsidiaries may each further transfer the Data to any third parties assisting the Company in the implementation, administration and management of the Plan. These recipients may be located in Optionee’s or Grantee’s country, or elsewhere, and Optionee’s or Grantee’s country may have different data privacy laws and protections than the recipients’ country. Through acceptance of any Award, each Optionee or Grantee authorizes such recipients to receive, possess, use, retain and transfer the Data, in electronic or other form, for the purposes of implementing, administering and managing Optionee’s or Grantee’s participation in the Plan, including any requisite transfer of such Data as may be required to a broker or other third party with whom the Company or Optionee or Grantee may elect to deposit any Shares, for as long as is necessary to implement, administer, and manage the Optionee’s or Grantee’s participation in the Plan, or as required to comply with legal or regulatory obligations, including under tax and security laws. An Optionee or Grantee may, at any time, view the Data held by the Company with respect to such Optionee or Grantee, request additional information about the storage and processing of the Data with respect to such Optionee or Grantee, recommend any necessary corrections to the Data with respect to the Optionee or Grantee or refuse or withdraw the consents herein in writing, in any case without cost, by contacting his or her local human resources representative. The Company may cancel Optionee’s or Grantee’s ability to participate in the Plan and, in the Committee’s discretion, the Optionee or Grantee may forfeit any outstanding Awards, if the Optionee or Grantee refuses or withdraws his or her consents as described herein. </w:t>
      </w:r>
    </w:p>
    <w:p>
      <w:pPr>
        <w:pStyle w:val="TextBody"/>
        <w:spacing w:before="240" w:after="0"/>
        <w:jc w:val="left"/>
        <w:rPr>
          <w:rFonts w:ascii="ARIAL" w:hAnsi="ARIAL"/>
          <w:sz w:val="20"/>
        </w:rPr>
      </w:pPr>
      <w:r>
        <w:rPr>
          <w:rFonts w:ascii="ARIAL" w:hAnsi="ARIAL"/>
          <w:sz w:val="20"/>
          <w:u w:val="single"/>
        </w:rPr>
        <w:t>Effective Date</w:t>
      </w:r>
      <w:r>
        <w:rPr>
          <w:rFonts w:ascii="ARIAL" w:hAnsi="ARIAL"/>
          <w:sz w:val="20"/>
        </w:rPr>
        <w:t xml:space="preserve">. The effective date of this Plan shall be March 22, 2023 (the “Restatement Effective Date”), subject only to the approval by the holders of a majority of the securities of the Company present in person or represented by proxy and entitled to vote thereon at a meeting of stockholders of the Company, in accordance with the applicable laws, within twelve (12) months of the Restatement Effective Date (the “Stockholder Approval”). Subject to such Stockholder Approval, this Plan, as amended and restated hereby, amends and restates the amended and restated Plan dated as of March 17, 2021; provided, however, that except as provided in this Plan, any Awards made prior to the Restatement Effective Date shall be subject to the terms of the Plan as in effect at the time such Award was granted. </w:t>
      </w:r>
    </w:p>
    <w:p>
      <w:pPr>
        <w:pStyle w:val="TextBody"/>
        <w:spacing w:before="0" w:after="0"/>
        <w:jc w:val="left"/>
        <w:rPr/>
      </w:pPr>
      <w:r>
        <w:rPr/>
        <w:t> </w:t>
      </w:r>
    </w:p>
    <w:p>
      <w:pPr>
        <w:pStyle w:val="TextBody"/>
        <w:spacing w:before="0" w:after="0"/>
        <w:jc w:val="center"/>
        <w:rPr>
          <w:rFonts w:ascii="ARIAL" w:hAnsi="ARIAL"/>
          <w:sz w:val="22"/>
        </w:rPr>
      </w:pPr>
      <w:r>
        <w:rPr>
          <w:rFonts w:ascii="ARIAL" w:hAnsi="ARIAL"/>
          <w:sz w:val="22"/>
        </w:rPr>
        <w:t xml:space="preserve">B-24 </w:t>
      </w:r>
      <w:r>
        <w:br w:type="page"/>
      </w:r>
    </w:p>
    <w:p>
      <w:pPr>
        <w:pStyle w:val="HorizontalLine"/>
        <w:rPr/>
      </w:pPr>
      <w:r>
        <w:rPr/>
      </w:r>
    </w:p>
    <w:p>
      <w:pPr>
        <w:pStyle w:val="TextBody"/>
        <w:spacing w:before="0" w:after="0"/>
        <w:jc w:val="center"/>
        <w:rPr/>
      </w:pPr>
      <w:r>
        <w:rPr/>
        <w:drawing>
          <wp:inline distT="0" distB="0" distL="0" distR="0">
            <wp:extent cx="6477000" cy="8382000"/>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embed="rId59"/>
                    <a:stretch>
                      <a:fillRect/>
                    </a:stretch>
                  </pic:blipFill>
                  <pic:spPr bwMode="auto">
                    <a:xfrm>
                      <a:off x="0" y="0"/>
                      <a:ext cx="6477000" cy="8382000"/>
                    </a:xfrm>
                    <a:prstGeom prst="rect">
                      <a:avLst/>
                    </a:prstGeom>
                  </pic:spPr>
                </pic:pic>
              </a:graphicData>
            </a:graphic>
          </wp:inline>
        </w:drawing>
      </w:r>
      <w:r>
        <w:rPr/>
        <w:t xml:space="preserve"> </w:t>
      </w:r>
    </w:p>
    <w:p>
      <w:pPr>
        <w:pStyle w:val="TextBody"/>
        <w:jc w:val="left"/>
        <w:rPr>
          <w:rFonts w:ascii="ARIAL" w:hAnsi="ARIAL"/>
          <w:color w:val="FFFFFF"/>
          <w:sz w:val="2"/>
        </w:rPr>
      </w:pPr>
      <w:r>
        <w:rPr>
          <w:rFonts w:ascii="ARIAL" w:hAnsi="ARIAL"/>
          <w:color w:val="FFFFFF"/>
          <w:sz w:val="2"/>
        </w:rPr>
        <w:t xml:space="preserve">Important Notice Regarding the Availability of Proxy Materials for the Annual Meeting of Stockholders: The Notice and Proxy Statement and Annual Report to Stockholders are available at www.proxyvote.com. V01691-P86334 COMMUNITY HEALTH SYSTEMS, INC. Annual Meeting of Stockholders May 9, 2023 8:00 a.m., Central Time This proxy is solicited by the Board of Directors The undersigned hereby appoints Tim L. Hingtgen and Justin D. Pitt, and each of them, with full power of substitution and power to act alone, as proxies to vote all the shares of Common Stock which the undersigned would be entitled to vote if personally present and acting at the Annual Meeting of Stockholders of Community Health Systems, Inc. (the “Company”) and at any adjournments or postponements thereof (the “Meeting”). The Meeting is scheduled to be held at the Hilton Franklin Cool Springs, 601 Corporate Centre Drive, Franklin, Tennessee 37067 on Tuesday, May 9, 2023, at 8:00 a.m., Central Time. This proxy, when properly executed, will be voted in the manner directed herein. If no such direction is made, this proxy will be voted in accordance with the Board of Directors’ recommendations. Continued and to be signed on reverse side COMMUNITY HEALTH SYSTEMS, INC. 4000 MERIDIAN BOULEVARD FRANKLIN, TN 37067 SCAN TO VIEW MATERIALS &amp; VOTE w ELECTRONIC DELIVERY OF FUTURE PROXY MATERIALS If you would like to reduce the costs as well as the environmental impact of mailing proxy materials, we encourage you to consent to receiving all future proxy statements, proxy cards and annual reports electronically via e-mail or the Internet. To sign up for electronic delivery, please follow the instructions below to vote using the Internet and, when prompted, indicate that you agree to receive or access proxy materials electronically in future years. VOTE BY INTERNET—www.proxyvote.com or scan the QR Barcode above Use the Internet to transmit your voting instructions and for electronic delivery of information up until 11:59 p.m. Eastern Time the day before the cut-off date or meeting date. Have your proxy card in hand when you access the web site and follow the instructions to obtain your records and to create an electronic voting instruction form. VOTE BY PHONE—1-800-690-6903 Use any touch-tone telephone to transmit your voting instructions up until 11:59 p.m. Eastern Time the day before the cut-off date or meeting date. Have your proxy card in hand when you call and then follow the instructions. VOTE BY MAIL Mark, sign and date your proxy card and return it in the postage-paid envelope we have provided or return it to Vote Processing, c/o Broadridge, 51 Mercedes Way, Edgewood, NY 11717. VOTE IN PERSON Many stockholder meetings have attendance requirements including, but not limited to, the possession of an attendance ticket issued by the entity holding the meeting. Please check the meeting materials for any special requirements for meeting attendance. At the meeting, you will need to request a ballot to vote these shares. TO VOTE, MARK BLOCKS BELOW IN BLUE OR BLACK INK AS FOLLOWS: V01690-P86334 KEEP THIS PORTION FOR YOUR RECORDS THIS PROXY CARD IS VALID ONLY WHEN SIGNED AND DATED. DETACH AND RETURN THIS PORTION ONLY COMMUNITY HEALTH SYSTEMS, INC. The Board of Directors recommends you vote FOR the election of the following nominees: 1. Election of Directors Nominees: For Against Abstain 1a. Susan W. Brooks 1b. John A. Clerico 1c. Michael Dinkins 1d. James S. Ely III 1e. John A. Fry 1f. Joseph A. Hastings, D.M.D. 1g. Tim L. Hingtgen 1h. Elizabeth T. Hirsch 1i. William Norris Jennings, M.D. 1j. K. Ranga Krishnan, MBBS 1k. Wayne T. Smith 1l. H. James Williams, Ph.D. The Board of Directors recommends you vote FOR the following proposal: For Against Abstain 2. Proposal to approve on an advisory (non-binding) basis the compensation of the Company’s named executive officers. The Board of Directors recommends that you 1 Year 2 Years 3 Years Abstain vote for 1 YEAR on the following proposal: 3. Proposal to approve on an advisory (non-binding) basis the frequency of future advisory votes on the compensation of the Company’s named executive officers. The Board of Directors recommends that you vote FOR For Against Abstain the following proposal: 4.Proposal to approve the amendment and restatement of the Community Health Systems, Inc. 2009 Stock Option and Award Plan, which was approved by the Board of Directors on March 22, 2023, subject to stockholder approval. The Board of Directors recommends you vote FOR the following proposal: For Against Abstain 5. Proposal to ratify the selection of Deloitte &amp; Touche LLP as the Company’s independent registered public accounting firm for the fiscal year ending December 31, 2023. NOTE: In their discretion, the proxies are authorized to vote upon such other business as may properly come before the Meeting or any postponement or adjournment thereof. 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 Signature [PLEASE SIGN WITHIN BOX] Date Signature (Joint Owners) Date </w:t>
      </w:r>
      <w:r>
        <w:br w:type="page"/>
      </w:r>
    </w:p>
    <w:p>
      <w:pPr>
        <w:pStyle w:val="HorizontalLine"/>
        <w:rPr/>
      </w:pPr>
      <w:r>
        <w:rPr/>
      </w:r>
    </w:p>
    <w:p>
      <w:pPr>
        <w:pStyle w:val="TextBody"/>
        <w:spacing w:before="0" w:after="0"/>
        <w:jc w:val="center"/>
        <w:rPr/>
      </w:pPr>
      <w:r>
        <w:rPr/>
        <w:drawing>
          <wp:inline distT="0" distB="0" distL="0" distR="0">
            <wp:extent cx="6477000" cy="8382000"/>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embed="rId60"/>
                    <a:stretch>
                      <a:fillRect/>
                    </a:stretch>
                  </pic:blipFill>
                  <pic:spPr bwMode="auto">
                    <a:xfrm>
                      <a:off x="0" y="0"/>
                      <a:ext cx="6477000" cy="8382000"/>
                    </a:xfrm>
                    <a:prstGeom prst="rect">
                      <a:avLst/>
                    </a:prstGeom>
                  </pic:spPr>
                </pic:pic>
              </a:graphicData>
            </a:graphic>
          </wp:inline>
        </w:drawing>
      </w:r>
      <w:r>
        <w:rPr/>
        <w:t xml:space="preserve"> </w:t>
      </w:r>
    </w:p>
    <w:p>
      <w:pPr>
        <w:pStyle w:val="TextBody"/>
        <w:jc w:val="left"/>
        <w:rPr>
          <w:rFonts w:ascii="ARIAL" w:hAnsi="ARIAL"/>
          <w:color w:val="FFFFFF"/>
          <w:sz w:val="2"/>
        </w:rPr>
      </w:pPr>
      <w:r>
        <w:rPr>
          <w:rFonts w:ascii="ARIAL" w:hAnsi="ARIAL"/>
          <w:color w:val="FFFFFF"/>
          <w:sz w:val="2"/>
        </w:rPr>
        <w:t xml:space="preserve">Important Notice Regarding the Availability of Proxy Materials for the Annual Meeting of Stockholders: The Notice and Proxy Statement and Annual Report to Stockholders are available at www.proxyvote.com. V01691-P86334 COMMUNITY HEALTH SYSTEMS, INC. Annual Meeting of Stockholders May 9, 2023 8:00 a.m., Central Time This proxy is solicited by the Board of Directors The undersigned hereby appoints Tim L. Hingtgen and Justin D. Pitt, and each of them, with full power of substitution and power to act alone, as proxies to vote all the shares of Common Stock which the undersigned would be entitled to vote if personally present and acting at the Annual Meeting of Stockholders of Community Health Systems, Inc. (the “Company”) and at any adjournments or postponements thereof (the “Meeting”). The Meeting is scheduled to be held at the Hilton Franklin Cool Springs, 601 Corporate Centre Drive, Franklin, Tennessee 37067 on Tuesday, May 9, 2023, at 8:00 a.m., Central Time. This proxy, when properly executed, will be voted in the manner directed herein. If no such direction is made, this proxy will be voted in accordance with the Board of Directors’ recommendations. Continued and to be signed on reverse side COMMUNITY HEALTH SYSTEMS, INC. 4000 MERIDIAN BOULEVARD FRANKLIN, TN 37067 SCAN TO VIEW MATERIALS &amp; VOTE w ELECTRONIC DELIVERY OF FUTURE PROXY MATERIALS If you would like to reduce the costs as well as the environmental impact of mailing proxy materials, we encourage you to consent to receiving all future proxy statements, proxy cards and annual reports electronically via e-mail or the Internet. To sign up for electronic delivery, please follow the instructions below to vote using the Internet and, when prompted, indicate that you agree to receive or access proxy materials electronically in future years. VOTE BY INTERNET—www.proxyvote.com or scan the QR Barcode above Use the Internet to transmit your voting instructions and for electronic delivery of information up until 11:59 p.m. Eastern Time the day before the cut-off date or meeting date. Have your proxy card in hand when you access the web site and follow the instructions to obtain your records and to create an electronic voting instruction form. VOTE BY PHONE—1-800-690-6903 Use any touch-tone telephone to transmit your voting instructions up until 11:59 p.m. Eastern Time the day before the cut-off date or meeting date. Have your proxy card in hand when you call and then follow the instructions. VOTE BY MAIL Mark, sign and date your proxy card and return it in the postage-paid envelope we have provided or return it to Vote Processing, c/o Broadridge, 51 Mercedes Way, Edgewood, NY 11717. VOTE IN PERSON Many stockholder meetings have attendance requirements including, but not limited to, the possession of an attendance ticket issued by the entity holding the meeting. Please check the meeting materials for any special requirements for meeting attendance. At the meeting, you will need to request a ballot to vote these shares. TO VOTE, MARK BLOCKS BELOW IN BLUE OR BLACK INK AS FOLLOWS: V01690-P86334 KEEP THIS PORTION FOR YOUR RECORDS THIS PROXY CARD IS VALID ONLY WHEN SIGNED AND DATED. DETACH AND RETURN THIS PORTION ONLY COMMUNITY HEALTH SYSTEMS, INC. The Board of Directors recommends you vote FOR the election of the following nominees: 1. Election of Directors Nominees: For Against Abstain 1a. Susan W. Brooks 1b. John A. Clerico 1c. Michael Dinkins 1d. James S. Ely III 1e. John A. Fry 1f. Joseph A. Hastings, D.M.D. 1g. Tim L. Hingtgen 1h. Elizabeth T. Hirsch 1i. William Norris Jennings, M.D. 1j. K. Ranga Krishnan, MBBS 1k. Wayne T. Smith 1l. H. James Williams, Ph.D. The Board of Directors recommends you vote FOR the following proposal: For Against Abstain 2. Proposal to approve on an advisory (non-binding) basis the compensation of the Company’s named executive officers. The Board of Directors recommends that you 1 Year 2 Years 3 Years Abstain vote for 1 YEAR on the following proposal: 3. Proposal to approve on an advisory (non-binding) basis the frequency of future advisory votes on the compensation of the Company’s named executive officers. The Board of Directors recommends that you vote FOR For Against Abstain the following proposal: 4. Proposal to approve the amendment and restatement of the Community Health Systems, Inc. 2009 Stock Option and Award Plan, which was approved by the Board of Directors on March 22, 2023, subject to stockholder approval. The Board of Directors recommends you vote FOR the following proposal: For Against Abstain 5. Proposal to ratify the selection of Deloitte &amp; Touche LLP as the Company’s independent registered public accounting firm for the fiscal year ending December 31, 2023. NOTE: In their discretion, the proxies are authorized to vote upon such other business as may properly come before the Meeting or any postponement or adjournment thereof. 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 Signature [PLEASE SIGN WITHIN BOX] Date Signature (Joint Owners) Date </w:t>
      </w:r>
    </w:p>
    <w:p>
      <w:pPr>
        <w:pStyle w:val="TextBody"/>
        <w:spacing w:before="0" w:after="0"/>
        <w:jc w:val="left"/>
        <w:rPr/>
      </w:pPr>
      <w:r>
        <w:rPr/>
        <w:t> </w: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charset w:val="00"/>
    <w:family w:val="auto"/>
    <w:pitch w:val="default"/>
  </w:font>
  <w:font w:name="Times New Roman">
    <w:charset w:val="00"/>
    <w:family w:val="auto"/>
    <w:pitch w:val="default"/>
  </w:font>
  <w:font w:name="aria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image" Target="media/image55.jpeg"/><Relationship Id="rId57" Type="http://schemas.openxmlformats.org/officeDocument/2006/relationships/image" Target="media/image56.jpeg"/><Relationship Id="rId58" Type="http://schemas.openxmlformats.org/officeDocument/2006/relationships/image" Target="media/image57.jpeg"/><Relationship Id="rId59" Type="http://schemas.openxmlformats.org/officeDocument/2006/relationships/image" Target="media/image58.jpeg"/><Relationship Id="rId60" Type="http://schemas.openxmlformats.org/officeDocument/2006/relationships/image" Target="media/image59.jpeg"/><Relationship Id="rId61" Type="http://schemas.openxmlformats.org/officeDocument/2006/relationships/fontTable" Target="fontTable.xml"/><Relationship Id="rId6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141</Pages>
  <Words>75651</Words>
  <CharactersWithSpaces>488243</CharactersWithSpaces>
  <Paragraphs>8930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