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75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75043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Krishnan K Ranga</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4000 MERIDIAN BOULEVARD</w:t>
            </w:r>
          </w:p>
        </w:tc>
        <w:tc>
          <w:tcPr>
            <w:tcW w:w="560" w:type="dxa"/>
            <w:vAlign w:val="bottom"/>
          </w:tcPr>
          <w:p>
            <w:pPr>
              <w:spacing w:after="0"/>
              <w:rPr>
                <w:sz w:val="22"/>
                <w:szCs w:val="22"/>
                <w:color w:val="auto"/>
              </w:rPr>
            </w:pPr>
          </w:p>
        </w:tc>
      </w:tr>
      <w:tr>
        <w:trPr>
          <w:trHeight w:val="47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FRANKLIN</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TN</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37067</w:t>
            </w:r>
          </w:p>
        </w:tc>
      </w:tr>
      <w:tr>
        <w:trPr>
          <w:trHeight w:val="459"/>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COMMUNITY HEALTH SYSTEMS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6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 xml:space="preserve">CYH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78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5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03/01/2026</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3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jc w:val="right"/>
              <w:ind w:right="264"/>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109,143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5"/>
                <w:szCs w:val="15"/>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6"/>
                <w:szCs w:val="16"/>
                <w:color w:val="0000FF"/>
              </w:rPr>
              <w:t>52,023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03/01/2026</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4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52,023</w:t>
            </w: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63"/>
              <w:spacing w:after="0" w:line="139" w:lineRule="exact"/>
              <w:rPr>
                <w:sz w:val="20"/>
                <w:szCs w:val="20"/>
                <w:color w:val="auto"/>
              </w:rPr>
            </w:pPr>
            <w:r>
              <w:rPr>
                <w:rFonts w:ascii="Times New Roman" w:cs="Times New Roman" w:eastAsia="Times New Roman" w:hAnsi="Times New Roman"/>
                <w:sz w:val="13"/>
                <w:szCs w:val="13"/>
                <w:color w:val="0000FF"/>
              </w:rPr>
              <w:t>275,271</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(2)</w:t>
            </w:r>
          </w:p>
        </w:tc>
        <w:tc>
          <w:tcPr>
            <w:tcW w:w="300" w:type="dxa"/>
            <w:vAlign w:val="bottom"/>
          </w:tcPr>
          <w:p>
            <w:pPr>
              <w:spacing w:after="0"/>
              <w:rPr>
                <w:sz w:val="20"/>
                <w:szCs w:val="20"/>
                <w:color w:val="auto"/>
              </w:rPr>
            </w:pPr>
          </w:p>
        </w:tc>
        <w:tc>
          <w:tcPr>
            <w:tcW w:w="5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69,653.39</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0000FF"/>
              </w:rPr>
              <w:t>69,653.39</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(SU)</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-2072640</wp:posOffset>
            </wp:positionV>
            <wp:extent cx="28575" cy="2077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77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2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1/3 increments on the first, second and third anniversary of the date of grant. Based on the Reporting Person's prior deferral elections pursuant to the terms of the award agreement, these restricted stock units will be settled in shares of the Issuer's common stock on a one-for-one basis upon the Reporting Person's cessation as a director or upon a date or dates previously specified by the Reporting Person.</w:t>
      </w:r>
    </w:p>
    <w:p>
      <w:pPr>
        <w:spacing w:after="0" w:line="26" w:lineRule="exact"/>
        <w:rPr>
          <w:rFonts w:ascii="Times New Roman" w:cs="Times New Roman" w:eastAsia="Times New Roman" w:hAnsi="Times New Roman"/>
          <w:sz w:val="13"/>
          <w:szCs w:val="13"/>
          <w:color w:val="008000"/>
        </w:rPr>
      </w:pPr>
    </w:p>
    <w:p>
      <w:pPr>
        <w:ind w:left="40" w:right="2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units were accrued under the Issuer's Directors' Fees Deferral Plan in lieu of a portion of the Reporting Person's director cash compensation and are settled in shares of the Issuer's common stock on a one-for-one basis on the last business day of the calendar quarter following Reporting Person's cessation as a director or upon a date or dates previously specified by the Reporting Person.</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Christopher G. Cobb,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03/03/2026</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 Fact for K. Ranga Krishnan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 all by these presents, that the undersigned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and/or director (herein, the Filer)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COMMUNITY HEALTH SYSTEMS, INC., (the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hereby constitutes and appoints each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JUSTIN D. PITT, JASON K. JOHNSON, CHRISTOPHER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 COBB and CAROL R. CLIFTON, signing singly,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Filer's true and lawful attorney-in-fact to:</w:t>
      </w:r>
    </w:p>
    <w:p>
      <w:pPr>
        <w:spacing w:after="0" w:line="2" w:lineRule="exact"/>
        <w:rPr>
          <w:sz w:val="20"/>
          <w:szCs w:val="20"/>
          <w:color w:val="auto"/>
        </w:rPr>
      </w:pPr>
    </w:p>
    <w:p>
      <w:pPr>
        <w:ind w:right="6699" w:firstLine="1"/>
        <w:spacing w:after="0" w:line="248"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execute for and on behalf of the Filer, a FORM ID (or any such form as may be adopted) for the purpose of obtaining on behalf of Filer, a CIK, CCC and other filing codes and related items from the Securities and Exchange Commission (the SEC) as necessary to permit each such Filer to make filings on the SEC's Electronic Data Gathering, Analysis and Retrieval system, and to perform all acts necessary in order to obtain such codes and related items as he or she shall deem appropriate; 2. execute for and on behalf</w:t>
      </w:r>
    </w:p>
    <w:p>
      <w:pPr>
        <w:spacing w:after="0" w:line="3" w:lineRule="exact"/>
        <w:rPr>
          <w:rFonts w:ascii="Times New Roman" w:cs="Times New Roman" w:eastAsia="Times New Roman" w:hAnsi="Times New Roman"/>
          <w:sz w:val="18"/>
          <w:szCs w:val="18"/>
          <w:color w:val="auto"/>
        </w:rPr>
      </w:pPr>
    </w:p>
    <w:p>
      <w:pPr>
        <w:ind w:right="663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of the Filer, in the Filer's capacity as an officer and/or director of the Company, Forms 3, 4, and 5 in accordance with Section 16(a) of the Securities Exchange Act of 1934 and the rules thereunder; 3. execute for and on behalf of the Filer, in the Filer's capacity as an officer and/or director of the Company one or more notices on Form 144 relating to any orders or instructions to sell securities of the Company in accordance with Rule 144 under the Securities Act of 1933 and the rules thereunder; 4. do and perform any and all acts for and on behalf of the Filer which may be necessary or desirable to complete and execute any such Form 3, 4, 5, or 144, complete and execute any amendment or amendments thereto, and timely file such form with the United States Securities and Exchange Commission and any stock exchange or similar authority; and 5. take any other action of any type whatsoever in connection with the foregoing which, in the opinion of such attorney-in-fact, may be of benefit to, in the best interest of,</w:t>
      </w:r>
    </w:p>
    <w:p>
      <w:pPr>
        <w:spacing w:after="0" w:line="195" w:lineRule="exact"/>
        <w:rPr>
          <w:rFonts w:ascii="Times New Roman" w:cs="Times New Roman" w:eastAsia="Times New Roman" w:hAnsi="Times New Roman"/>
          <w:sz w:val="18"/>
          <w:szCs w:val="18"/>
          <w:color w:val="auto"/>
        </w:rPr>
      </w:pPr>
    </w:p>
    <w:p>
      <w:pPr>
        <w:ind w:right="6639"/>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legally required by the Filer in his or her capacity as an officer and/or director of the Company, it being understood that the documents executed by such attorney-in-fact on behalf of the Filer pursuant to this Power of Attorney shall be in such form and shall contain such terms and conditions as such attorney-in-fact may approve in such attorney-in-fact's discretion. The Filer hereby grants to each such attorney-in-fact full power and authority to do</w:t>
      </w:r>
    </w:p>
    <w:p>
      <w:pPr>
        <w:spacing w:after="0" w:line="8" w:lineRule="exact"/>
        <w:rPr>
          <w:rFonts w:ascii="Times New Roman" w:cs="Times New Roman" w:eastAsia="Times New Roman" w:hAnsi="Times New Roman"/>
          <w:sz w:val="18"/>
          <w:szCs w:val="18"/>
          <w:color w:val="auto"/>
        </w:rPr>
      </w:pPr>
    </w:p>
    <w:p>
      <w:pPr>
        <w:ind w:right="6459"/>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and perform any and every act and thing whatsoever requisite, necessary, or proper to be done in the exercise of any of the rights and powers herein granted, as fully to all intents and purposes as</w:t>
      </w:r>
    </w:p>
    <w:p>
      <w:pPr>
        <w:spacing w:after="0" w:line="1" w:lineRule="exact"/>
        <w:rPr>
          <w:rFonts w:ascii="Times New Roman" w:cs="Times New Roman" w:eastAsia="Times New Roman" w:hAnsi="Times New Roman"/>
          <w:sz w:val="18"/>
          <w:szCs w:val="18"/>
          <w:color w:val="auto"/>
        </w:rPr>
      </w:pPr>
    </w:p>
    <w:p>
      <w:pPr>
        <w:ind w:right="67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might or could do if personally present, with full power of substitution or revocation, hereby ratifying and confirming all that such attorney-in-fact, or such attorney-in-fact's substitute or substitutes, shall lawfully do or cause to be done by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435610</wp:posOffset>
            </wp:positionV>
            <wp:extent cx="699579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5795" cy="41275"/>
                    </a:xfrm>
                    <a:prstGeom prst="rect">
                      <a:avLst/>
                    </a:prstGeom>
                    <a:noFill/>
                  </pic:spPr>
                </pic:pic>
              </a:graphicData>
            </a:graphic>
          </wp:anchor>
        </w:drawing>
      </w:r>
    </w:p>
    <w:p>
      <w:pPr>
        <w:sectPr>
          <w:pgSz w:w="11900" w:h="16838" w:orient="portrait"/>
          <w:cols w:equalWidth="0" w:num="1">
            <w:col w:w="9999"/>
          </w:cols>
          <w:pgMar w:left="460" w:top="73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of this power of attorney and the rights and powers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 granted. The Filer acknowledges that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foregoing attorneys-in-fact, in serving in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capacity at the request of the Filer, are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assuming, nor is the Company assuming, any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Filer's responsibilities to comply with Section 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Securities Exchange Act of 1934 or Rule 144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Securities Act of 1933. This Power of Attorney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remain in full force and effect until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Filer is no longer required to file Forms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4, 5, or 144 with respect to the Filer's holdings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and transactions in securities issued by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unless earlier revoked by the Filer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signed writing delivered to the foregoing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attorneys-in-fact.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the Filer has caused this Power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Attorney to be executed as of this 9th day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 Ranga Krishnan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Ranga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443230</wp:posOffset>
            </wp:positionV>
            <wp:extent cx="699579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5795" cy="41275"/>
                    </a:xfrm>
                    <a:prstGeom prst="rect">
                      <a:avLst/>
                    </a:prstGeom>
                    <a:noFill/>
                  </pic:spPr>
                </pic:pic>
              </a:graphicData>
            </a:graphic>
          </wp:anchor>
        </w:drawing>
      </w:r>
    </w:p>
    <w:sectPr>
      <w:pgSz w:w="11900" w:h="16838" w:orient="portrait"/>
      <w:cols w:equalWidth="0" w:num="1">
        <w:col w:w="9999"/>
      </w:cols>
      <w:pgMar w:left="460" w:top="7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4829" TargetMode="External"/><Relationship Id="rId14" Type="http://schemas.openxmlformats.org/officeDocument/2006/relationships/hyperlink" Target="http://www.sec.gov/cgi-bin/browse-edgar?action=getcompany&amp;CIK=0001108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2026-03-03T15:57:03Z</dcterms:created>
  <dcterms:modified xsi:type="dcterms:W3CDTF">2026-03-03T15:57:03Z</dcterms:modified>
</cp:coreProperties>
</file>