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COMMUNITY HEALTH SYSTEMS,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001-15925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13-3893191</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ind w:left="964"/>
        <w:spacing w:after="0"/>
        <w:rPr>
          <w:sz w:val="20"/>
          <w:szCs w:val="20"/>
          <w:color w:val="auto"/>
        </w:rPr>
      </w:pPr>
      <w:r>
        <w:rPr>
          <w:rFonts w:ascii="Arial" w:cs="Arial" w:eastAsia="Arial" w:hAnsi="Arial"/>
          <w:sz w:val="13"/>
          <w:szCs w:val="13"/>
          <w:b w:val="1"/>
          <w:bCs w:val="1"/>
          <w:color w:val="auto"/>
        </w:rPr>
        <w:t>(State or other jurisdiction of</w:t>
      </w:r>
    </w:p>
    <w:p>
      <w:pPr>
        <w:ind w:left="92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17" w:lineRule="exact"/>
        <w:rPr>
          <w:sz w:val="24"/>
          <w:szCs w:val="24"/>
          <w:color w:val="auto"/>
        </w:rPr>
      </w:pPr>
    </w:p>
    <w:p>
      <w:pPr>
        <w:ind w:left="4524"/>
        <w:spacing w:after="0"/>
        <w:rPr>
          <w:sz w:val="20"/>
          <w:szCs w:val="20"/>
          <w:color w:val="auto"/>
        </w:rPr>
      </w:pPr>
      <w:r>
        <w:rPr>
          <w:rFonts w:ascii="Arial" w:cs="Arial" w:eastAsia="Arial" w:hAnsi="Arial"/>
          <w:sz w:val="18"/>
          <w:szCs w:val="18"/>
          <w:b w:val="1"/>
          <w:bCs w:val="1"/>
          <w:color w:val="auto"/>
        </w:rPr>
        <w:t>4000 Meridian Boulevard</w:t>
      </w:r>
    </w:p>
    <w:p>
      <w:pPr>
        <w:spacing w:after="0" w:line="27" w:lineRule="exact"/>
        <w:rPr>
          <w:sz w:val="24"/>
          <w:szCs w:val="24"/>
          <w:color w:val="auto"/>
        </w:rPr>
      </w:pPr>
    </w:p>
    <w:p>
      <w:pPr>
        <w:ind w:left="4504"/>
        <w:spacing w:after="0"/>
        <w:rPr>
          <w:sz w:val="20"/>
          <w:szCs w:val="20"/>
          <w:color w:val="auto"/>
        </w:rPr>
      </w:pPr>
      <w:r>
        <w:rPr>
          <w:rFonts w:ascii="Arial" w:cs="Arial" w:eastAsia="Arial" w:hAnsi="Arial"/>
          <w:sz w:val="17"/>
          <w:szCs w:val="17"/>
          <w:b w:val="1"/>
          <w:bCs w:val="1"/>
          <w:color w:val="auto"/>
        </w:rPr>
        <w:t>Franklin, Tennessee 37067</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024"/>
          </w:cols>
          <w:pgMar w:left="436" w:top="382" w:right="439" w:bottom="1440" w:gutter="0" w:footer="0" w:header="0"/>
          <w:type w:val="continuous"/>
        </w:sectPr>
      </w:pPr>
    </w:p>
    <w:p>
      <w:pPr>
        <w:spacing w:after="0" w:line="2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(615) 465-7000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CYH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Community Health Systems, Inc. (the “Company”) was recently notified by Fortra, LLC, a third party vendor of the Company, that Fortra had experienced a security incident that resulted in the unauthorized disclosure of Company data. Fortra is a cybersecurity firm that contracts with Company affiliates to provide a secure file transfer software called GoAnywhere. As a result of the security breach experienced by Fortra, Protected Health Information (“PHI”) (as defined by the Health Insurance Portability and Accountability Act (“HIPAA”)) and “Personal Information” (“PI”) of certain patients of the Company’s affiliates were exposed by Fortra’s attacker.</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Upon receiving notification of the security breach, the Company promptly launched an investigation, including to determine whether any Company information systems were affected, whether there was any impact to ongoing operations, and whether and to what extent PHI or PI had been unlawfully accessed by the attacker. While that investigation is still ongoing, the Company believes that the Fortra breach has not had any impact on any of the Company’s information systems and that there has not been any material interruption of the Company’s business operations, including the delivery of patient care. With regard to the PHI and PI compromised by the Fortra breach, the Company currently estimates that approximately one million individuals may have been affected by this attack.</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will ensure that appropriate notification is provided to any individuals affected by this attack, as well as to regulatory agencies as required by federal and state law. The Company will also be offering identity theft protection services to individuals affected by this attack. The Company carries cyber/privacy liability insurance to protect it against certain losses related to matters of this nature. However, the Company may have incurred, and may incur in the future, expenses and losses related to this incident that are not covered by insurance. While the Company is continuing to measure the impact, including certain remediation expenses and other potential liabilities, the Company does not currently believe this incident will have a material adverse effect on its business, operations, or financial results.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Current Report on Form 8-K contains forward-looking statements within the meaning of Section 27A of the Securities Act of 1933, as amended, Section 21E of the Securities Exchange Act of 1934, as amended, and the Private Securities Litigation Reform Act of 1995 that involve risk and uncertainties. These forward-looking statements are based on our current beliefs, understandings and expectations and may relate to, among other things, statements regarding our current beliefs, understanding and expectations regarding this cyber incident and its impact on our business, operations and financial results. These forward-looking statements are neither promises nor guarantees, but are subject to a variety of risks and uncertainties, many of which are beyond our control, which could cause actual results to differ materially from those contemplated in these forward-looking statements. Factors that could cause actual results to differ materially from those expressed or implied include legal, reputational, and financial risks resulting from this cyber incident, our ongoing investigation of the incident, including the Company’s potential discovery of additional information related to the incident in connection with this investigation, any potential regulatory inquiries and/or litigation to which the Company may become subject in connection with this incident, the extent of remediation and other additional costs that may be incurred by the Company in connection with this incident, and the risks set forth in our Annual Report on Form 10-K for the year ended December 31, 2021, filed with the Securities and Exchange Commission on February 17, 2022, and our other filings with the Securities and Exchange Commission. The Company undertakes no obligation to revise or update any forward-looking statements, or to make any other forward-looking statements, whether as a result of new information, future events or otherwise.</w:t>
      </w:r>
    </w:p>
    <w:p>
      <w:pPr>
        <w:sectPr>
          <w:pgSz w:w="11900" w:h="16838" w:orient="portrait"/>
          <w:cols w:equalWidth="0" w:num="1">
            <w:col w:w="10980"/>
          </w:cols>
          <w:pgMar w:left="440" w:top="297"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Date: February 13, 2023</w:t>
            </w:r>
          </w:p>
        </w:tc>
        <w:tc>
          <w:tcPr>
            <w:tcW w:w="8120" w:type="dxa"/>
            <w:vAlign w:val="bottom"/>
            <w:gridSpan w:val="3"/>
          </w:tcPr>
          <w:p>
            <w:pPr>
              <w:ind w:left="1140"/>
              <w:spacing w:after="0"/>
              <w:rPr>
                <w:sz w:val="20"/>
                <w:szCs w:val="20"/>
                <w:color w:val="auto"/>
              </w:rPr>
            </w:pPr>
            <w:r>
              <w:rPr>
                <w:rFonts w:ascii="Arial" w:cs="Arial" w:eastAsia="Arial" w:hAnsi="Arial"/>
                <w:sz w:val="18"/>
                <w:szCs w:val="18"/>
                <w:color w:val="auto"/>
              </w:rPr>
              <w:t>COMMUNITY HEALTH SYSTEMS, INC.</w:t>
            </w:r>
          </w:p>
        </w:tc>
      </w:tr>
      <w:tr>
        <w:trPr>
          <w:trHeight w:val="230"/>
        </w:trPr>
        <w:tc>
          <w:tcPr>
            <w:tcW w:w="2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660" w:type="dxa"/>
            <w:vAlign w:val="bottom"/>
            <w:gridSpan w:val="2"/>
          </w:tcPr>
          <w:p>
            <w:pPr>
              <w:ind w:left="40"/>
              <w:spacing w:after="0"/>
              <w:rPr>
                <w:sz w:val="20"/>
                <w:szCs w:val="20"/>
                <w:color w:val="auto"/>
              </w:rPr>
            </w:pPr>
            <w:r>
              <w:rPr>
                <w:rFonts w:ascii="Arial" w:cs="Arial" w:eastAsia="Arial" w:hAnsi="Arial"/>
                <w:sz w:val="18"/>
                <w:szCs w:val="18"/>
                <w:color w:val="auto"/>
              </w:rPr>
              <w:t>(Registrant)</w:t>
            </w:r>
          </w:p>
        </w:tc>
      </w:tr>
      <w:tr>
        <w:trPr>
          <w:trHeight w:val="432"/>
        </w:trPr>
        <w:tc>
          <w:tcPr>
            <w:tcW w:w="2900" w:type="dxa"/>
            <w:vAlign w:val="bottom"/>
          </w:tcPr>
          <w:p>
            <w:pPr>
              <w:spacing w:after="0"/>
              <w:rPr>
                <w:sz w:val="24"/>
                <w:szCs w:val="24"/>
                <w:color w:val="auto"/>
              </w:rPr>
            </w:pPr>
          </w:p>
        </w:tc>
        <w:tc>
          <w:tcPr>
            <w:tcW w:w="1460" w:type="dxa"/>
            <w:vAlign w:val="bottom"/>
          </w:tcPr>
          <w:p>
            <w:pPr>
              <w:ind w:left="1140"/>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6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Tim L. Hingtgen</w:t>
            </w:r>
          </w:p>
        </w:tc>
      </w:tr>
      <w:tr>
        <w:trPr>
          <w:trHeight w:val="209"/>
        </w:trPr>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Tim L. Hingtgen</w:t>
            </w:r>
          </w:p>
        </w:tc>
      </w:tr>
      <w:tr>
        <w:trPr>
          <w:trHeight w:val="216"/>
        </w:trPr>
        <w:tc>
          <w:tcPr>
            <w:tcW w:w="2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2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2023-02-13T15:14:49Z</dcterms:created>
  <dcterms:modified xsi:type="dcterms:W3CDTF">2023-02-13T15:14:49Z</dcterms:modified>
</cp:coreProperties>
</file>