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5" w:lineRule="exact"/>
        <w:rPr>
          <w:sz w:val="24"/>
          <w:szCs w:val="24"/>
          <w:color w:val="auto"/>
        </w:rPr>
      </w:pPr>
    </w:p>
    <w:p>
      <w:pPr>
        <w:ind w:left="32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-177800</wp:posOffset>
            </wp:positionV>
            <wp:extent cx="116205" cy="116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24" w:lineRule="exact"/>
        <w:rPr>
          <w:sz w:val="24"/>
          <w:szCs w:val="24"/>
          <w:color w:val="auto"/>
        </w:rPr>
      </w:pPr>
    </w:p>
    <w:p>
      <w:pPr>
        <w:ind w:left="320" w:right="60"/>
        <w:spacing w:after="0" w:line="23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-547370</wp:posOffset>
            </wp:positionV>
            <wp:extent cx="116205" cy="116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jc w:val="center"/>
              <w:ind w:right="32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5"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20" w:type="dxa"/>
            <w:vAlign w:val="bottom"/>
            <w:vMerge w:val="restart"/>
          </w:tcPr>
          <w:p>
            <w:pPr>
              <w:jc w:val="center"/>
              <w:ind w:right="32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5159375</wp:posOffset>
            </wp:positionH>
            <wp:positionV relativeFrom="paragraph">
              <wp:posOffset>-593090</wp:posOffset>
            </wp:positionV>
            <wp:extent cx="5651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642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-593090</wp:posOffset>
            </wp:positionV>
            <wp:extent cx="56515" cy="606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642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-1753235</wp:posOffset>
            </wp:positionH>
            <wp:positionV relativeFrom="paragraph">
              <wp:posOffset>628015</wp:posOffset>
            </wp:positionV>
            <wp:extent cx="7000875" cy="434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875" cy="4342130"/>
                    </a:xfrm>
                    <a:prstGeom prst="rect">
                      <a:avLst/>
                    </a:prstGeom>
                    <a:noFill/>
                  </pic:spPr>
                </pic:pic>
              </a:graphicData>
            </a:graphic>
          </wp:anchor>
        </w:drawing>
      </w:r>
    </w:p>
    <w:p>
      <w:pPr>
        <w:spacing w:after="0" w:line="1054" w:lineRule="exact"/>
        <w:rPr>
          <w:sz w:val="24"/>
          <w:szCs w:val="24"/>
          <w:color w:val="auto"/>
        </w:rPr>
      </w:pPr>
    </w:p>
    <w:p>
      <w:pPr>
        <w:sectPr>
          <w:pgSz w:w="11900" w:h="16838" w:orient="portrait"/>
          <w:cols w:equalWidth="0" w:num="2">
            <w:col w:w="2320" w:space="420"/>
            <w:col w:w="8340"/>
          </w:cols>
          <w:pgMar w:left="460" w:top="212"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Krishnan K Ranga</w:t>
        </w:r>
      </w:hyperlink>
    </w:p>
    <w:p>
      <w:pPr>
        <w:spacing w:after="0" w:line="27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2"/>
                <w:szCs w:val="12"/>
                <w:color w:val="auto"/>
              </w:rPr>
              <w:t>(Last)</w:t>
            </w:r>
          </w:p>
        </w:tc>
        <w:tc>
          <w:tcPr>
            <w:tcW w:w="1280" w:type="dxa"/>
            <w:vAlign w:val="bottom"/>
          </w:tcPr>
          <w:p>
            <w:pPr>
              <w:ind w:left="200"/>
              <w:spacing w:after="0"/>
              <w:rPr>
                <w:sz w:val="20"/>
                <w:szCs w:val="20"/>
                <w:color w:val="auto"/>
              </w:rPr>
            </w:pPr>
            <w:r>
              <w:rPr>
                <w:rFonts w:ascii="Arial" w:cs="Arial" w:eastAsia="Arial" w:hAnsi="Arial"/>
                <w:sz w:val="12"/>
                <w:szCs w:val="12"/>
                <w:color w:val="auto"/>
              </w:rPr>
              <w:t>(First)</w:t>
            </w:r>
          </w:p>
        </w:tc>
        <w:tc>
          <w:tcPr>
            <w:tcW w:w="1360" w:type="dxa"/>
            <w:vAlign w:val="bottom"/>
          </w:tcPr>
          <w:p>
            <w:pPr>
              <w:ind w:left="160"/>
              <w:spacing w:after="0"/>
              <w:rPr>
                <w:sz w:val="20"/>
                <w:szCs w:val="20"/>
                <w:color w:val="auto"/>
              </w:rPr>
            </w:pPr>
            <w:r>
              <w:rPr>
                <w:rFonts w:ascii="Arial" w:cs="Arial" w:eastAsia="Arial" w:hAnsi="Arial"/>
                <w:sz w:val="12"/>
                <w:szCs w:val="12"/>
                <w:color w:val="auto"/>
              </w:rPr>
              <w:t>(Middle)</w:t>
            </w:r>
          </w:p>
        </w:tc>
      </w:tr>
      <w:tr>
        <w:trPr>
          <w:trHeight w:val="254"/>
        </w:trPr>
        <w:tc>
          <w:tcPr>
            <w:tcW w:w="20" w:type="dxa"/>
            <w:vAlign w:val="bottom"/>
          </w:tcPr>
          <w:p>
            <w:pPr>
              <w:spacing w:after="0"/>
              <w:rPr>
                <w:sz w:val="22"/>
                <w:szCs w:val="22"/>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4000 MERIDIAN BOULEVARD</w:t>
            </w:r>
          </w:p>
        </w:tc>
        <w:tc>
          <w:tcPr>
            <w:tcW w:w="1360" w:type="dxa"/>
            <w:vAlign w:val="bottom"/>
          </w:tcPr>
          <w:p>
            <w:pPr>
              <w:spacing w:after="0"/>
              <w:rPr>
                <w:sz w:val="22"/>
                <w:szCs w:val="22"/>
                <w:color w:val="auto"/>
              </w:rPr>
            </w:pPr>
          </w:p>
        </w:tc>
      </w:tr>
      <w:tr>
        <w:trPr>
          <w:trHeight w:val="188"/>
        </w:trPr>
        <w:tc>
          <w:tcPr>
            <w:tcW w:w="20" w:type="dxa"/>
            <w:vAlign w:val="bottom"/>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1360" w:type="dxa"/>
            <w:vAlign w:val="bottom"/>
            <w:tcBorders>
              <w:bottom w:val="single" w:sz="8" w:color="9A9A9A"/>
            </w:tcBorders>
          </w:tcPr>
          <w:p>
            <w:pPr>
              <w:spacing w:after="0"/>
              <w:rPr>
                <w:sz w:val="16"/>
                <w:szCs w:val="16"/>
                <w:color w:val="auto"/>
              </w:rPr>
            </w:pPr>
          </w:p>
        </w:tc>
      </w:tr>
      <w:tr>
        <w:trPr>
          <w:trHeight w:val="245"/>
        </w:trPr>
        <w:tc>
          <w:tcPr>
            <w:tcW w:w="10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2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17"/>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0000FF"/>
              </w:rPr>
              <w:t>FRANKLIN</w:t>
            </w:r>
          </w:p>
        </w:tc>
        <w:tc>
          <w:tcPr>
            <w:tcW w:w="12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TN</w:t>
            </w:r>
          </w:p>
        </w:tc>
        <w:tc>
          <w:tcPr>
            <w:tcW w:w="13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37067</w:t>
            </w:r>
          </w:p>
        </w:tc>
      </w:tr>
      <w:tr>
        <w:trPr>
          <w:trHeight w:val="13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r>
      <w:tr>
        <w:trPr>
          <w:trHeight w:val="282"/>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2"/>
                <w:szCs w:val="12"/>
                <w:color w:val="auto"/>
              </w:rPr>
              <w:t>(City)</w:t>
            </w:r>
          </w:p>
        </w:tc>
        <w:tc>
          <w:tcPr>
            <w:tcW w:w="1280" w:type="dxa"/>
            <w:vAlign w:val="bottom"/>
          </w:tcPr>
          <w:p>
            <w:pPr>
              <w:ind w:left="200"/>
              <w:spacing w:after="0"/>
              <w:rPr>
                <w:sz w:val="20"/>
                <w:szCs w:val="20"/>
                <w:color w:val="auto"/>
              </w:rPr>
            </w:pPr>
            <w:r>
              <w:rPr>
                <w:rFonts w:ascii="Arial" w:cs="Arial" w:eastAsia="Arial" w:hAnsi="Arial"/>
                <w:sz w:val="12"/>
                <w:szCs w:val="12"/>
                <w:color w:val="auto"/>
              </w:rPr>
              <w:t>(State)</w:t>
            </w:r>
          </w:p>
        </w:tc>
        <w:tc>
          <w:tcPr>
            <w:tcW w:w="1360" w:type="dxa"/>
            <w:vAlign w:val="bottom"/>
          </w:tcPr>
          <w:p>
            <w:pPr>
              <w:ind w:left="16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3780" w:type="dxa"/>
            <w:vAlign w:val="bottom"/>
            <w:gridSpan w:val="3"/>
          </w:tcPr>
          <w:p>
            <w:pPr>
              <w:spacing w:after="0" w:line="134"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COMMUNITY HEALTH SYSTEMS INC </w:t>
              </w:r>
            </w:hyperlink>
            <w:r>
              <w:rPr>
                <w:rFonts w:ascii="Times New Roman" w:cs="Times New Roman" w:eastAsia="Times New Roman" w:hAnsi="Times New Roman"/>
                <w:sz w:val="15"/>
                <w:szCs w:val="15"/>
                <w:color w:val="000000"/>
              </w:rPr>
              <w:t>[</w:t>
            </w:r>
          </w:p>
        </w:tc>
        <w:tc>
          <w:tcPr>
            <w:tcW w:w="180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240" w:type="dxa"/>
            <w:vAlign w:val="bottom"/>
            <w:tcBorders>
              <w:bottom w:val="single" w:sz="8" w:color="0000EE"/>
            </w:tcBorders>
          </w:tcPr>
          <w:p>
            <w:pPr>
              <w:spacing w:after="0"/>
              <w:rPr>
                <w:sz w:val="3"/>
                <w:szCs w:val="3"/>
                <w:color w:val="auto"/>
              </w:rPr>
            </w:pPr>
          </w:p>
        </w:tc>
        <w:tc>
          <w:tcPr>
            <w:tcW w:w="420" w:type="dxa"/>
            <w:vAlign w:val="bottom"/>
          </w:tcPr>
          <w:p>
            <w:pPr>
              <w:spacing w:after="0"/>
              <w:rPr>
                <w:sz w:val="3"/>
                <w:szCs w:val="3"/>
                <w:color w:val="auto"/>
              </w:rPr>
            </w:pPr>
          </w:p>
        </w:tc>
        <w:tc>
          <w:tcPr>
            <w:tcW w:w="180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1500" w:type="dxa"/>
            <w:vAlign w:val="bottom"/>
            <w:vMerge w:val="restart"/>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 xml:space="preserve">CYH </w:t>
            </w:r>
            <w:r>
              <w:rPr>
                <w:rFonts w:ascii="Times New Roman" w:cs="Times New Roman" w:eastAsia="Times New Roman" w:hAnsi="Times New Roman"/>
                <w:sz w:val="19"/>
                <w:szCs w:val="19"/>
                <w:color w:val="000000"/>
              </w:rPr>
              <w:t>]</w:t>
            </w:r>
          </w:p>
        </w:tc>
        <w:tc>
          <w:tcPr>
            <w:tcW w:w="18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60" w:type="dxa"/>
            <w:vAlign w:val="bottom"/>
          </w:tcPr>
          <w:p>
            <w:pPr>
              <w:spacing w:after="0"/>
              <w:rPr>
                <w:sz w:val="9"/>
                <w:szCs w:val="9"/>
                <w:color w:val="auto"/>
              </w:rPr>
            </w:pPr>
          </w:p>
        </w:tc>
        <w:tc>
          <w:tcPr>
            <w:tcW w:w="3780" w:type="dxa"/>
            <w:vAlign w:val="bottom"/>
            <w:gridSpan w:val="3"/>
            <w:vMerge w:val="continue"/>
          </w:tcPr>
          <w:p>
            <w:pPr>
              <w:spacing w:after="0"/>
              <w:rPr>
                <w:sz w:val="9"/>
                <w:szCs w:val="9"/>
                <w:color w:val="auto"/>
              </w:rPr>
            </w:pPr>
          </w:p>
        </w:tc>
        <w:tc>
          <w:tcPr>
            <w:tcW w:w="180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500" w:type="dxa"/>
            <w:vAlign w:val="bottom"/>
            <w:vMerge w:val="restart"/>
          </w:tcPr>
          <w:p>
            <w:pPr>
              <w:ind w:left="3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2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800" w:type="dxa"/>
            <w:vAlign w:val="bottom"/>
          </w:tcPr>
          <w:p>
            <w:pPr>
              <w:ind w:left="580"/>
              <w:spacing w:after="0"/>
              <w:rPr>
                <w:sz w:val="20"/>
                <w:szCs w:val="20"/>
                <w:color w:val="auto"/>
              </w:rPr>
            </w:pPr>
            <w:r>
              <w:rPr>
                <w:rFonts w:ascii="Arial" w:cs="Arial" w:eastAsia="Arial" w:hAnsi="Arial"/>
                <w:sz w:val="12"/>
                <w:szCs w:val="12"/>
                <w:color w:val="auto"/>
              </w:rPr>
              <w:t>below)</w:t>
            </w:r>
          </w:p>
        </w:tc>
        <w:tc>
          <w:tcPr>
            <w:tcW w:w="1500" w:type="dxa"/>
            <w:vAlign w:val="bottom"/>
          </w:tcPr>
          <w:p>
            <w:pPr>
              <w:ind w:left="3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70"/>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06/30/2026</w:t>
            </w:r>
          </w:p>
        </w:tc>
        <w:tc>
          <w:tcPr>
            <w:tcW w:w="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24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300" w:type="dxa"/>
            <w:vAlign w:val="bottom"/>
            <w:tcBorders>
              <w:bottom w:val="single" w:sz="8" w:color="2C2C2C"/>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363" w:lineRule="exact"/>
        <w:rPr>
          <w:sz w:val="24"/>
          <w:szCs w:val="24"/>
          <w:color w:val="auto"/>
        </w:rPr>
      </w:pPr>
    </w:p>
    <w:p>
      <w:pPr>
        <w:sectPr>
          <w:pgSz w:w="11900" w:h="16838" w:orient="portrait"/>
          <w:cols w:equalWidth="0" w:num="2">
            <w:col w:w="3760" w:space="80"/>
            <w:col w:w="7240"/>
          </w:cols>
          <w:pgMar w:left="460" w:top="212"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420" w:type="dxa"/>
            <w:vAlign w:val="bottom"/>
            <w:gridSpan w:val="3"/>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00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2. Transaction</w:t>
            </w:r>
          </w:p>
        </w:tc>
        <w:tc>
          <w:tcPr>
            <w:tcW w:w="180" w:type="dxa"/>
            <w:vAlign w:val="bottom"/>
          </w:tcPr>
          <w:p>
            <w:pPr>
              <w:spacing w:after="0"/>
              <w:rPr>
                <w:sz w:val="12"/>
                <w:szCs w:val="12"/>
                <w:color w:val="auto"/>
              </w:rPr>
            </w:pPr>
          </w:p>
        </w:tc>
        <w:tc>
          <w:tcPr>
            <w:tcW w:w="88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2"/>
                <w:szCs w:val="12"/>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60" w:type="dxa"/>
            <w:vAlign w:val="bottom"/>
          </w:tcPr>
          <w:p>
            <w:pPr>
              <w:spacing w:after="0"/>
              <w:rPr>
                <w:sz w:val="12"/>
                <w:szCs w:val="12"/>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8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700" w:type="dxa"/>
            <w:vAlign w:val="bottom"/>
            <w:gridSpan w:val="6"/>
          </w:tcPr>
          <w:p>
            <w:pPr>
              <w:ind w:left="8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8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0"/>
                <w:szCs w:val="10"/>
                <w:color w:val="auto"/>
              </w:rPr>
            </w:pPr>
          </w:p>
        </w:tc>
        <w:tc>
          <w:tcPr>
            <w:tcW w:w="68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4"/>
              </w:rPr>
              <w:t>Code (Instr.</w:t>
            </w: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(Month/Day/Year)  8)</w:t>
            </w: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80" w:type="dxa"/>
            <w:vAlign w:val="bottom"/>
            <w:gridSpan w:val="2"/>
            <w:vMerge w:val="restart"/>
          </w:tcPr>
          <w:p>
            <w:pPr>
              <w:ind w:left="40"/>
              <w:spacing w:after="0" w:line="122"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2"/>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3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jc w:val="right"/>
              <w:ind w:right="209"/>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14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7"/>
        </w:trPr>
        <w:tc>
          <w:tcPr>
            <w:tcW w:w="140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6"/>
                <w:szCs w:val="16"/>
                <w:color w:val="0000FF"/>
                <w:w w:val="98"/>
              </w:rPr>
              <w:t>06/30/2026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94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6"/>
                <w:szCs w:val="16"/>
                <w:color w:val="0000FF"/>
              </w:rPr>
              <w:t>13,930</w:t>
            </w:r>
            <w:r>
              <w:rPr>
                <w:rFonts w:ascii="Times New Roman" w:cs="Times New Roman" w:eastAsia="Times New Roman" w:hAnsi="Times New Roman"/>
                <w:sz w:val="20"/>
                <w:szCs w:val="20"/>
                <w:color w:val="008000"/>
                <w:vertAlign w:val="superscript"/>
              </w:rPr>
              <w:t>(1)</w:t>
            </w:r>
          </w:p>
        </w:tc>
        <w:tc>
          <w:tcPr>
            <w:tcW w:w="3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00" w:type="dxa"/>
            <w:vAlign w:val="bottom"/>
            <w:tcBorders>
              <w:bottom w:val="single" w:sz="8" w:color="2C2C2C"/>
            </w:tcBorders>
            <w:gridSpan w:val="3"/>
          </w:tcPr>
          <w:p>
            <w:pPr>
              <w:jc w:val="right"/>
              <w:ind w:right="304"/>
              <w:spacing w:after="0"/>
              <w:rPr>
                <w:sz w:val="20"/>
                <w:szCs w:val="20"/>
                <w:color w:val="auto"/>
              </w:rPr>
            </w:pPr>
            <w:r>
              <w:rPr>
                <w:rFonts w:ascii="Times New Roman" w:cs="Times New Roman" w:eastAsia="Times New Roman" w:hAnsi="Times New Roman"/>
                <w:sz w:val="16"/>
                <w:szCs w:val="16"/>
                <w:color w:val="0000FF"/>
              </w:rPr>
              <w:t>170,023</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40" w:type="dxa"/>
            <w:vAlign w:val="bottom"/>
            <w:gridSpan w:val="14"/>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00" w:type="dxa"/>
            <w:vAlign w:val="bottom"/>
            <w:gridSpan w:val="12"/>
          </w:tcPr>
          <w:p>
            <w:pPr>
              <w:ind w:left="9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2"/>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3"/>
          </w:tcPr>
          <w:p>
            <w:pPr>
              <w:ind w:left="10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2"/>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84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Acquired (A) or</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2"/>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7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Disposed of (D)</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line="122"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2"/>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7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3, 4 and 5)</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3"/>
          </w:tcPr>
          <w:p>
            <w:pPr>
              <w:ind w:left="100"/>
              <w:spacing w:after="0" w:line="122"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5"/>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gridSpan w:val="2"/>
            <w:vMerge w:val="restart"/>
          </w:tcPr>
          <w:p>
            <w:pPr>
              <w:spacing w:after="0" w:line="122" w:lineRule="exact"/>
              <w:rPr>
                <w:sz w:val="20"/>
                <w:szCs w:val="20"/>
                <w:color w:val="auto"/>
              </w:rPr>
            </w:pPr>
            <w:r>
              <w:rPr>
                <w:rFonts w:ascii="Arial" w:cs="Arial" w:eastAsia="Arial" w:hAnsi="Arial"/>
                <w:sz w:val="11"/>
                <w:szCs w:val="11"/>
                <w:b w:val="1"/>
                <w:bCs w:val="1"/>
                <w:color w:val="auto"/>
              </w:rPr>
              <w:t>Reported</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2" w:lineRule="exact"/>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line="122"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w w:val="91"/>
              </w:rPr>
              <w:t>(A)</w:t>
            </w:r>
          </w:p>
        </w:tc>
        <w:tc>
          <w:tcPr>
            <w:tcW w:w="880" w:type="dxa"/>
            <w:vAlign w:val="bottom"/>
          </w:tcPr>
          <w:p>
            <w:pPr>
              <w:ind w:left="1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00" w:type="dxa"/>
            <w:vAlign w:val="bottom"/>
          </w:tcPr>
          <w:p>
            <w:pPr>
              <w:spacing w:after="0"/>
              <w:rPr>
                <w:sz w:val="12"/>
                <w:szCs w:val="12"/>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66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20" w:type="dxa"/>
            <w:vAlign w:val="bottom"/>
          </w:tcPr>
          <w:p>
            <w:pPr>
              <w:jc w:val="right"/>
              <w:ind w:right="164"/>
              <w:spacing w:after="0"/>
              <w:rPr>
                <w:sz w:val="20"/>
                <w:szCs w:val="20"/>
                <w:color w:val="auto"/>
              </w:rPr>
            </w:pPr>
            <w:r>
              <w:rPr>
                <w:rFonts w:ascii="Times New Roman" w:cs="Times New Roman" w:eastAsia="Times New Roman" w:hAnsi="Times New Roman"/>
                <w:sz w:val="12"/>
                <w:szCs w:val="12"/>
                <w:color w:val="0000FF"/>
              </w:rPr>
              <w:t>06/30/2026</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20"/>
                <w:szCs w:val="20"/>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2"/>
                <w:szCs w:val="12"/>
                <w:color w:val="0000FF"/>
              </w:rPr>
              <w:t>13,930.678</w:t>
            </w:r>
            <w:r>
              <w:rPr>
                <w:rFonts w:ascii="Times New Roman" w:cs="Times New Roman" w:eastAsia="Times New Roman" w:hAnsi="Times New Roman"/>
                <w:sz w:val="20"/>
                <w:szCs w:val="20"/>
                <w:color w:val="008000"/>
                <w:vertAlign w:val="superscript"/>
              </w:rPr>
              <w:t>(2)</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20" w:type="dxa"/>
            <w:vAlign w:val="bottom"/>
          </w:tcPr>
          <w:p>
            <w:pPr>
              <w:ind w:left="220"/>
              <w:spacing w:after="0"/>
              <w:rPr>
                <w:sz w:val="20"/>
                <w:szCs w:val="20"/>
                <w:color w:val="auto"/>
              </w:rPr>
            </w:pPr>
            <w:r>
              <w:rPr>
                <w:rFonts w:ascii="Times New Roman" w:cs="Times New Roman" w:eastAsia="Times New Roman" w:hAnsi="Times New Roman"/>
                <w:sz w:val="10"/>
                <w:szCs w:val="10"/>
                <w:color w:val="008000"/>
              </w:rPr>
              <w:t>(1)</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w w:val="99"/>
              </w:rPr>
              <w:t>13,930.678</w:t>
            </w:r>
          </w:p>
        </w:tc>
        <w:tc>
          <w:tcPr>
            <w:tcW w:w="740" w:type="dxa"/>
            <w:vAlign w:val="bottom"/>
            <w:gridSpan w:val="2"/>
          </w:tcPr>
          <w:p>
            <w:pPr>
              <w:jc w:val="right"/>
              <w:ind w:right="28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0000FF"/>
              </w:rPr>
              <w:t>55,722.712</w:t>
            </w: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660" w:type="dxa"/>
            <w:vAlign w:val="bottom"/>
            <w:tcBorders>
              <w:bottom w:val="single" w:sz="8" w:color="2C2C2C"/>
            </w:tcBorders>
          </w:tcPr>
          <w:p>
            <w:pPr>
              <w:ind w:left="80"/>
              <w:spacing w:after="0" w:line="134" w:lineRule="exact"/>
              <w:rPr>
                <w:sz w:val="20"/>
                <w:szCs w:val="20"/>
                <w:color w:val="auto"/>
              </w:rPr>
            </w:pPr>
            <w:r>
              <w:rPr>
                <w:rFonts w:ascii="Times New Roman" w:cs="Times New Roman" w:eastAsia="Times New Roman" w:hAnsi="Times New Roman"/>
                <w:sz w:val="12"/>
                <w:szCs w:val="12"/>
                <w:color w:val="0000FF"/>
              </w:rPr>
              <w:t>Units (SU)</w:t>
            </w:r>
          </w:p>
        </w:tc>
        <w:tc>
          <w:tcPr>
            <w:tcW w:w="74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gridSpan w:val="2"/>
          </w:tcPr>
          <w:p>
            <w:pPr>
              <w:ind w:left="14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6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vMerge w:val="restart"/>
          </w:tcPr>
          <w:p>
            <w:pPr>
              <w:ind w:left="220"/>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80" w:type="dxa"/>
            <w:vAlign w:val="bottom"/>
          </w:tcPr>
          <w:p>
            <w:pPr>
              <w:spacing w:after="0"/>
              <w:rPr>
                <w:sz w:val="14"/>
                <w:szCs w:val="14"/>
                <w:color w:val="auto"/>
              </w:rPr>
            </w:pPr>
          </w:p>
        </w:tc>
        <w:tc>
          <w:tcPr>
            <w:tcW w:w="700" w:type="dxa"/>
            <w:vAlign w:val="bottom"/>
            <w:vMerge w:val="restart"/>
          </w:tcPr>
          <w:p>
            <w:pPr>
              <w:jc w:val="right"/>
              <w:ind w:right="69"/>
              <w:spacing w:after="0"/>
              <w:rPr>
                <w:sz w:val="20"/>
                <w:szCs w:val="20"/>
                <w:color w:val="auto"/>
              </w:rPr>
            </w:pPr>
            <w:r>
              <w:rPr>
                <w:rFonts w:ascii="Times New Roman" w:cs="Times New Roman" w:eastAsia="Times New Roman" w:hAnsi="Times New Roman"/>
                <w:sz w:val="16"/>
                <w:szCs w:val="16"/>
                <w:color w:val="0000FF"/>
              </w:rPr>
              <w:t>228,321</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32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gridSpan w:val="2"/>
            <w:vMerge w:val="restart"/>
          </w:tcPr>
          <w:p>
            <w:pPr>
              <w:jc w:val="right"/>
              <w:ind w:right="145"/>
              <w:spacing w:after="0" w:line="134" w:lineRule="exact"/>
              <w:rPr>
                <w:sz w:val="20"/>
                <w:szCs w:val="20"/>
                <w:color w:val="auto"/>
              </w:rPr>
            </w:pPr>
            <w:r>
              <w:rPr>
                <w:rFonts w:ascii="Times New Roman" w:cs="Times New Roman" w:eastAsia="Times New Roman" w:hAnsi="Times New Roman"/>
                <w:sz w:val="12"/>
                <w:szCs w:val="12"/>
                <w:color w:val="0000FF"/>
              </w:rPr>
              <w:t>228,321</w:t>
            </w:r>
          </w:p>
        </w:tc>
        <w:tc>
          <w:tcPr>
            <w:tcW w:w="640" w:type="dxa"/>
            <w:vAlign w:val="bottom"/>
            <w:vMerge w:val="restart"/>
          </w:tcPr>
          <w:p>
            <w:pPr>
              <w:ind w:left="34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-1763395</wp:posOffset>
            </wp:positionV>
            <wp:extent cx="27940" cy="1769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176911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4"/>
          <w:szCs w:val="24"/>
          <w:color w:val="auto"/>
        </w:rPr>
      </w:pPr>
    </w:p>
    <w:p>
      <w:pPr>
        <w:ind w:left="40" w:right="200" w:hanging="6"/>
        <w:spacing w:after="0" w:line="269"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stock units were accrued under the Issuer's Directors' Fees Deferral Plan in lieu of a portion of the Reporting Person's director cash compensation and are settled in shares of the Issuer's common stock on a one-for-one basis on the last business day of the calendar quarter following Reporting Person's cessation as a director or upon a date or dates previously specified by the Reporting Person.</w:t>
      </w:r>
    </w:p>
    <w:p>
      <w:pPr>
        <w:spacing w:after="0" w:line="8" w:lineRule="exact"/>
        <w:rPr>
          <w:rFonts w:ascii="Times New Roman" w:cs="Times New Roman" w:eastAsia="Times New Roman" w:hAnsi="Times New Roman"/>
          <w:sz w:val="12"/>
          <w:szCs w:val="12"/>
          <w:color w:val="008000"/>
        </w:rPr>
      </w:pPr>
    </w:p>
    <w:p>
      <w:pPr>
        <w:ind w:left="40" w:right="220" w:hanging="6"/>
        <w:spacing w:after="0" w:line="269"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Company's Directors' Fees Deferral Plan, a cash payment was made to the Reporting Person in lieu of the fractional stock units (0.678), which are cancelled and do not convert into fractional shares of the Issuer's common stock.</w:t>
      </w:r>
    </w:p>
    <w:p>
      <w:pPr>
        <w:spacing w:after="0" w:line="8" w:lineRule="exact"/>
        <w:rPr>
          <w:rFonts w:ascii="Times New Roman" w:cs="Times New Roman" w:eastAsia="Times New Roman" w:hAnsi="Times New Roman"/>
          <w:sz w:val="12"/>
          <w:szCs w:val="12"/>
          <w:color w:val="008000"/>
        </w:rPr>
      </w:pPr>
    </w:p>
    <w:p>
      <w:pPr>
        <w:ind w:left="40" w:right="160" w:hanging="6"/>
        <w:spacing w:after="0" w:line="254"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restricted stock units vest in 1/3 increments on the first, second and third anniversary of the date of grant. Based on the Reporting Person's prior deferral elections pursuant to the terms of the award agreement, these restricted stock units will be settled in shares of the Issuer's common stock on a one-for-one basis upon the Reporting Person's cessation as a director or upon a date or dates previously specified by the Reporting Person.</w:t>
      </w:r>
    </w:p>
    <w:p>
      <w:pPr>
        <w:ind w:left="6600"/>
        <w:spacing w:after="0" w:line="182" w:lineRule="auto"/>
        <w:rPr>
          <w:sz w:val="20"/>
          <w:szCs w:val="20"/>
          <w:color w:val="auto"/>
        </w:rPr>
      </w:pPr>
      <w:r>
        <w:rPr>
          <w:rFonts w:ascii="Times New Roman" w:cs="Times New Roman" w:eastAsia="Times New Roman" w:hAnsi="Times New Roman"/>
          <w:sz w:val="15"/>
          <w:szCs w:val="15"/>
          <w:color w:val="0000FF"/>
        </w:rPr>
        <w:t xml:space="preserve">Christopher G. Cobb, Attorney in </w:t>
      </w:r>
      <w:r>
        <w:rPr>
          <w:rFonts w:ascii="Times New Roman" w:cs="Times New Roman" w:eastAsia="Times New Roman" w:hAnsi="Times New Roman"/>
          <w:sz w:val="30"/>
          <w:szCs w:val="30"/>
          <w:color w:val="0000FF"/>
          <w:vertAlign w:val="subscript"/>
        </w:rPr>
        <w:t>06/30/2026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-24765</wp:posOffset>
            </wp:positionV>
            <wp:extent cx="13544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445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 for K. Ranga Krishnan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-18415</wp:posOffset>
            </wp:positionV>
            <wp:extent cx="111633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6330" cy="7620"/>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-80645</wp:posOffset>
            </wp:positionV>
            <wp:extent cx="4591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9105" cy="7620"/>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4"/>
          <w:szCs w:val="24"/>
          <w:color w:val="auto"/>
        </w:rPr>
      </w:pPr>
    </w:p>
    <w:p>
      <w:pPr>
        <w:jc w:val="both"/>
        <w:ind w:left="40" w:right="4000" w:hanging="6"/>
        <w:spacing w:after="0" w:line="318" w:lineRule="auto"/>
        <w:tabs>
          <w:tab w:leader="none" w:pos="169"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4829" TargetMode="External"/><Relationship Id="rId14" Type="http://schemas.openxmlformats.org/officeDocument/2006/relationships/hyperlink" Target="http://www.sec.gov/cgi-bin/browse-edgar?action=getcompany&amp;CIK=00011081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2026-06-30T16:55:09Z</dcterms:created>
  <dcterms:modified xsi:type="dcterms:W3CDTF">2026-06-30T16:55:09Z</dcterms:modified>
</cp:coreProperties>
</file>